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  <w:r>
        <w:t xml:space="preserve"/>
      </w:r>
    </w:p>
    <w:p>
      <w:pPr>
        <w:jc w:val="center"/>
      </w:pPr>
      <w:r>
        <w:rPr>
          <w:b/>
          <w:bCs/>
          <w:color w:val="C41E3A"/>
          <w:sz w:val="48"/>
          <w:szCs w:val="48"/>
        </w:rPr>
        <w:t xml:space="preserve">RISE Technology Hub Framework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Cost-Plus Procurement Model</w:t>
      </w:r>
    </w:p>
    <w:p>
      <w:pPr>
        <w:spacing w:after="960"/>
        <w:jc w:val="center"/>
      </w:pPr>
      <w:r>
        <w:rPr>
          <w:color w:val="666666"/>
          <w:sz w:val="22"/>
          <w:szCs w:val="22"/>
        </w:rPr>
        <w:t xml:space="preserve">Version 2.0  |  January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F5F5F5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C41E3A"/>
                <w:sz w:val="24"/>
                <w:szCs w:val="24"/>
              </w:rPr>
              <w:t xml:space="preserve">For Executive Management Approval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What Is This?</w:t>
      </w:r>
    </w:p>
    <w:p>
      <w:r>
        <w:t xml:space="preserve">RISE Technologies LLC will centralize all technology procurement for NH Group entities (EFI, Bloom Education, FoodQuest, Entrust Capital, Exeed Industries).</w:t>
      </w:r>
    </w:p>
    <w:p>
      <w:r>
        <w:t xml:space="preserve"/>
      </w:r>
    </w:p>
    <w:p>
      <w:r>
        <w:rPr>
          <w:b/>
          <w:bCs/>
        </w:rPr>
        <w:t xml:space="preserve">Current Model: </w:t>
      </w:r>
      <w:r>
        <w:t xml:space="preserve">Each entity purchases technology independently</w:t>
      </w:r>
    </w:p>
    <w:p>
      <w:r>
        <w:rPr>
          <w:b/>
          <w:bCs/>
        </w:rPr>
        <w:t xml:space="preserve">New Model: </w:t>
      </w:r>
      <w:r>
        <w:t xml:space="preserve">All entities route requests through RISE → RISE negotiates and procures → Entities pay RISE</w:t>
      </w:r>
    </w:p>
    <w:p>
      <w:r>
        <w:t xml:space="preserve"/>
      </w:r>
    </w:p>
    <w:p>
      <w:pPr>
        <w:pStyle w:val="Heading2"/>
      </w:pPr>
      <w:r>
        <w:t xml:space="preserve">The Cost Formula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C41E3A"/>
                <w:sz w:val="28"/>
                <w:szCs w:val="28"/>
              </w:rPr>
              <w:t xml:space="preserve">Entity Pays = Vendor Cost to RISE + X% Margin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Example:</w:t>
      </w:r>
    </w:p>
    <w:p>
      <w:r>
        <w:t xml:space="preserve">• Dell charges RISE: AED 100,000</w:t>
      </w:r>
    </w:p>
    <w:p>
      <w:r>
        <w:t xml:space="preserve">• RISE margin: 5%</w:t>
      </w:r>
    </w:p>
    <w:p>
      <w:r>
        <w:rPr>
          <w:b/>
          <w:bCs/>
        </w:rPr>
        <w:t xml:space="preserve">• Entity pays RISE: AED 105,000</w:t>
      </w:r>
    </w:p>
    <w:p>
      <w:r>
        <w:t xml:space="preserve"/>
      </w:r>
    </w:p>
    <w:p>
      <w:r>
        <w:rPr>
          <w:b/>
          <w:bCs/>
          <w:color w:val="C41E3A"/>
        </w:rPr>
        <w:t xml:space="preserve">Complete Transparency:</w:t>
      </w:r>
    </w:p>
    <w:p>
      <w:r>
        <w:t xml:space="preserve">• Entity sees Dell's original quote</w:t>
      </w:r>
    </w:p>
    <w:p>
      <w:r>
        <w:t xml:space="preserve">• Entity sees Dell's invoice to RISE</w:t>
      </w:r>
    </w:p>
    <w:p>
      <w:r>
        <w:t xml:space="preserve">• Entity sees the 5% margin calculation</w:t>
      </w:r>
    </w:p>
    <w:p>
      <w:r>
        <w:t xml:space="preserve">• No hidden fees allowed</w:t>
      </w:r>
    </w:p>
    <w:p>
      <w:r>
        <w:t xml:space="preserve"/>
      </w:r>
    </w:p>
    <w:p>
      <w:pPr>
        <w:pStyle w:val="Heading2"/>
      </w:pPr>
      <w:r>
        <w:t xml:space="preserve">Why Do This?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C41E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Current Problem</w:t>
            </w:r>
          </w:p>
        </w:tc>
        <w:tc>
          <w:tcPr>
            <w:tcW w:type="dxa" w:w="468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C41E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RISE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Each entity negotiates alone → weak 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Collective buying power → better prices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5 separate vendor relationships → overhead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Single relationship → efficiency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No technical oversight → wrong purchases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Expert validation → right solutions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Inconsistent pricing across entities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Fair pricing for 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HOW IT WORKS</w:t>
      </w:r>
    </w:p>
    <w:p>
      <w:pPr>
        <w:pStyle w:val="Heading2"/>
      </w:pPr>
      <w:r>
        <w:t xml:space="preserve">The 4-Step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41E3A"/>
              </w:rPr>
              <w:t xml:space="preserve">Step 1</w:t>
            </w:r>
          </w:p>
          <w:p>
            <w:r>
              <w:t xml:space="preserve">Entity needs laptops → Submits request to RISE</w:t>
            </w:r>
          </w:p>
        </w:tc>
      </w:tr>
      <w:tr>
        <w:tc>
          <w:tcPr>
            <w:tcW w:type="dxa" w:w="936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41E3A"/>
              </w:rPr>
              <w:t xml:space="preserve">Step 2</w:t>
            </w:r>
          </w:p>
          <w:p>
            <w:r>
              <w:t xml:space="preserve">RISE gets quotes from Dell, HP → Shares quotes with Entity</w:t>
            </w:r>
          </w:p>
        </w:tc>
      </w:tr>
      <w:tr>
        <w:tc>
          <w:tcPr>
            <w:tcW w:type="dxa" w:w="936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41E3A"/>
              </w:rPr>
              <w:t xml:space="preserve">Step 3</w:t>
            </w:r>
          </w:p>
          <w:p>
            <w:r>
              <w:t xml:space="preserve">Entity approves Dell → Issues PO to RISE for AED 105,000</w:t>
            </w:r>
          </w:p>
        </w:tc>
      </w:tr>
      <w:tr>
        <w:tc>
          <w:tcPr>
            <w:tcW w:type="dxa" w:w="936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41E3A"/>
              </w:rPr>
              <w:t xml:space="preserve">Step 4</w:t>
            </w:r>
          </w:p>
          <w:p>
            <w:r>
              <w:t xml:space="preserve">RISE orders from Dell (AED 100K) → Dell delivers → RISE invoices Entity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Pricing 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C41E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C41E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6240"/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Vendor price (Dell servers)</w:t>
            </w:r>
          </w:p>
        </w:tc>
        <w:tc>
          <w:tcPr>
            <w:tcW w:type="dxa" w:w="3120"/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t xml:space="preserve">AED 50,000</w:t>
            </w:r>
          </w:p>
        </w:tc>
      </w:tr>
      <w:tr>
        <w:tc>
          <w:tcPr>
            <w:tcW w:type="dxa" w:w="624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RISE margin (5%)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t xml:space="preserve">AED 2,500</w:t>
            </w:r>
          </w:p>
        </w:tc>
      </w:tr>
      <w:tr>
        <w:tc>
          <w:tcPr>
            <w:tcW w:type="dxa" w:w="6240"/>
            <w:tcBorders>
              <w:top w:val="single" w:color="C41E3A" w:sz="2"/>
              <w:left w:val="single" w:color="C41E3A" w:sz="1"/>
              <w:bottom w:val="single" w:color="C41E3A" w:sz="1"/>
              <w:right w:val="single" w:color="C41E3A" w:sz="1"/>
            </w:tcBorders>
            <w:shd w:fill="C41E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Entity Pays</w:t>
            </w:r>
          </w:p>
        </w:tc>
        <w:tc>
          <w:tcPr>
            <w:tcW w:type="dxa" w:w="3120"/>
            <w:tcBorders>
              <w:top w:val="single" w:color="C41E3A" w:sz="2"/>
              <w:left w:val="single" w:color="C41E3A" w:sz="1"/>
              <w:bottom w:val="single" w:color="C41E3A" w:sz="1"/>
              <w:right w:val="single" w:color="C41E3A" w:sz="1"/>
            </w:tcBorders>
            <w:shd w:fill="C41E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AED 52,500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Entity receives:</w:t>
      </w:r>
    </w:p>
    <w:p>
      <w:r>
        <w:t xml:space="preserve">• Copy of Dell quote (AED 50,000)</w:t>
      </w:r>
    </w:p>
    <w:p>
      <w:r>
        <w:t xml:space="preserve">• Copy of Dell invoice to RISE (AED 50,000)</w:t>
      </w:r>
    </w:p>
    <w:p>
      <w:r>
        <w:t xml:space="preserve">• RISE invoice showing 5% margin</w:t>
      </w:r>
    </w:p>
    <w:p>
      <w:r>
        <w:br w:type="page"/>
      </w:r>
    </w:p>
    <w:p>
      <w:pPr>
        <w:pStyle w:val="Heading1"/>
      </w:pPr>
      <w:r>
        <w:t xml:space="preserve">2. THE RULES</w:t>
      </w:r>
    </w:p>
    <w:p>
      <w:pPr>
        <w:pStyle w:val="Heading2"/>
      </w:pPr>
      <w:r>
        <w:t xml:space="preserve">Technology Onboarding (First 30 Days)</w:t>
      </w:r>
    </w:p>
    <w:p>
      <w:r>
        <w:rPr>
          <w:b/>
          <w:bCs/>
        </w:rPr>
        <w:t xml:space="preserve">Step 1: </w:t>
      </w:r>
      <w:r>
        <w:t xml:space="preserve">Each entity submits list of technology categories they need</w:t>
      </w:r>
    </w:p>
    <w:p>
      <w:r>
        <w:rPr>
          <w:b/>
          <w:bCs/>
        </w:rPr>
        <w:t xml:space="preserve">Step 2: </w:t>
      </w:r>
      <w:r>
        <w:t xml:space="preserve">RISE has 15 days to confirm "yes we can handle this" or "no we can't"</w:t>
      </w:r>
    </w:p>
    <w:p>
      <w:r>
        <w:rPr>
          <w:b/>
          <w:bCs/>
        </w:rPr>
        <w:t xml:space="preserve">Step 3: </w:t>
      </w:r>
      <w:r>
        <w:t xml:space="preserve">Approved categories become RISE-exclusive</w:t>
      </w:r>
    </w:p>
    <w:p>
      <w:r>
        <w:t xml:space="preserve"/>
      </w:r>
    </w:p>
    <w:p>
      <w:r>
        <w:rPr>
          <w:b/>
          <w:bCs/>
        </w:rPr>
        <w:t xml:space="preserve">Example - EFI submits:</w:t>
      </w:r>
    </w:p>
    <w:p>
      <w:r>
        <w:t xml:space="preserve">• Servers, laptops, network gear → RISE says YES</w:t>
      </w:r>
    </w:p>
    <w:p>
      <w:r>
        <w:t xml:space="preserve">• Specialized manufacturing equipment → RISE says NO</w:t>
      </w:r>
    </w:p>
    <w:p>
      <w:r>
        <w:t xml:space="preserve"/>
      </w:r>
    </w:p>
    <w:p>
      <w:pPr>
        <w:pStyle w:val="Heading2"/>
      </w:pPr>
      <w:r>
        <w:t xml:space="preserve">What Entities CANNOT Do (For Approved Categories)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1E3A" w:sz="1"/>
              <w:left w:val="single" w:color="C41E3A" w:sz="1"/>
              <w:bottom w:val="single" w:color="C41E3A" w:sz="1"/>
              <w:right w:val="single" w:color="C41E3A" w:sz="1"/>
            </w:tcBorders>
            <w:shd w:fill="FF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C41E3A"/>
              </w:rPr>
              <w:t xml:space="preserve">Contact vendors directly</w:t>
            </w:r>
          </w:p>
          <w:p>
            <w:r>
              <w:rPr>
                <w:color w:val="C41E3A"/>
              </w:rPr>
              <w:t xml:space="preserve">Get quotes from vendors</w:t>
            </w:r>
          </w:p>
          <w:p>
            <w:r>
              <w:rPr>
                <w:color w:val="C41E3A"/>
              </w:rPr>
              <w:t xml:space="preserve">Issue POs to vendors</w:t>
            </w:r>
          </w:p>
          <w:p>
            <w:r>
              <w:rPr>
                <w:color w:val="C41E3A"/>
              </w:rPr>
              <w:t xml:space="preserve">Bypass RISE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What Entities CAN 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00" w:sz="1"/>
              <w:left w:val="single" w:color="009900" w:sz="1"/>
              <w:bottom w:val="single" w:color="009900" w:sz="1"/>
              <w:right w:val="single" w:color="009900" w:sz="1"/>
            </w:tcBorders>
            <w:shd w:fill="E6F7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color w:val="009900"/>
              </w:rPr>
              <w:t xml:space="preserve">Procure categories RISE declined</w:t>
            </w:r>
          </w:p>
          <w:p>
            <w:r>
              <w:rPr>
                <w:color w:val="009900"/>
              </w:rPr>
              <w:t xml:space="preserve">Add new categories (1-month advance notice)</w:t>
            </w:r>
          </w:p>
          <w:p>
            <w:r>
              <w:rPr>
                <w:color w:val="009900"/>
              </w:rPr>
              <w:t xml:space="preserve">Request vendor bypass if RISE fails SLA</w:t>
            </w:r>
          </w:p>
          <w:p>
            <w:r>
              <w:rPr>
                <w:color w:val="009900"/>
              </w:rPr>
              <w:t xml:space="preserve">Keep existing contracts until renewal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PERFORMANCE &amp; CONTROLS</w:t>
      </w:r>
    </w:p>
    <w:p>
      <w:r>
        <w:t xml:space="preserve">RISE must meet strict service levels with full financial transparency and NH audit rights.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C41E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120"/>
            <w:shd w:fill="C41E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 Time</w:t>
            </w:r>
          </w:p>
        </w:tc>
        <w:tc>
          <w:tcPr>
            <w:tcW w:type="dxa" w:w="3120"/>
            <w:shd w:fill="C41E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 Target</w:t>
            </w:r>
          </w:p>
        </w:tc>
      </w:tr>
      <w:tr>
        <w:tc>
          <w:tcPr>
            <w:tcW w:type="dxa" w:w="3120"/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3120"/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 hours</w:t>
            </w:r>
          </w:p>
        </w:tc>
        <w:tc>
          <w:tcPr>
            <w:tcW w:type="dxa" w:w="3120"/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≥95% SLA</w:t>
            </w:r>
          </w:p>
        </w:tc>
      </w:tr>
      <w:t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priorities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2h-48h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4.0/5.0 satisfaction</w:t>
            </w:r>
          </w:p>
        </w:tc>
      </w:tr>
    </w:tbl>
    <w:p>
      <w:r>
        <w:t xml:space="preserve"/>
      </w:r>
    </w:p>
    <w:p>
      <w:r>
        <w:rPr>
          <w:b/>
          <w:bCs/>
          <w:color w:val="C41E3A"/>
        </w:rPr>
        <w:t xml:space="preserve">Financial Controls:</w:t>
      </w:r>
    </w:p>
    <w:p>
      <w:r>
        <w:t xml:space="preserve">• Monthly random audits (10 transactions)</w:t>
      </w:r>
    </w:p>
    <w:p>
      <w:r>
        <w:t xml:space="preserve">• Quarterly comprehensive audits (20 transactions)</w:t>
      </w:r>
    </w:p>
    <w:p>
      <w:r>
        <w:t xml:space="preserve">• NH Finance can audit any transaction anytime</w:t>
      </w:r>
    </w:p>
    <w:p>
      <w:r>
        <w:t xml:space="preserve">• Overcharging &gt;10% may result in termination</w:t>
      </w:r>
    </w:p>
    <w:p>
      <w:r>
        <w:br w:type="page"/>
      </w:r>
    </w:p>
    <w:p>
      <w:pPr>
        <w:pStyle w:val="Heading1"/>
      </w:pPr>
      <w:r>
        <w:t xml:space="preserve">4. GOVERNANCE &amp; EXIT</w:t>
      </w:r>
    </w:p>
    <w:p>
      <w:pPr>
        <w:pStyle w:val="Heading2"/>
      </w:pPr>
      <w:r>
        <w:t xml:space="preserve">Steering Committee</w:t>
      </w:r>
    </w:p>
    <w:p>
      <w:r>
        <w:rPr>
          <w:b/>
          <w:bCs/>
        </w:rPr>
        <w:t xml:space="preserve">Chair: </w:t>
      </w:r>
      <w:r>
        <w:t xml:space="preserve">NH Group CIO (Samer)</w:t>
      </w:r>
    </w:p>
    <w:p>
      <w:r>
        <w:rPr>
          <w:b/>
          <w:bCs/>
        </w:rPr>
        <w:t xml:space="preserve">Members: </w:t>
      </w:r>
      <w:r>
        <w:t xml:space="preserve">NH IT, Entity IT Reps, RISE Manager, NH Finance</w:t>
      </w:r>
    </w:p>
    <w:p>
      <w:r>
        <w:rPr>
          <w:b/>
          <w:bCs/>
        </w:rPr>
        <w:t xml:space="preserve">Meetings: </w:t>
      </w:r>
      <w:r>
        <w:t xml:space="preserve">Monthly (NH IT + RISE), Quarterly (Full Committee), Annual (Strategic Review)</w:t>
      </w:r>
    </w:p>
    <w:p>
      <w:r>
        <w:t xml:space="preserve"/>
      </w:r>
    </w:p>
    <w:p>
      <w:pPr>
        <w:pStyle w:val="Heading2"/>
      </w:pPr>
      <w:r>
        <w:t xml:space="preserve">NH Exit Rights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00" w:sz="2"/>
              <w:left w:val="single" w:color="009900" w:sz="2"/>
              <w:bottom w:val="single" w:color="009900" w:sz="2"/>
              <w:right w:val="single" w:color="009900" w:sz="2"/>
            </w:tcBorders>
            <w:shd w:fill="E6F7E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009900"/>
                <w:sz w:val="28"/>
                <w:szCs w:val="28"/>
              </w:rPr>
              <w:t xml:space="preserve">NH CAN EXIT ANYTIME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color w:val="009900"/>
                <w:sz w:val="24"/>
                <w:szCs w:val="24"/>
              </w:rPr>
              <w:t xml:space="preserve">Zero exit penalties  |  Zero minimum commitment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90-day notice required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NH can also terminate for cause:</w:t>
      </w:r>
    </w:p>
    <w:p>
      <w:r>
        <w:t xml:space="preserve">• 3 months below 90% SLA performance</w:t>
      </w:r>
    </w:p>
    <w:p>
      <w:r>
        <w:t xml:space="preserve">• Pricing manipulation or fraud</w:t>
      </w:r>
    </w:p>
    <w:p>
      <w:r>
        <w:t xml:space="preserve">• Entity dissatisfaction &lt;3.0/5.0 for 2 months</w:t>
      </w:r>
    </w:p>
    <w:p>
      <w:r>
        <w:t xml:space="preserve">• Any material breach</w:t>
      </w:r>
    </w:p>
    <w:p>
      <w:r>
        <w:br w:type="page"/>
      </w:r>
    </w:p>
    <w:p>
      <w:pPr>
        <w:pStyle w:val="Heading1"/>
      </w:pPr>
      <w:r>
        <w:t xml:space="preserve">5. DECISION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b/>
                <w:bCs/>
                <w:color w:val="C41E3A"/>
                <w:sz w:val="26"/>
                <w:szCs w:val="26"/>
              </w:rPr>
              <w:t xml:space="preserve">1. Select RISE Margin:</w:t>
            </w:r>
          </w:p>
          <w:p>
            <w:r>
              <w:t xml:space="preserve"/>
            </w:r>
          </w:p>
          <w:p>
            <w:r>
              <w:rPr>
                <w:sz w:val="24"/>
                <w:szCs w:val="24"/>
              </w:rPr>
              <w:t xml:space="preserve">  3% - Aggressive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  5% - Recommended</w:t>
            </w:r>
          </w:p>
          <w:p>
            <w:r>
              <w:rPr>
                <w:sz w:val="24"/>
                <w:szCs w:val="24"/>
              </w:rPr>
              <w:t xml:space="preserve">  7% - Higher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C41E3A"/>
                <w:sz w:val="26"/>
                <w:szCs w:val="26"/>
              </w:rPr>
              <w:t xml:space="preserve">2. Approve Framework?</w:t>
            </w:r>
          </w:p>
          <w:p>
            <w:r>
              <w:t xml:space="preserve"/>
            </w:r>
          </w:p>
          <w:p>
            <w:r>
              <w:rPr>
                <w:b/>
                <w:bCs/>
                <w:color w:val="009900"/>
                <w:sz w:val="24"/>
                <w:szCs w:val="24"/>
              </w:rPr>
              <w:t xml:space="preserve">  YES - Proceed to pilot</w:t>
            </w:r>
          </w:p>
          <w:p>
            <w:r>
              <w:rPr>
                <w:sz w:val="24"/>
                <w:szCs w:val="24"/>
              </w:rPr>
              <w:t xml:space="preserve">  NO - Maintain current model</w:t>
            </w:r>
          </w:p>
          <w:p>
            <w:r>
              <w:rPr>
                <w:sz w:val="24"/>
                <w:szCs w:val="24"/>
              </w:rPr>
              <w:t xml:space="preserve">  DEFER - Need more information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Key Questions</w:t>
      </w:r>
    </w:p>
    <w:p>
      <w:r>
        <w:t xml:space="preserve">1. Is the margin acceptable given potential vendor pricing improvements?</w:t>
      </w:r>
    </w:p>
    <w:p>
      <w:r>
        <w:t xml:space="preserve">2. Are exclusivity rules acceptable to entities?</w:t>
      </w:r>
    </w:p>
    <w:p>
      <w:r>
        <w:t xml:space="preserve">3. Are exit protections adequate?</w:t>
      </w:r>
    </w:p>
    <w:p>
      <w:r>
        <w:t xml:space="preserve">4. Who will be the executive sponsor?</w:t>
      </w:r>
    </w:p>
    <w:p>
      <w:r>
        <w:br w:type="page"/>
      </w:r>
    </w:p>
    <w:p>
      <w:pPr>
        <w:jc w:val="center"/>
      </w:pPr>
      <w:r>
        <w:rPr>
          <w:b/>
          <w:bCs/>
          <w:color w:val="C41E3A"/>
          <w:sz w:val="36"/>
          <w:szCs w:val="36"/>
        </w:rPr>
        <w:t xml:space="preserve">APPROVAL SIGNATURES</w:t>
      </w:r>
    </w:p>
    <w:p>
      <w:r>
        <w:t xml:space="preserve"/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bottom w:val="single" w:color="000000" w:sz="1"/>
            </w:tcBorders>
            <w:tcMar>
              <w:top w:type="dxa" w:w="360"/>
              <w:left w:type="dxa" w:w="240"/>
              <w:bottom w:type="dxa" w:w="120"/>
              <w:right w:type="dxa" w:w="240"/>
            </w:tcMar>
          </w:tcPr>
          <w:p>
            <w:r>
              <w:t xml:space="preserve"/>
            </w:r>
          </w:p>
        </w:tc>
      </w:tr>
    </w:tbl>
    <w:p>
      <w:r>
        <w:rPr>
          <w:b/>
          <w:bCs/>
          <w:sz w:val="24"/>
          <w:szCs w:val="24"/>
        </w:rPr>
        <w:t xml:space="preserve">NH Group CIO</w:t>
      </w:r>
    </w:p>
    <w:p>
      <w:r>
        <w:rPr>
          <w:sz w:val="20"/>
          <w:szCs w:val="20"/>
        </w:rPr>
        <w:t xml:space="preserve">Date: __________________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bottom w:val="single" w:color="000000" w:sz="1"/>
            </w:tcBorders>
            <w:tcMar>
              <w:top w:type="dxa" w:w="360"/>
              <w:left w:type="dxa" w:w="240"/>
              <w:bottom w:type="dxa" w:w="120"/>
              <w:right w:type="dxa" w:w="240"/>
            </w:tcMar>
          </w:tcPr>
          <w:p>
            <w:r>
              <w:t xml:space="preserve"/>
            </w:r>
          </w:p>
        </w:tc>
      </w:tr>
    </w:tbl>
    <w:p>
      <w:r>
        <w:rPr>
          <w:b/>
          <w:bCs/>
          <w:sz w:val="24"/>
          <w:szCs w:val="24"/>
        </w:rPr>
        <w:t xml:space="preserve">NH CFO</w:t>
      </w:r>
    </w:p>
    <w:p>
      <w:r>
        <w:rPr>
          <w:sz w:val="20"/>
          <w:szCs w:val="20"/>
        </w:rPr>
        <w:t xml:space="preserve">Date: __________________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bottom w:val="single" w:color="000000" w:sz="1"/>
            </w:tcBorders>
            <w:tcMar>
              <w:top w:type="dxa" w:w="360"/>
              <w:left w:type="dxa" w:w="240"/>
              <w:bottom w:type="dxa" w:w="120"/>
              <w:right w:type="dxa" w:w="240"/>
            </w:tcMar>
          </w:tcPr>
          <w:p>
            <w:r>
              <w:t xml:space="preserve"/>
            </w:r>
          </w:p>
        </w:tc>
      </w:tr>
    </w:tbl>
    <w:p>
      <w:r>
        <w:rPr>
          <w:b/>
          <w:bCs/>
          <w:sz w:val="24"/>
          <w:szCs w:val="24"/>
        </w:rPr>
        <w:t xml:space="preserve">NH CEO</w:t>
      </w:r>
    </w:p>
    <w:p>
      <w:r>
        <w:rPr>
          <w:sz w:val="20"/>
          <w:szCs w:val="20"/>
        </w:rPr>
        <w:t xml:space="preserve">Date: __________________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RISE Technology Hub Framework  |  </w:t>
    </w:r>
    <w:r>
      <w:rPr>
        <w:color w:val="C41E3A"/>
        <w:sz w:val="18"/>
        <w:szCs w:val="18"/>
      </w:rPr>
      <w:t xml:space="preserve">National Holding PJSC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905000" cy="762000"/>
          <wp:effectExtent t="0" r="0" b="0" l="0"/>
          <wp:docPr id="1" name="NH Logo" descr="National Holding Logo" title="NH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C41E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C41E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2f8aaa986c3d3686c16f6ee6129386427e46f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2026-01-12T08:59:03.916Z</dcterms:created>
  <dcterms:modified xsi:type="dcterms:W3CDTF">2026-01-12T08:59:03.917Z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