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41E3A"/>
          <w:sz w:val="56"/>
        </w:rPr>
        <w:t>RISE TECHNOLOGIES LLC</w:t>
        <w:br/>
      </w:r>
      <w:r>
        <w:rPr>
          <w:sz w:val="36"/>
        </w:rPr>
        <w:t>Technology Procurement Hub Framework</w:t>
        <w:br/>
      </w:r>
      <w:r>
        <w:rPr>
          <w:b/>
          <w:sz w:val="28"/>
        </w:rPr>
        <w:t>Version 2.0 - Cost-Plus Pricing Model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Version:</w:t>
            </w:r>
          </w:p>
        </w:tc>
        <w:tc>
          <w:tcPr>
            <w:tcW w:type="dxa" w:w="4680"/>
          </w:tcPr>
          <w:p>
            <w:r>
              <w:t>2.0 - Cost-Plus Model</w:t>
            </w:r>
          </w:p>
        </w:tc>
      </w:tr>
      <w:tr>
        <w:tc>
          <w:tcPr>
            <w:tcW w:type="dxa" w:w="4680"/>
          </w:tcPr>
          <w:p>
            <w:r>
              <w:t>Date:</w:t>
            </w:r>
          </w:p>
        </w:tc>
        <w:tc>
          <w:tcPr>
            <w:tcW w:type="dxa" w:w="4680"/>
          </w:tcPr>
          <w:p>
            <w:r>
              <w:t>January 2026</w:t>
            </w:r>
          </w:p>
        </w:tc>
      </w:tr>
      <w:tr>
        <w:tc>
          <w:tcPr>
            <w:tcW w:type="dxa" w:w="4680"/>
          </w:tcPr>
          <w:p>
            <w:r>
              <w:t>Classification:</w:t>
            </w:r>
          </w:p>
        </w:tc>
        <w:tc>
          <w:tcPr>
            <w:tcW w:type="dxa" w:w="4680"/>
          </w:tcPr>
          <w:p>
            <w:r>
              <w:t>Internal - Strategic</w:t>
            </w:r>
          </w:p>
        </w:tc>
      </w:tr>
      <w:tr>
        <w:tc>
          <w:tcPr>
            <w:tcW w:type="dxa" w:w="4680"/>
          </w:tcPr>
          <w:p>
            <w:r>
              <w:t>Owner:</w:t>
            </w:r>
          </w:p>
        </w:tc>
        <w:tc>
          <w:tcPr>
            <w:tcW w:type="dxa" w:w="4680"/>
          </w:tcPr>
          <w:p>
            <w:r>
              <w:t>NH IT Department</w:t>
            </w:r>
          </w:p>
        </w:tc>
      </w:tr>
      <w:tr>
        <w:tc>
          <w:tcPr>
            <w:tcW w:type="dxa" w:w="4680"/>
          </w:tcPr>
          <w:p>
            <w:r>
              <w:t>Status:</w:t>
            </w:r>
          </w:p>
        </w:tc>
        <w:tc>
          <w:tcPr>
            <w:tcW w:type="dxa" w:w="4680"/>
          </w:tcPr>
          <w:p>
            <w:r>
              <w:t>Draft for Review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41E3A"/>
        </w:rPr>
        <w:t>EXECUTIVE SUMMARY</w:t>
      </w:r>
    </w:p>
    <w:p>
      <w:r>
        <w:t>This framework establishes RISE Technologies LLC as the centralized technology procurement hub for NH Group under a Cost-Plus Pricing Model. RISE will manage vendor relationships, process purchase orders, and handle payment flows between entities and technology suppliers, earning a fixed percentage markup on all transactions.</w:t>
      </w:r>
    </w:p>
    <w:p>
      <w:pPr>
        <w:pStyle w:val="Heading2"/>
      </w:pPr>
      <w:r>
        <w:rPr>
          <w:color w:val="C41E3A"/>
        </w:rPr>
        <w:t>Key Changes from V1.0</w:t>
      </w:r>
    </w:p>
    <w:p>
      <w:pPr>
        <w:pStyle w:val="ListBullet"/>
      </w:pPr>
      <w:r>
        <w:t>Cost-Plus pricing model (Base Cost + Fixed Markup %)</w:t>
      </w:r>
    </w:p>
    <w:p>
      <w:pPr>
        <w:pStyle w:val="ListBullet"/>
      </w:pPr>
      <w:r>
        <w:t>Entity-initiated requirements with PO flow through RISE</w:t>
      </w:r>
    </w:p>
    <w:p>
      <w:pPr>
        <w:pStyle w:val="ListBullet"/>
      </w:pPr>
      <w:r>
        <w:t>Technology-specific expertise onboarding with 1-month advance notice</w:t>
      </w:r>
    </w:p>
    <w:p>
      <w:pPr>
        <w:pStyle w:val="ListBullet"/>
      </w:pPr>
      <w:r>
        <w:t>Exclusive procurement mandate for approved technologies</w:t>
      </w:r>
    </w:p>
    <w:p>
      <w:pPr>
        <w:pStyle w:val="ListBullet"/>
      </w:pPr>
      <w:r>
        <w:t>Direct PO issuance from RISE to vendors with entity delivery details</w:t>
      </w:r>
    </w:p>
    <w:p>
      <w:r>
        <w:br w:type="page"/>
      </w:r>
    </w:p>
    <w:p>
      <w:pPr>
        <w:pStyle w:val="Heading1"/>
      </w:pPr>
      <w:r>
        <w:rPr>
          <w:color w:val="C41E3A"/>
        </w:rPr>
        <w:t>1. OPERATIONAL MODEL</w:t>
      </w:r>
    </w:p>
    <w:p>
      <w:pPr>
        <w:pStyle w:val="Heading2"/>
      </w:pPr>
      <w:r>
        <w:rPr>
          <w:color w:val="C41E3A"/>
        </w:rPr>
        <w:t>1.1 Cost-Plus Pricing Structure</w:t>
      </w:r>
    </w:p>
    <w:p>
      <w:r>
        <w:rPr>
          <w:b/>
        </w:rPr>
        <w:t xml:space="preserve">Pricing Formula: </w:t>
      </w:r>
      <w:r>
        <w:t>Total Entity Cost = Vendor Base Cost + (Vendor Base Cost × Markup %)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Vendor Base Cost</w:t>
            </w:r>
          </w:p>
        </w:tc>
        <w:tc>
          <w:tcPr>
            <w:tcW w:type="dxa" w:w="4680"/>
          </w:tcPr>
          <w:p>
            <w:r>
              <w:t>Actual invoice amount from vendor to RISE</w:t>
            </w:r>
          </w:p>
        </w:tc>
      </w:tr>
      <w:tr>
        <w:tc>
          <w:tcPr>
            <w:tcW w:type="dxa" w:w="4680"/>
          </w:tcPr>
          <w:p>
            <w:r>
              <w:t>Markup Percentage</w:t>
            </w:r>
          </w:p>
        </w:tc>
        <w:tc>
          <w:tcPr>
            <w:tcW w:type="dxa" w:w="4680"/>
          </w:tcPr>
          <w:p>
            <w:r>
              <w:t>Fixed agreed percentage (5-15%, negotiated annually)</w:t>
            </w:r>
          </w:p>
        </w:tc>
      </w:tr>
      <w:tr>
        <w:tc>
          <w:tcPr>
            <w:tcW w:type="dxa" w:w="4680"/>
          </w:tcPr>
          <w:p>
            <w:r>
              <w:t>Total Entity Cost</w:t>
            </w:r>
          </w:p>
        </w:tc>
        <w:tc>
          <w:tcPr>
            <w:tcW w:type="dxa" w:w="4680"/>
          </w:tcPr>
          <w:p>
            <w:r>
              <w:t>Base Cost + Markup (invoiced by RISE to entity)</w:t>
            </w:r>
          </w:p>
        </w:tc>
      </w:tr>
      <w:tr>
        <w:tc>
          <w:tcPr>
            <w:tcW w:type="dxa" w:w="4680"/>
          </w:tcPr>
          <w:p>
            <w:r>
              <w:t>Transparency</w:t>
            </w:r>
          </w:p>
        </w:tc>
        <w:tc>
          <w:tcPr>
            <w:tcW w:type="dxa" w:w="4680"/>
          </w:tcPr>
          <w:p>
            <w:r>
              <w:t>RISE provides vendor invoice copies upon request</w:t>
            </w:r>
          </w:p>
        </w:tc>
      </w:tr>
    </w:tbl>
    <w:p/>
    <w:p>
      <w:pPr>
        <w:pStyle w:val="Heading3"/>
      </w:pPr>
      <w:r>
        <w:t>Example Transaction:</w:t>
      </w:r>
    </w:p>
    <w:tbl>
      <w:tblPr>
        <w:tblStyle w:val="MediumShading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Vendor Invoice to RISE:</w:t>
            </w:r>
          </w:p>
        </w:tc>
        <w:tc>
          <w:tcPr>
            <w:tcW w:type="dxa" w:w="4680"/>
          </w:tcPr>
          <w:p>
            <w:r>
              <w:t>AED 100,000</w:t>
            </w:r>
          </w:p>
        </w:tc>
      </w:tr>
      <w:tr>
        <w:tc>
          <w:tcPr>
            <w:tcW w:type="dxa" w:w="4680"/>
          </w:tcPr>
          <w:p>
            <w:r>
              <w:t>Agreed Markup:</w:t>
            </w:r>
          </w:p>
        </w:tc>
        <w:tc>
          <w:tcPr>
            <w:tcW w:type="dxa" w:w="4680"/>
          </w:tcPr>
          <w:p>
            <w:r>
              <w:t>10%</w:t>
            </w:r>
          </w:p>
        </w:tc>
      </w:tr>
      <w:tr>
        <w:tc>
          <w:tcPr>
            <w:tcW w:type="dxa" w:w="4680"/>
          </w:tcPr>
          <w:p>
            <w:r>
              <w:t>Markup Amount:</w:t>
            </w:r>
          </w:p>
        </w:tc>
        <w:tc>
          <w:tcPr>
            <w:tcW w:type="dxa" w:w="4680"/>
          </w:tcPr>
          <w:p>
            <w:r>
              <w:t>AED 10,000</w:t>
            </w:r>
          </w:p>
        </w:tc>
      </w:tr>
      <w:tr>
        <w:tc>
          <w:tcPr>
            <w:tcW w:type="dxa" w:w="4680"/>
          </w:tcPr>
          <w:p>
            <w:r>
              <w:t>RISE Invoice to Entity:</w:t>
            </w:r>
          </w:p>
        </w:tc>
        <w:tc>
          <w:tcPr>
            <w:tcW w:type="dxa" w:w="4680"/>
          </w:tcPr>
          <w:p>
            <w:r>
              <w:t>AED 110,000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C41E3A"/>
        </w:rPr>
        <w:t>1.2 Procurement Flow</w:t>
      </w:r>
    </w:p>
    <w:p>
      <w:r>
        <w:t>The procurement process follows a six-step flow:</w:t>
      </w:r>
    </w:p>
    <w:p>
      <w:pPr>
        <w:pStyle w:val="ListNumber"/>
      </w:pPr>
      <w:r>
        <w:t>1. Entity to RISE: Submits requirement (product specs, quantity, delivery address, timeline)</w:t>
      </w:r>
    </w:p>
    <w:p>
      <w:pPr>
        <w:pStyle w:val="ListNumber"/>
      </w:pPr>
      <w:r>
        <w:t>2. RISE to Vendor: Issues PO (Bill To: RISE, Ship To: Entity name &amp; address)</w:t>
      </w:r>
    </w:p>
    <w:p>
      <w:pPr>
        <w:pStyle w:val="ListNumber"/>
      </w:pPr>
      <w:r>
        <w:t>3. Vendor to Entity: Delivers to entity address, invoices RISE with base cost</w:t>
      </w:r>
    </w:p>
    <w:p>
      <w:pPr>
        <w:pStyle w:val="ListNumber"/>
      </w:pPr>
      <w:r>
        <w:t>4. RISE to Vendor: Pays vendor per agreed payment terms</w:t>
      </w:r>
    </w:p>
    <w:p>
      <w:pPr>
        <w:pStyle w:val="ListNumber"/>
      </w:pPr>
      <w:r>
        <w:t>5. RISE to Entity: Invoices entity (Base Cost + Markup %, attaches vendor invoice)</w:t>
      </w:r>
    </w:p>
    <w:p>
      <w:pPr>
        <w:pStyle w:val="ListNumber"/>
      </w:pPr>
      <w:r>
        <w:t>6. Entity to RISE: Pays RISE per NH standard payment terms (30 days)</w:t>
      </w:r>
    </w:p>
    <w:p>
      <w:r>
        <w:br w:type="page"/>
      </w:r>
    </w:p>
    <w:p>
      <w:pPr>
        <w:pStyle w:val="Heading2"/>
      </w:pPr>
      <w:r>
        <w:rPr>
          <w:color w:val="C41E3A"/>
        </w:rPr>
        <w:t>1.3 Technology Expertise Onboarding</w:t>
      </w:r>
    </w:p>
    <w:p>
      <w:pPr>
        <w:pStyle w:val="Heading3"/>
      </w:pPr>
      <w:r>
        <w:t>Initial Technology Portfolio Definition</w:t>
      </w:r>
    </w:p>
    <w:p>
      <w:r>
        <w:t>Each entity must notify RISE of all technology categories:</w:t>
      </w:r>
    </w:p>
    <w:p>
      <w:pPr>
        <w:pStyle w:val="ListBullet"/>
      </w:pPr>
      <w:r>
        <w:t>Entity completes Technology Portfolio Form</w:t>
      </w:r>
    </w:p>
    <w:p>
      <w:pPr>
        <w:pStyle w:val="ListBullet"/>
      </w:pPr>
      <w:r>
        <w:t>RISE evaluates each category for expertise</w:t>
      </w:r>
    </w:p>
    <w:p>
      <w:pPr>
        <w:pStyle w:val="ListBullet"/>
      </w:pPr>
      <w:r>
        <w:t>RISE responds: Confirmed / Onboarding Required / Not Viable</w:t>
      </w:r>
    </w:p>
    <w:p>
      <w:pPr>
        <w:pStyle w:val="ListBullet"/>
      </w:pPr>
      <w:r>
        <w:t>Both parties agree on final approved list</w:t>
      </w:r>
    </w:p>
    <w:p/>
    <w:p>
      <w:pPr>
        <w:pStyle w:val="Heading3"/>
      </w:pPr>
      <w:r>
        <w:t>Example Technology Categories: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Category</w:t>
            </w:r>
          </w:p>
        </w:tc>
        <w:tc>
          <w:tcPr>
            <w:tcW w:type="dxa" w:w="3120"/>
          </w:tcPr>
          <w:p>
            <w:r>
              <w:t>Examples</w:t>
            </w:r>
          </w:p>
        </w:tc>
        <w:tc>
          <w:tcPr>
            <w:tcW w:type="dxa" w:w="3120"/>
          </w:tcPr>
          <w:p>
            <w:r>
              <w:t>Complexity</w:t>
            </w:r>
          </w:p>
        </w:tc>
      </w:tr>
      <w:tr>
        <w:tc>
          <w:tcPr>
            <w:tcW w:type="dxa" w:w="3120"/>
          </w:tcPr>
          <w:p>
            <w:r>
              <w:t>Cloud Services</w:t>
            </w:r>
          </w:p>
        </w:tc>
        <w:tc>
          <w:tcPr>
            <w:tcW w:type="dxa" w:w="3120"/>
          </w:tcPr>
          <w:p>
            <w:r>
              <w:t>AWS, Azure, Google Cloud</w:t>
            </w:r>
          </w:p>
        </w:tc>
        <w:tc>
          <w:tcPr>
            <w:tcW w:type="dxa" w:w="3120"/>
          </w:tcPr>
          <w:p>
            <w:r>
              <w:t>High</w:t>
            </w:r>
          </w:p>
        </w:tc>
      </w:tr>
      <w:tr>
        <w:tc>
          <w:tcPr>
            <w:tcW w:type="dxa" w:w="3120"/>
          </w:tcPr>
          <w:p>
            <w:r>
              <w:t>Enterprise Software</w:t>
            </w:r>
          </w:p>
        </w:tc>
        <w:tc>
          <w:tcPr>
            <w:tcW w:type="dxa" w:w="3120"/>
          </w:tcPr>
          <w:p>
            <w:r>
              <w:t>Oracle, SAP, Microsoft</w:t>
            </w:r>
          </w:p>
        </w:tc>
        <w:tc>
          <w:tcPr>
            <w:tcW w:type="dxa" w:w="3120"/>
          </w:tcPr>
          <w:p>
            <w:r>
              <w:t>High</w:t>
            </w:r>
          </w:p>
        </w:tc>
      </w:tr>
      <w:tr>
        <w:tc>
          <w:tcPr>
            <w:tcW w:type="dxa" w:w="3120"/>
          </w:tcPr>
          <w:p>
            <w:r>
              <w:t>Security Solutions</w:t>
            </w:r>
          </w:p>
        </w:tc>
        <w:tc>
          <w:tcPr>
            <w:tcW w:type="dxa" w:w="3120"/>
          </w:tcPr>
          <w:p>
            <w:r>
              <w:t>Firewalls, EDR, SIEM</w:t>
            </w:r>
          </w:p>
        </w:tc>
        <w:tc>
          <w:tcPr>
            <w:tcW w:type="dxa" w:w="3120"/>
          </w:tcPr>
          <w:p>
            <w:r>
              <w:t>High</w:t>
            </w:r>
          </w:p>
        </w:tc>
      </w:tr>
      <w:tr>
        <w:tc>
          <w:tcPr>
            <w:tcW w:type="dxa" w:w="3120"/>
          </w:tcPr>
          <w:p>
            <w:r>
              <w:t>Collaboration</w:t>
            </w:r>
          </w:p>
        </w:tc>
        <w:tc>
          <w:tcPr>
            <w:tcW w:type="dxa" w:w="3120"/>
          </w:tcPr>
          <w:p>
            <w:r>
              <w:t>Microsoft 365, Zoom</w:t>
            </w:r>
          </w:p>
        </w:tc>
        <w:tc>
          <w:tcPr>
            <w:tcW w:type="dxa" w:w="3120"/>
          </w:tcPr>
          <w:p>
            <w:r>
              <w:t>Medium</w:t>
            </w:r>
          </w:p>
        </w:tc>
      </w:tr>
      <w:tr>
        <w:tc>
          <w:tcPr>
            <w:tcW w:type="dxa" w:w="3120"/>
          </w:tcPr>
          <w:p>
            <w:r>
              <w:t>Hardware</w:t>
            </w:r>
          </w:p>
        </w:tc>
        <w:tc>
          <w:tcPr>
            <w:tcW w:type="dxa" w:w="3120"/>
          </w:tcPr>
          <w:p>
            <w:r>
              <w:t>Dell, HP, Lenovo</w:t>
            </w:r>
          </w:p>
        </w:tc>
        <w:tc>
          <w:tcPr>
            <w:tcW w:type="dxa" w:w="3120"/>
          </w:tcPr>
          <w:p>
            <w:r>
              <w:t>Medium</w:t>
            </w:r>
          </w:p>
        </w:tc>
      </w:tr>
      <w:tr>
        <w:tc>
          <w:tcPr>
            <w:tcW w:type="dxa" w:w="3120"/>
          </w:tcPr>
          <w:p>
            <w:r>
              <w:t>Telecom Services</w:t>
            </w:r>
          </w:p>
        </w:tc>
        <w:tc>
          <w:tcPr>
            <w:tcW w:type="dxa" w:w="3120"/>
          </w:tcPr>
          <w:p>
            <w:r>
              <w:t>Etisalat, du, VOIP</w:t>
            </w:r>
          </w:p>
        </w:tc>
        <w:tc>
          <w:tcPr>
            <w:tcW w:type="dxa" w:w="3120"/>
          </w:tcPr>
          <w:p>
            <w:r>
              <w:t>Low</w:t>
            </w:r>
          </w:p>
        </w:tc>
      </w:tr>
    </w:tbl>
    <w:p>
      <w:r>
        <w:br w:type="page"/>
      </w:r>
    </w:p>
    <w:p>
      <w:pPr>
        <w:pStyle w:val="Heading3"/>
      </w:pPr>
      <w:r>
        <w:t>New Technology Addition - 1 Month Advance Notice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Timeline</w:t>
            </w:r>
          </w:p>
        </w:tc>
        <w:tc>
          <w:tcPr>
            <w:tcW w:type="dxa" w:w="4680"/>
          </w:tcPr>
          <w:p>
            <w:r>
              <w:t>Activity</w:t>
            </w:r>
          </w:p>
        </w:tc>
      </w:tr>
      <w:tr>
        <w:tc>
          <w:tcPr>
            <w:tcW w:type="dxa" w:w="4680"/>
          </w:tcPr>
          <w:p>
            <w:r>
              <w:t>Week 1</w:t>
            </w:r>
          </w:p>
        </w:tc>
        <w:tc>
          <w:tcPr>
            <w:tcW w:type="dxa" w:w="4680"/>
          </w:tcPr>
          <w:p>
            <w:r>
              <w:t>Entity submits New Technology Request</w:t>
            </w:r>
          </w:p>
        </w:tc>
      </w:tr>
      <w:tr>
        <w:tc>
          <w:tcPr>
            <w:tcW w:type="dxa" w:w="4680"/>
          </w:tcPr>
          <w:p>
            <w:r>
              <w:t>Week 1-2</w:t>
            </w:r>
          </w:p>
        </w:tc>
        <w:tc>
          <w:tcPr>
            <w:tcW w:type="dxa" w:w="4680"/>
          </w:tcPr>
          <w:p>
            <w:r>
              <w:t>RISE assesses complexity, expertise needs</w:t>
            </w:r>
          </w:p>
        </w:tc>
      </w:tr>
      <w:tr>
        <w:tc>
          <w:tcPr>
            <w:tcW w:type="dxa" w:w="4680"/>
          </w:tcPr>
          <w:p>
            <w:r>
              <w:t>Week 3</w:t>
            </w:r>
          </w:p>
        </w:tc>
        <w:tc>
          <w:tcPr>
            <w:tcW w:type="dxa" w:w="4680"/>
          </w:tcPr>
          <w:p>
            <w:r>
              <w:t>RISE responds: Approved / Conditional / Declined</w:t>
            </w:r>
          </w:p>
        </w:tc>
      </w:tr>
      <w:tr>
        <w:tc>
          <w:tcPr>
            <w:tcW w:type="dxa" w:w="4680"/>
          </w:tcPr>
          <w:p>
            <w:r>
              <w:t>Week 4 - Month 1</w:t>
            </w:r>
          </w:p>
        </w:tc>
        <w:tc>
          <w:tcPr>
            <w:tcW w:type="dxa" w:w="4680"/>
          </w:tcPr>
          <w:p>
            <w:r>
              <w:t>RISE onboarding: training, vendor setup</w:t>
            </w:r>
          </w:p>
        </w:tc>
      </w:tr>
      <w:tr>
        <w:tc>
          <w:tcPr>
            <w:tcW w:type="dxa" w:w="4680"/>
          </w:tcPr>
          <w:p>
            <w:r>
              <w:t>Month 1+</w:t>
            </w:r>
          </w:p>
        </w:tc>
        <w:tc>
          <w:tcPr>
            <w:tcW w:type="dxa" w:w="4680"/>
          </w:tcPr>
          <w:p>
            <w:r>
              <w:t>Technology goes live for procurement</w:t>
            </w:r>
          </w:p>
        </w:tc>
      </w:tr>
    </w:tbl>
    <w:p/>
    <w:p>
      <w:r>
        <w:rPr>
          <w:b/>
        </w:rPr>
        <w:t xml:space="preserve">Emergency Exception: </w:t>
      </w:r>
      <w:r>
        <w:t>Entity may procure directly for critical needs with immediate post-notification</w:t>
      </w:r>
    </w:p>
    <w:p>
      <w:r>
        <w:br w:type="page"/>
      </w:r>
    </w:p>
    <w:p>
      <w:pPr>
        <w:pStyle w:val="Heading2"/>
      </w:pPr>
      <w:r>
        <w:rPr>
          <w:color w:val="C41E3A"/>
        </w:rPr>
        <w:t>1.4 Exclusive Procurement Mandate</w:t>
      </w:r>
    </w:p>
    <w:p>
      <w:r>
        <w:rPr>
          <w:b/>
          <w:sz w:val="26"/>
        </w:rPr>
        <w:t>CRITICAL RULE: Once Technology is Approved for an Entity</w:t>
      </w:r>
    </w:p>
    <w:p>
      <w:pPr>
        <w:pStyle w:val="ListBullet"/>
      </w:pPr>
      <w:r>
        <w:t>RISE becomes the ONLY authorized vendor for that technology</w:t>
      </w:r>
    </w:p>
    <w:p>
      <w:pPr>
        <w:pStyle w:val="ListBullet"/>
      </w:pPr>
      <w:r>
        <w:t>Entity MUST route ALL procurement through RISE</w:t>
      </w:r>
    </w:p>
    <w:p>
      <w:pPr>
        <w:pStyle w:val="ListBullet"/>
      </w:pPr>
      <w:r>
        <w:t>Applies to: purchases, renewals, upgrades, services, maintenance, training</w:t>
      </w:r>
    </w:p>
    <w:p>
      <w:pPr>
        <w:pStyle w:val="ListBullet"/>
      </w:pPr>
      <w:r>
        <w:t>Enforcement: Procurement systems block direct POs</w:t>
      </w:r>
    </w:p>
    <w:p>
      <w:pPr>
        <w:pStyle w:val="ListBullet"/>
      </w:pPr>
      <w:r>
        <w:t>Exceptions require Group CIO + Entity CEO approval</w:t>
      </w:r>
    </w:p>
    <w:p/>
    <w:p>
      <w:r>
        <w:rPr>
          <w:b/>
        </w:rPr>
        <w:t>Rationale:</w:t>
      </w:r>
    </w:p>
    <w:p>
      <w:pPr>
        <w:pStyle w:val="ListBullet"/>
      </w:pPr>
      <w:r>
        <w:t>Ensures RISE can negotiate volume discounts</w:t>
      </w:r>
    </w:p>
    <w:p>
      <w:pPr>
        <w:pStyle w:val="ListBullet"/>
      </w:pPr>
      <w:r>
        <w:t>Maintains consolidated vendor relationships</w:t>
      </w:r>
    </w:p>
    <w:p>
      <w:pPr>
        <w:pStyle w:val="ListBullet"/>
      </w:pPr>
      <w:r>
        <w:t>Prevents fragmentation of procurement power</w:t>
      </w:r>
    </w:p>
    <w:p>
      <w:pPr>
        <w:pStyle w:val="ListBullet"/>
      </w:pPr>
      <w:r>
        <w:t>Enables accurate spend tracking</w:t>
      </w:r>
    </w:p>
    <w:p>
      <w:r>
        <w:br w:type="page"/>
      </w:r>
    </w:p>
    <w:p>
      <w:pPr>
        <w:pStyle w:val="Heading1"/>
      </w:pPr>
      <w:r>
        <w:rPr>
          <w:color w:val="C41E3A"/>
        </w:rPr>
        <w:t>2. ENTITY RESPONSIBILITIES</w:t>
      </w:r>
    </w:p>
    <w:p>
      <w:pPr>
        <w:pStyle w:val="Heading2"/>
      </w:pPr>
      <w:r>
        <w:rPr>
          <w:color w:val="C41E3A"/>
        </w:rPr>
        <w:t>2.1 Initial Setup (First Month)</w:t>
      </w:r>
    </w:p>
    <w:p>
      <w:pPr>
        <w:pStyle w:val="ListBullet"/>
      </w:pPr>
      <w:r>
        <w:t>Submit Technology Portfolio Notification</w:t>
      </w:r>
    </w:p>
    <w:p>
      <w:pPr>
        <w:pStyle w:val="ListBullet"/>
      </w:pPr>
      <w:r>
        <w:t>Provide vendor relationships and historical spend data</w:t>
      </w:r>
    </w:p>
    <w:p>
      <w:pPr>
        <w:pStyle w:val="ListBullet"/>
      </w:pPr>
      <w:r>
        <w:t>Document internal approval workflows</w:t>
      </w:r>
    </w:p>
    <w:p>
      <w:pPr>
        <w:pStyle w:val="ListBullet"/>
      </w:pPr>
      <w:r>
        <w:t>Assign RISE liaisons (primary, technical, finance)</w:t>
      </w:r>
    </w:p>
    <w:p>
      <w:pPr>
        <w:pStyle w:val="ListBullet"/>
      </w:pPr>
      <w:r>
        <w:t>Configure systems to route technologies through RISE</w:t>
      </w:r>
    </w:p>
    <w:p/>
    <w:p>
      <w:pPr>
        <w:pStyle w:val="Heading2"/>
      </w:pPr>
      <w:r>
        <w:rPr>
          <w:color w:val="C41E3A"/>
        </w:rPr>
        <w:t>2.2 Ongoing Responsibilities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Frequency</w:t>
            </w:r>
          </w:p>
        </w:tc>
        <w:tc>
          <w:tcPr>
            <w:tcW w:type="dxa" w:w="4680"/>
          </w:tcPr>
          <w:p>
            <w:r>
              <w:t>Activities</w:t>
            </w:r>
          </w:p>
        </w:tc>
      </w:tr>
      <w:tr>
        <w:tc>
          <w:tcPr>
            <w:tcW w:type="dxa" w:w="4680"/>
          </w:tcPr>
          <w:p>
            <w:r>
              <w:t>Monthly</w:t>
            </w:r>
          </w:p>
        </w:tc>
        <w:tc>
          <w:tcPr>
            <w:tcW w:type="dxa" w:w="4680"/>
          </w:tcPr>
          <w:p>
            <w:r>
              <w:t>Review invoices (5 days)</w:t>
              <w:br/>
              <w:t>Process payments (30 days)</w:t>
            </w:r>
          </w:p>
        </w:tc>
      </w:tr>
      <w:tr>
        <w:tc>
          <w:tcPr>
            <w:tcW w:type="dxa" w:w="4680"/>
          </w:tcPr>
          <w:p>
            <w:r>
              <w:t>Quarterly</w:t>
            </w:r>
          </w:p>
        </w:tc>
        <w:tc>
          <w:tcPr>
            <w:tcW w:type="dxa" w:w="4680"/>
          </w:tcPr>
          <w:p>
            <w:r>
              <w:t>Cost review</w:t>
              <w:br/>
              <w:t>Verify markup calculations</w:t>
            </w:r>
          </w:p>
        </w:tc>
      </w:tr>
      <w:tr>
        <w:tc>
          <w:tcPr>
            <w:tcW w:type="dxa" w:w="4680"/>
          </w:tcPr>
          <w:p>
            <w:r>
              <w:t>Annually</w:t>
            </w:r>
          </w:p>
        </w:tc>
        <w:tc>
          <w:tcPr>
            <w:tcW w:type="dxa" w:w="4680"/>
          </w:tcPr>
          <w:p>
            <w:r>
              <w:t>Spend analysis</w:t>
              <w:br/>
              <w:t>Markup renegotiation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41E3A"/>
        </w:rPr>
        <w:t>3. RISE RESPONSIBILITIES</w:t>
      </w:r>
    </w:p>
    <w:p>
      <w:pPr>
        <w:pStyle w:val="Heading2"/>
      </w:pPr>
      <w:r>
        <w:rPr>
          <w:color w:val="C41E3A"/>
        </w:rPr>
        <w:t>3.1 Service Level Commitments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Request Type</w:t>
            </w:r>
          </w:p>
        </w:tc>
        <w:tc>
          <w:tcPr>
            <w:tcW w:type="dxa" w:w="3120"/>
          </w:tcPr>
          <w:p>
            <w:r>
              <w:t>Response SLA</w:t>
            </w:r>
          </w:p>
        </w:tc>
        <w:tc>
          <w:tcPr>
            <w:tcW w:type="dxa" w:w="3120"/>
          </w:tcPr>
          <w:p>
            <w:r>
              <w:t>Resolution SLA</w:t>
            </w:r>
          </w:p>
        </w:tc>
      </w:tr>
      <w:tr>
        <w:tc>
          <w:tcPr>
            <w:tcW w:type="dxa" w:w="3120"/>
          </w:tcPr>
          <w:p>
            <w:r>
              <w:t>Emergency</w:t>
            </w:r>
          </w:p>
        </w:tc>
        <w:tc>
          <w:tcPr>
            <w:tcW w:type="dxa" w:w="3120"/>
          </w:tcPr>
          <w:p>
            <w:r>
              <w:t>4 hours</w:t>
            </w:r>
          </w:p>
        </w:tc>
        <w:tc>
          <w:tcPr>
            <w:tcW w:type="dxa" w:w="3120"/>
          </w:tcPr>
          <w:p>
            <w:r>
              <w:t>24 hours</w:t>
            </w:r>
          </w:p>
        </w:tc>
      </w:tr>
      <w:tr>
        <w:tc>
          <w:tcPr>
            <w:tcW w:type="dxa" w:w="3120"/>
          </w:tcPr>
          <w:p>
            <w:r>
              <w:t>Urgent</w:t>
            </w:r>
          </w:p>
        </w:tc>
        <w:tc>
          <w:tcPr>
            <w:tcW w:type="dxa" w:w="3120"/>
          </w:tcPr>
          <w:p>
            <w:r>
              <w:t>1 business day</w:t>
            </w:r>
          </w:p>
        </w:tc>
        <w:tc>
          <w:tcPr>
            <w:tcW w:type="dxa" w:w="3120"/>
          </w:tcPr>
          <w:p>
            <w:r>
              <w:t>2 business days</w:t>
            </w:r>
          </w:p>
        </w:tc>
      </w:tr>
      <w:tr>
        <w:tc>
          <w:tcPr>
            <w:tcW w:type="dxa" w:w="3120"/>
          </w:tcPr>
          <w:p>
            <w:r>
              <w:t>Standard</w:t>
            </w:r>
          </w:p>
        </w:tc>
        <w:tc>
          <w:tcPr>
            <w:tcW w:type="dxa" w:w="3120"/>
          </w:tcPr>
          <w:p>
            <w:r>
              <w:t>2 business days</w:t>
            </w:r>
          </w:p>
        </w:tc>
        <w:tc>
          <w:tcPr>
            <w:tcW w:type="dxa" w:w="3120"/>
          </w:tcPr>
          <w:p>
            <w:r>
              <w:t>5 business days</w:t>
            </w:r>
          </w:p>
        </w:tc>
      </w:tr>
      <w:tr>
        <w:tc>
          <w:tcPr>
            <w:tcW w:type="dxa" w:w="3120"/>
          </w:tcPr>
          <w:p>
            <w:r>
              <w:t>New Technology</w:t>
            </w:r>
          </w:p>
        </w:tc>
        <w:tc>
          <w:tcPr>
            <w:tcW w:type="dxa" w:w="3120"/>
          </w:tcPr>
          <w:p>
            <w:r>
              <w:t>5 business days</w:t>
            </w:r>
          </w:p>
        </w:tc>
        <w:tc>
          <w:tcPr>
            <w:tcW w:type="dxa" w:w="3120"/>
          </w:tcPr>
          <w:p>
            <w:r>
              <w:t>30 days</w:t>
            </w:r>
          </w:p>
        </w:tc>
      </w:tr>
    </w:tbl>
    <w:p/>
    <w:p>
      <w:r>
        <w:rPr>
          <w:b/>
        </w:rPr>
        <w:t>Accuracy Commitments:</w:t>
      </w:r>
    </w:p>
    <w:p>
      <w:pPr>
        <w:pStyle w:val="ListBullet"/>
      </w:pPr>
      <w:r>
        <w:t>PO Accuracy: 98%</w:t>
      </w:r>
    </w:p>
    <w:p>
      <w:pPr>
        <w:pStyle w:val="ListBullet"/>
      </w:pPr>
      <w:r>
        <w:t>Invoice Accuracy: 99%</w:t>
      </w:r>
    </w:p>
    <w:p>
      <w:pPr>
        <w:pStyle w:val="ListBullet"/>
      </w:pPr>
      <w:r>
        <w:t>On-Time Delivery: 95%</w:t>
      </w:r>
    </w:p>
    <w:p>
      <w:r>
        <w:br w:type="page"/>
      </w:r>
    </w:p>
    <w:p>
      <w:pPr>
        <w:pStyle w:val="Heading1"/>
      </w:pPr>
      <w:r>
        <w:rPr>
          <w:color w:val="C41E3A"/>
        </w:rPr>
        <w:t>4. FINANCIAL CONTROLS &amp; AUDIT RIGHTS</w:t>
      </w:r>
    </w:p>
    <w:p>
      <w:pPr>
        <w:pStyle w:val="Heading2"/>
      </w:pPr>
      <w:r>
        <w:rPr>
          <w:color w:val="C41E3A"/>
        </w:rPr>
        <w:t>4.1 NH Group Audit Rights</w:t>
      </w:r>
    </w:p>
    <w:p>
      <w:pPr>
        <w:pStyle w:val="ListBullet"/>
      </w:pPr>
      <w:r>
        <w:t>Request vendor invoice copies anytime (24-hour response)</w:t>
      </w:r>
    </w:p>
    <w:p>
      <w:pPr>
        <w:pStyle w:val="ListBullet"/>
      </w:pPr>
      <w:r>
        <w:t>Conduct quarterly cost audits</w:t>
      </w:r>
    </w:p>
    <w:p>
      <w:pPr>
        <w:pStyle w:val="ListBullet"/>
      </w:pPr>
      <w:r>
        <w:t>Annual comprehensive financial audit</w:t>
      </w:r>
    </w:p>
    <w:p>
      <w:pPr>
        <w:pStyle w:val="ListBullet"/>
      </w:pPr>
      <w:r>
        <w:t>Random spot checks (10% monthly)</w:t>
      </w:r>
    </w:p>
    <w:p>
      <w:pPr>
        <w:pStyle w:val="ListBullet"/>
      </w:pPr>
      <w:r>
        <w:t>Verify markup calculations</w:t>
      </w:r>
    </w:p>
    <w:p/>
    <w:p>
      <w:pPr>
        <w:pStyle w:val="Heading2"/>
      </w:pPr>
      <w:r>
        <w:rPr>
          <w:color w:val="C41E3A"/>
        </w:rPr>
        <w:t>4.2 Prohibited Practices</w:t>
      </w:r>
    </w:p>
    <w:p>
      <w:r>
        <w:rPr>
          <w:b/>
          <w:color w:val="C41E3A"/>
        </w:rPr>
        <w:t>RISE MAY NOT:</w:t>
      </w:r>
    </w:p>
    <w:p>
      <w:pPr>
        <w:pStyle w:val="ListBullet"/>
      </w:pPr>
      <w:r>
        <w:t>Accept vendor kickbacks without disclosure</w:t>
      </w:r>
    </w:p>
    <w:p>
      <w:pPr>
        <w:pStyle w:val="ListBullet"/>
      </w:pPr>
      <w:r>
        <w:t>Charge fees beyond agreed markup</w:t>
      </w:r>
    </w:p>
    <w:p>
      <w:pPr>
        <w:pStyle w:val="ListBullet"/>
      </w:pPr>
      <w:r>
        <w:t>Inflate vendor costs</w:t>
      </w:r>
    </w:p>
    <w:p>
      <w:pPr>
        <w:pStyle w:val="ListBullet"/>
      </w:pPr>
      <w:r>
        <w:t>Steer toward higher-cost vendors</w:t>
      </w:r>
    </w:p>
    <w:p>
      <w:pPr>
        <w:pStyle w:val="ListBullet"/>
      </w:pPr>
      <w:r>
        <w:t>Misrepresent pricing</w:t>
      </w:r>
    </w:p>
    <w:p>
      <w:pPr>
        <w:pStyle w:val="ListBullet"/>
      </w:pPr>
      <w:r>
        <w:t>Bundle unwanted products</w:t>
      </w:r>
    </w:p>
    <w:p/>
    <w:p>
      <w:r>
        <w:rPr>
          <w:b/>
        </w:rPr>
        <w:t>Penalties:</w:t>
      </w:r>
    </w:p>
    <w:p>
      <w:pPr>
        <w:pStyle w:val="ListBullet"/>
      </w:pPr>
      <w:r>
        <w:t>1st violation: Warning + markup -2% (6 months)</w:t>
      </w:r>
    </w:p>
    <w:p>
      <w:pPr>
        <w:pStyle w:val="ListBullet"/>
      </w:pPr>
      <w:r>
        <w:t>2nd violation: Markup -5% (12 months)</w:t>
      </w:r>
    </w:p>
    <w:p>
      <w:pPr>
        <w:pStyle w:val="ListBullet"/>
      </w:pPr>
      <w:r>
        <w:t>3rd violation: Termination + legal action</w:t>
      </w:r>
    </w:p>
    <w:p>
      <w:r>
        <w:br w:type="page"/>
      </w:r>
    </w:p>
    <w:p>
      <w:pPr>
        <w:pStyle w:val="Heading1"/>
      </w:pPr>
      <w:r>
        <w:rPr>
          <w:color w:val="C41E3A"/>
        </w:rPr>
        <w:t>5. 3-PHASE EVALUATION FRAMEWORK</w:t>
      </w:r>
    </w:p>
    <w:p>
      <w:pPr>
        <w:pStyle w:val="Heading2"/>
      </w:pPr>
      <w:r>
        <w:rPr>
          <w:color w:val="C41E3A"/>
        </w:rPr>
        <w:t>Phase 1: Initial Assessment (Months 1-2)</w:t>
      </w:r>
    </w:p>
    <w:p>
      <w:r>
        <w:rPr>
          <w:b/>
        </w:rPr>
        <w:t xml:space="preserve">Objective: </w:t>
      </w:r>
      <w:r>
        <w:t>Assess RISE capability to operate cost-plus model</w:t>
      </w:r>
    </w:p>
    <w:p/>
    <w:p>
      <w:r>
        <w:rPr>
          <w:b/>
        </w:rPr>
        <w:t>Passing Score: ≥75/100</w:t>
      </w:r>
    </w:p>
    <w:p/>
    <w:p>
      <w:pPr>
        <w:pStyle w:val="ListBullet"/>
      </w:pPr>
      <w:r>
        <w:t>Week 1-2: Technology portfolio assessment</w:t>
      </w:r>
    </w:p>
    <w:p>
      <w:pPr>
        <w:pStyle w:val="ListBullet"/>
      </w:pPr>
      <w:r>
        <w:t>Week 3-4: Pilot 5-10 transactions</w:t>
      </w:r>
    </w:p>
    <w:p>
      <w:pPr>
        <w:pStyle w:val="ListBullet"/>
      </w:pPr>
      <w:r>
        <w:t>Week 5-6: Review and audit</w:t>
      </w:r>
    </w:p>
    <w:p>
      <w:pPr>
        <w:pStyle w:val="ListBullet"/>
      </w:pPr>
      <w:r>
        <w:t>Week 7-8: Evaluation report to Steering Committee</w:t>
      </w:r>
    </w:p>
    <w:p>
      <w:r>
        <w:br w:type="page"/>
      </w:r>
    </w:p>
    <w:p>
      <w:pPr>
        <w:pStyle w:val="Heading2"/>
      </w:pPr>
      <w:r>
        <w:rPr>
          <w:color w:val="C41E3A"/>
        </w:rPr>
        <w:t>Phase 2: Probation (Months 3-8)</w:t>
      </w:r>
    </w:p>
    <w:p>
      <w:r>
        <w:rPr>
          <w:b/>
        </w:rPr>
        <w:t>Monthly KPIs (all must meet targets):</w:t>
      </w:r>
    </w:p>
    <w:p>
      <w:pPr>
        <w:pStyle w:val="ListBullet"/>
      </w:pPr>
      <w:r>
        <w:t>Response Time SLA: ≥90%</w:t>
      </w:r>
    </w:p>
    <w:p>
      <w:pPr>
        <w:pStyle w:val="ListBullet"/>
      </w:pPr>
      <w:r>
        <w:t>PO Accuracy: ≥95%</w:t>
      </w:r>
    </w:p>
    <w:p>
      <w:pPr>
        <w:pStyle w:val="ListBullet"/>
      </w:pPr>
      <w:r>
        <w:t>Invoice Accuracy: ≥98%</w:t>
      </w:r>
    </w:p>
    <w:p>
      <w:pPr>
        <w:pStyle w:val="ListBullet"/>
      </w:pPr>
      <w:r>
        <w:t>On-Time Delivery: ≥90%</w:t>
      </w:r>
    </w:p>
    <w:p>
      <w:pPr>
        <w:pStyle w:val="ListBullet"/>
      </w:pPr>
      <w:r>
        <w:t>Cost Competitiveness: ≤Market</w:t>
      </w:r>
    </w:p>
    <w:p>
      <w:pPr>
        <w:pStyle w:val="ListBullet"/>
      </w:pPr>
      <w:r>
        <w:t>Transparency: 100%</w:t>
      </w:r>
    </w:p>
    <w:p/>
    <w:p>
      <w:r>
        <w:rPr>
          <w:b/>
        </w:rPr>
        <w:t>End Decision (Month 8):</w:t>
      </w:r>
    </w:p>
    <w:p>
      <w:pPr>
        <w:pStyle w:val="ListBullet"/>
      </w:pPr>
      <w:r>
        <w:t>Score ≥80/100 required</w:t>
      </w:r>
    </w:p>
    <w:p>
      <w:pPr>
        <w:pStyle w:val="ListBullet"/>
      </w:pPr>
      <w:r>
        <w:t>Entity satisfaction ≥4/5 required</w:t>
      </w:r>
    </w:p>
    <w:p>
      <w:pPr>
        <w:pStyle w:val="ListBullet"/>
      </w:pPr>
      <w:r>
        <w:t>Pass → Phase 3 | Fail → Extend or Terminate</w:t>
      </w:r>
    </w:p>
    <w:p>
      <w:r>
        <w:br w:type="page"/>
      </w:r>
    </w:p>
    <w:p>
      <w:pPr>
        <w:pStyle w:val="Heading2"/>
      </w:pPr>
      <w:r>
        <w:rPr>
          <w:color w:val="C41E3A"/>
        </w:rPr>
        <w:t>Phase 3: Permanent Engagement (Month 9+)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Frequency</w:t>
            </w:r>
          </w:p>
        </w:tc>
        <w:tc>
          <w:tcPr>
            <w:tcW w:type="dxa" w:w="4680"/>
          </w:tcPr>
          <w:p>
            <w:r>
              <w:t>Activities</w:t>
            </w:r>
          </w:p>
        </w:tc>
      </w:tr>
      <w:tr>
        <w:tc>
          <w:tcPr>
            <w:tcW w:type="dxa" w:w="4680"/>
          </w:tcPr>
          <w:p>
            <w:r>
              <w:t>Monthly</w:t>
            </w:r>
          </w:p>
        </w:tc>
        <w:tc>
          <w:tcPr>
            <w:tcW w:type="dxa" w:w="4680"/>
          </w:tcPr>
          <w:p>
            <w:r>
              <w:t>Performance dashboard</w:t>
              <w:br/>
              <w:t>10% invoice spot check</w:t>
            </w:r>
          </w:p>
        </w:tc>
      </w:tr>
      <w:tr>
        <w:tc>
          <w:tcPr>
            <w:tcW w:type="dxa" w:w="4680"/>
          </w:tcPr>
          <w:p>
            <w:r>
              <w:t>Quarterly</w:t>
            </w:r>
          </w:p>
        </w:tc>
        <w:tc>
          <w:tcPr>
            <w:tcW w:type="dxa" w:w="4680"/>
          </w:tcPr>
          <w:p>
            <w:r>
              <w:t>Business review</w:t>
              <w:br/>
              <w:t>KPI scorecard</w:t>
              <w:br/>
              <w:t>Cost audit</w:t>
            </w:r>
          </w:p>
        </w:tc>
      </w:tr>
      <w:tr>
        <w:tc>
          <w:tcPr>
            <w:tcW w:type="dxa" w:w="4680"/>
          </w:tcPr>
          <w:p>
            <w:r>
              <w:t>Annually</w:t>
            </w:r>
          </w:p>
        </w:tc>
        <w:tc>
          <w:tcPr>
            <w:tcW w:type="dxa" w:w="4680"/>
          </w:tcPr>
          <w:p>
            <w:r>
              <w:t>Full audit</w:t>
              <w:br/>
              <w:t>Markup renegotiation</w:t>
              <w:br/>
              <w:t>Renewal decision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41E3A"/>
        </w:rPr>
        <w:t>6. GOVERNANCE STRUCTURE</w:t>
      </w:r>
    </w:p>
    <w:p>
      <w:pPr>
        <w:pStyle w:val="Heading2"/>
      </w:pPr>
      <w:r>
        <w:rPr>
          <w:color w:val="C41E3A"/>
        </w:rPr>
        <w:t>6.1 Steering Committee</w:t>
      </w:r>
    </w:p>
    <w:p>
      <w:r>
        <w:rPr>
          <w:b/>
        </w:rPr>
        <w:t>Composition:</w:t>
      </w:r>
    </w:p>
    <w:p>
      <w:pPr>
        <w:pStyle w:val="ListBullet"/>
      </w:pPr>
      <w:r>
        <w:t>Group CIO (Chair)</w:t>
      </w:r>
    </w:p>
    <w:p>
      <w:pPr>
        <w:pStyle w:val="ListBullet"/>
      </w:pPr>
      <w:r>
        <w:t>Group CFO</w:t>
      </w:r>
    </w:p>
    <w:p>
      <w:pPr>
        <w:pStyle w:val="ListBullet"/>
      </w:pPr>
      <w:r>
        <w:t>NH IT Manager</w:t>
      </w:r>
    </w:p>
    <w:p>
      <w:pPr>
        <w:pStyle w:val="ListBullet"/>
      </w:pPr>
      <w:r>
        <w:t>Entity representatives</w:t>
      </w:r>
    </w:p>
    <w:p/>
    <w:p>
      <w:r>
        <w:rPr>
          <w:b/>
        </w:rPr>
        <w:t>Decision Authority:</w:t>
      </w:r>
    </w:p>
    <w:p>
      <w:pPr>
        <w:pStyle w:val="ListBullet"/>
      </w:pPr>
      <w:r>
        <w:t>Phase transition approvals</w:t>
      </w:r>
    </w:p>
    <w:p>
      <w:pPr>
        <w:pStyle w:val="ListBullet"/>
      </w:pPr>
      <w:r>
        <w:t>Markup adjustments</w:t>
      </w:r>
    </w:p>
    <w:p>
      <w:pPr>
        <w:pStyle w:val="ListBullet"/>
      </w:pPr>
      <w:r>
        <w:t>Dispute resolution</w:t>
      </w:r>
    </w:p>
    <w:p>
      <w:pPr>
        <w:pStyle w:val="ListBullet"/>
      </w:pPr>
      <w:r>
        <w:t>Termination decisions</w:t>
      </w:r>
    </w:p>
    <w:p>
      <w:r>
        <w:br w:type="page"/>
      </w:r>
    </w:p>
    <w:p>
      <w:pPr>
        <w:pStyle w:val="Heading1"/>
      </w:pPr>
      <w:r>
        <w:rPr>
          <w:color w:val="C41E3A"/>
        </w:rPr>
        <w:t>7. EXIT STRATEGY &amp; TERMINATION</w:t>
      </w:r>
    </w:p>
    <w:p>
      <w:pPr>
        <w:pStyle w:val="Heading2"/>
      </w:pPr>
      <w:r>
        <w:rPr>
          <w:color w:val="C41E3A"/>
        </w:rPr>
        <w:t>7.1 Termination Rights</w:t>
      </w:r>
    </w:p>
    <w:p>
      <w:r>
        <w:rPr>
          <w:b/>
        </w:rPr>
        <w:t>For Cause (Immediate):</w:t>
      </w:r>
    </w:p>
    <w:p>
      <w:pPr>
        <w:pStyle w:val="ListBullet"/>
      </w:pPr>
      <w:r>
        <w:t>SLA &lt;75% for 2 months</w:t>
      </w:r>
    </w:p>
    <w:p>
      <w:pPr>
        <w:pStyle w:val="ListBullet"/>
      </w:pPr>
      <w:r>
        <w:t>Financial misconduct</w:t>
      </w:r>
    </w:p>
    <w:p>
      <w:pPr>
        <w:pStyle w:val="ListBullet"/>
      </w:pPr>
      <w:r>
        <w:t>Security breach</w:t>
      </w:r>
    </w:p>
    <w:p>
      <w:pPr>
        <w:pStyle w:val="ListBullet"/>
      </w:pPr>
      <w:r>
        <w:t>Fraud</w:t>
      </w:r>
    </w:p>
    <w:p/>
    <w:p>
      <w:r>
        <w:rPr>
          <w:b/>
        </w:rPr>
        <w:t>For Convenience (90-day notice):</w:t>
      </w:r>
    </w:p>
    <w:p>
      <w:pPr>
        <w:pStyle w:val="ListBullet"/>
      </w:pPr>
      <w:r>
        <w:t>After Phase 1/2 if criteria not met</w:t>
      </w:r>
    </w:p>
    <w:p>
      <w:pPr>
        <w:pStyle w:val="ListBullet"/>
      </w:pPr>
      <w:r>
        <w:t>After Phase 3 anytime</w:t>
      </w:r>
    </w:p>
    <w:p>
      <w:pPr>
        <w:pStyle w:val="ListBullet"/>
      </w:pPr>
      <w:r>
        <w:t>Annual renewal decision</w:t>
      </w:r>
    </w:p>
    <w:p/>
    <w:p>
      <w:pPr>
        <w:pStyle w:val="Heading2"/>
      </w:pPr>
      <w:r>
        <w:rPr>
          <w:color w:val="C41E3A"/>
        </w:rPr>
        <w:t>7.2 Transition (90 Days)</w:t>
      </w:r>
    </w:p>
    <w:p>
      <w:pPr>
        <w:pStyle w:val="ListBullet"/>
      </w:pPr>
      <w:r>
        <w:t>Days 1-30: Planning and documentation</w:t>
      </w:r>
    </w:p>
    <w:p>
      <w:pPr>
        <w:pStyle w:val="ListBullet"/>
      </w:pPr>
      <w:r>
        <w:t>Days 31-60: Knowledge transfer</w:t>
      </w:r>
    </w:p>
    <w:p>
      <w:pPr>
        <w:pStyle w:val="ListBullet"/>
      </w:pPr>
      <w:r>
        <w:t>Days 61-90: Final handover</w:t>
      </w:r>
    </w:p>
    <w:p/>
    <w:p>
      <w:r>
        <w:rPr>
          <w:b/>
        </w:rPr>
        <w:t>NH Always Retains:</w:t>
      </w:r>
    </w:p>
    <w:p>
      <w:pPr>
        <w:pStyle w:val="ListBullet"/>
      </w:pPr>
      <w:r>
        <w:t>All vendor relationships</w:t>
      </w:r>
    </w:p>
    <w:p>
      <w:pPr>
        <w:pStyle w:val="ListBullet"/>
      </w:pPr>
      <w:r>
        <w:t>All contracts</w:t>
      </w:r>
    </w:p>
    <w:p>
      <w:pPr>
        <w:pStyle w:val="ListBullet"/>
      </w:pPr>
      <w:r>
        <w:t>All data</w:t>
      </w:r>
    </w:p>
    <w:p>
      <w:pPr>
        <w:pStyle w:val="ListBullet"/>
      </w:pPr>
      <w:r>
        <w:t>Direct vendor access</w:t>
      </w:r>
    </w:p>
    <w:p>
      <w:r>
        <w:br w:type="page"/>
      </w:r>
    </w:p>
    <w:p>
      <w:pPr>
        <w:pStyle w:val="Heading1"/>
      </w:pPr>
      <w:r>
        <w:rPr>
          <w:color w:val="C41E3A"/>
        </w:rPr>
        <w:t>8. APPENDICES</w:t>
      </w:r>
    </w:p>
    <w:p>
      <w:pPr>
        <w:pStyle w:val="Heading2"/>
      </w:pPr>
      <w:r>
        <w:rPr>
          <w:color w:val="C41E3A"/>
        </w:rPr>
        <w:t>Appendix A: Technology Portfolio Form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Category</w:t>
            </w:r>
          </w:p>
        </w:tc>
        <w:tc>
          <w:tcPr>
            <w:tcW w:type="dxa" w:w="1872"/>
          </w:tcPr>
          <w:p>
            <w:r>
              <w:t>Current Vendor</w:t>
            </w:r>
          </w:p>
        </w:tc>
        <w:tc>
          <w:tcPr>
            <w:tcW w:type="dxa" w:w="1872"/>
          </w:tcPr>
          <w:p>
            <w:r>
              <w:t>Annual Spend</w:t>
            </w:r>
          </w:p>
        </w:tc>
        <w:tc>
          <w:tcPr>
            <w:tcW w:type="dxa" w:w="1872"/>
          </w:tcPr>
          <w:p>
            <w:r>
              <w:t>Complexity</w:t>
            </w:r>
          </w:p>
        </w:tc>
        <w:tc>
          <w:tcPr>
            <w:tcW w:type="dxa" w:w="1872"/>
          </w:tcPr>
          <w:p>
            <w:r>
              <w:t>Requirements</w:t>
            </w:r>
          </w:p>
        </w:tc>
      </w:tr>
      <w:tr>
        <w:tc>
          <w:tcPr>
            <w:tcW w:type="dxa" w:w="1872"/>
          </w:tcPr>
          <w:p>
            <w:r>
              <w:t>Example: Cloud AWS</w:t>
            </w:r>
          </w:p>
        </w:tc>
        <w:tc>
          <w:tcPr>
            <w:tcW w:type="dxa" w:w="1872"/>
          </w:tcPr>
          <w:p>
            <w:r>
              <w:t>AWS Direct</w:t>
            </w:r>
          </w:p>
        </w:tc>
        <w:tc>
          <w:tcPr>
            <w:tcW w:type="dxa" w:w="1872"/>
          </w:tcPr>
          <w:p>
            <w:r>
              <w:t>AED 500K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RI support needed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41E3A"/>
        </w:rPr>
        <w:t>9. APPROVAL &amp; SIGNATURES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Prepared By:</w:t>
            </w:r>
          </w:p>
        </w:tc>
        <w:tc>
          <w:tcPr>
            <w:tcW w:type="dxa" w:w="4680"/>
          </w:tcPr>
          <w:p>
            <w:r>
              <w:t>NH IT Manager</w:t>
            </w:r>
          </w:p>
        </w:tc>
      </w:tr>
      <w:tr>
        <w:tc>
          <w:tcPr>
            <w:tcW w:type="dxa" w:w="4680"/>
          </w:tcPr>
          <w:p>
            <w:r>
              <w:t>Name:</w:t>
            </w:r>
          </w:p>
        </w:tc>
        <w:tc>
          <w:tcPr>
            <w:tcW w:type="dxa" w:w="4680"/>
          </w:tcPr>
          <w:p>
            <w:r>
              <w:t>_________________________________</w:t>
            </w:r>
          </w:p>
        </w:tc>
      </w:tr>
      <w:tr>
        <w:tc>
          <w:tcPr>
            <w:tcW w:type="dxa" w:w="4680"/>
          </w:tcPr>
          <w:p>
            <w:r>
              <w:t>Signature:</w:t>
            </w:r>
          </w:p>
        </w:tc>
        <w:tc>
          <w:tcPr>
            <w:tcW w:type="dxa" w:w="4680"/>
          </w:tcPr>
          <w:p>
            <w:r>
              <w:t>_________________________________</w:t>
            </w:r>
          </w:p>
        </w:tc>
      </w:tr>
      <w:tr>
        <w:tc>
          <w:tcPr>
            <w:tcW w:type="dxa" w:w="4680"/>
          </w:tcPr>
          <w:p>
            <w:r>
              <w:t>Date:</w:t>
            </w:r>
          </w:p>
        </w:tc>
        <w:tc>
          <w:tcPr>
            <w:tcW w:type="dxa" w:w="4680"/>
          </w:tcPr>
          <w:p>
            <w:r>
              <w:t>_________________________________</w:t>
            </w:r>
          </w:p>
        </w:tc>
      </w:tr>
    </w:tbl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Approved By:</w:t>
            </w:r>
          </w:p>
        </w:tc>
        <w:tc>
          <w:tcPr>
            <w:tcW w:type="dxa" w:w="4680"/>
          </w:tcPr>
          <w:p>
            <w:r>
              <w:t>Group CEO</w:t>
            </w:r>
          </w:p>
        </w:tc>
      </w:tr>
      <w:tr>
        <w:tc>
          <w:tcPr>
            <w:tcW w:type="dxa" w:w="4680"/>
          </w:tcPr>
          <w:p>
            <w:r>
              <w:t>Name:</w:t>
            </w:r>
          </w:p>
        </w:tc>
        <w:tc>
          <w:tcPr>
            <w:tcW w:type="dxa" w:w="4680"/>
          </w:tcPr>
          <w:p>
            <w:r>
              <w:t>_________________________________</w:t>
            </w:r>
          </w:p>
        </w:tc>
      </w:tr>
      <w:tr>
        <w:tc>
          <w:tcPr>
            <w:tcW w:type="dxa" w:w="4680"/>
          </w:tcPr>
          <w:p>
            <w:r>
              <w:t>Signature:</w:t>
            </w:r>
          </w:p>
        </w:tc>
        <w:tc>
          <w:tcPr>
            <w:tcW w:type="dxa" w:w="4680"/>
          </w:tcPr>
          <w:p>
            <w:r>
              <w:t>_________________________________</w:t>
            </w:r>
          </w:p>
        </w:tc>
      </w:tr>
      <w:tr>
        <w:tc>
          <w:tcPr>
            <w:tcW w:type="dxa" w:w="4680"/>
          </w:tcPr>
          <w:p>
            <w:r>
              <w:t>Date:</w:t>
            </w:r>
          </w:p>
        </w:tc>
        <w:tc>
          <w:tcPr>
            <w:tcW w:type="dxa" w:w="4680"/>
          </w:tcPr>
          <w:p>
            <w:r>
              <w:t>_________________________________</w:t>
            </w:r>
          </w:p>
        </w:tc>
      </w:tr>
    </w:tbl>
    <w:p/>
    <w:p/>
    <w:p>
      <w:pPr>
        <w:jc w:val="center"/>
      </w:pPr>
      <w:r>
        <w:rPr>
          <w:b/>
          <w:sz w:val="26"/>
        </w:rPr>
        <w:t>END OF FRAMEWORK DOCUMENT</w:t>
      </w:r>
    </w:p>
    <w:p/>
    <w:p>
      <w:pPr>
        <w:jc w:val="center"/>
      </w:pPr>
      <w:r>
        <w:rPr>
          <w:sz w:val="20"/>
        </w:rPr>
        <w:t>Next Review Date: Q4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