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0"/>
      </w:pPr>
    </w:p>
    <w:p>
      <w:pPr>
        <w:spacing w:after="0"/>
      </w:pPr>
    </w:p>
    <w:p>
      <w:pPr>
        <w:spacing w:after="0"/>
      </w:pPr>
    </w:p>
    <w:p>
      <w:pPr>
        <w:spacing w:after="0"/>
      </w:pPr>
    </w:p>
    <w:p>
      <w:pPr>
        <w:spacing w:after="0"/>
      </w:pPr>
    </w:p>
    <w:p>
      <w:pPr>
        <w:spacing w:after="0"/>
      </w:pPr>
    </w:p>
    <w:p>
      <w:pPr>
        <w:spacing w:after="120"/>
        <w:jc w:val="center"/>
      </w:pPr>
      <w:r>
        <w:rPr>
          <w:b/>
          <w:i w:val="0"/>
          <w:color w:val="1C5CAB"/>
          <w:sz w:val="52"/>
        </w:rPr>
        <w:t>Forecasting India's Minimum Support Prices</w:t>
      </w:r>
    </w:p>
    <w:p>
      <w:pPr>
        <w:spacing w:after="600"/>
        <w:jc w:val="center"/>
      </w:pPr>
      <w:r>
        <w:rPr>
          <w:b w:val="0"/>
          <w:i w:val="0"/>
          <w:color w:val="52514E"/>
          <w:sz w:val="32"/>
        </w:rPr>
        <w:t>Project Report</w:t>
      </w:r>
    </w:p>
    <w:p>
      <w:pPr>
        <w:spacing w:after="80"/>
        <w:jc w:val="center"/>
      </w:pPr>
      <w:r>
        <w:rPr>
          <w:b/>
          <w:i w:val="0"/>
          <w:color w:val="0B0B0B"/>
          <w:sz w:val="28"/>
        </w:rPr>
        <w:t>Kartik Jain</w:t>
      </w:r>
    </w:p>
    <w:p>
      <w:pPr>
        <w:spacing w:after="80"/>
        <w:jc w:val="center"/>
      </w:pPr>
      <w:r>
        <w:rPr>
          <w:b w:val="0"/>
          <w:i w:val="0"/>
          <w:color w:val="52514E"/>
          <w:sz w:val="22"/>
        </w:rPr>
        <w:t>Baderia Global Institute of Engineering and Management, Jabalpur</w:t>
      </w:r>
    </w:p>
    <w:p>
      <w:pPr>
        <w:spacing w:after="1200"/>
        <w:jc w:val="center"/>
      </w:pPr>
      <w:r>
        <w:rPr>
          <w:b w:val="0"/>
          <w:i w:val="0"/>
          <w:color w:val="52514E"/>
          <w:sz w:val="24"/>
        </w:rPr>
        <w:t>2026</w:t>
      </w:r>
    </w:p>
    <w:p>
      <w:pPr>
        <w:spacing w:after="0"/>
      </w:pPr>
    </w:p>
    <w:p>
      <w:pPr>
        <w:spacing w:after="0"/>
      </w:pPr>
    </w:p>
    <w:p>
      <w:pPr>
        <w:spacing w:after="0"/>
      </w:pPr>
    </w:p>
    <w:p>
      <w:pPr>
        <w:spacing w:after="0"/>
      </w:pPr>
    </w:p>
    <w:p>
      <w:pPr>
        <w:spacing w:after="80"/>
        <w:jc w:val="center"/>
      </w:pPr>
      <w:r>
        <w:rPr>
          <w:b/>
          <w:i w:val="0"/>
          <w:color w:val="0B0B0B"/>
          <w:sz w:val="26"/>
        </w:rPr>
        <w:t>Fundamentals of AI Using Agriculture Data Set</w:t>
      </w:r>
    </w:p>
    <w:p>
      <w:pPr>
        <w:spacing w:after="160"/>
        <w:jc w:val="center"/>
      </w:pPr>
      <w:r>
        <w:rPr>
          <w:b w:val="0"/>
          <w:i w:val="0"/>
          <w:color w:val="52514E"/>
          <w:sz w:val="20"/>
        </w:rPr>
        <w:t>ANNAM.AI – Centre of Excellence, Ministry of Education, Government of India, IIT Ropar</w:t>
      </w:r>
    </w:p>
    <w:p>
      <w:r>
        <w:br w:type="page"/>
      </w:r>
    </w:p>
    <w:p>
      <w:pPr>
        <w:pStyle w:val="Heading1"/>
        <w:keepNext/>
      </w:pPr>
      <w:r>
        <w:t>Certificate</w:t>
      </w:r>
    </w:p>
    <w:p>
      <w:pPr>
        <w:spacing w:after="200"/>
      </w:pPr>
    </w:p>
    <w:p>
      <w:pPr>
        <w:spacing w:line="384" w:lineRule="auto"/>
        <w:jc w:val="both"/>
      </w:pPr>
      <w:r>
        <w:rPr>
          <w:b w:val="0"/>
          <w:sz w:val="24"/>
        </w:rPr>
        <w:t xml:space="preserve">This is to certify that </w:t>
      </w:r>
      <w:r>
        <w:rPr>
          <w:b/>
          <w:sz w:val="24"/>
        </w:rPr>
        <w:t>Kartik Jain</w:t>
      </w:r>
      <w:r>
        <w:rPr>
          <w:b w:val="0"/>
          <w:sz w:val="24"/>
        </w:rPr>
        <w:t xml:space="preserve"> from </w:t>
      </w:r>
      <w:r>
        <w:rPr>
          <w:b/>
          <w:sz w:val="24"/>
        </w:rPr>
        <w:t>Baderia Global Institute of Engineering and Management, Jabalpur</w:t>
      </w:r>
      <w:r>
        <w:rPr>
          <w:b w:val="0"/>
          <w:sz w:val="24"/>
        </w:rPr>
        <w:t xml:space="preserve"> has successfully completed the project work titled </w:t>
      </w:r>
      <w:r>
        <w:rPr>
          <w:b/>
          <w:sz w:val="24"/>
        </w:rPr>
        <w:t>Forecasting India's Minimum Support Prices</w:t>
      </w:r>
      <w:r>
        <w:rPr>
          <w:b w:val="0"/>
          <w:sz w:val="24"/>
        </w:rPr>
        <w:t xml:space="preserve"> as part of the 1-credit course “Fundamentals of AI using Agriculture Data Set”, offered under ANNAM.AI – Centre of Excellence, Ministry of Education, Government of India, at IIT Ropar. This project constitutes a component of the 30 hours of learning prescribed for the course and reflects the student’s independent effort in problem selection, method design, and implementation.</w:t>
      </w:r>
    </w:p>
    <w:p>
      <w:r>
        <w:br w:type="page"/>
      </w:r>
    </w:p>
    <w:p>
      <w:pPr>
        <w:pStyle w:val="Heading1"/>
        <w:keepNext/>
      </w:pPr>
      <w:r>
        <w:t>Index</w:t>
      </w:r>
    </w:p>
    <w:p>
      <w:pPr>
        <w:spacing w:after="200"/>
      </w:pPr>
    </w:p>
    <w:p>
      <w:pPr>
        <w:spacing w:after="160"/>
      </w:pPr>
      <w:r>
        <w:rPr>
          <w:sz w:val="24"/>
        </w:rPr>
        <w:t>1.  Introduction and Motivation</w:t>
      </w:r>
    </w:p>
    <w:p>
      <w:pPr>
        <w:spacing w:after="160"/>
      </w:pPr>
      <w:r>
        <w:rPr>
          <w:sz w:val="24"/>
        </w:rPr>
        <w:t>2.  Problem Statement</w:t>
      </w:r>
    </w:p>
    <w:p>
      <w:pPr>
        <w:spacing w:after="160"/>
      </w:pPr>
      <w:r>
        <w:rPr>
          <w:sz w:val="24"/>
        </w:rPr>
        <w:t>3.  Dataset Understanding</w:t>
      </w:r>
    </w:p>
    <w:p>
      <w:pPr>
        <w:spacing w:after="160"/>
      </w:pPr>
      <w:r>
        <w:rPr>
          <w:sz w:val="24"/>
        </w:rPr>
        <w:t>4.  Methodology</w:t>
      </w:r>
    </w:p>
    <w:p>
      <w:pPr>
        <w:spacing w:after="160"/>
      </w:pPr>
      <w:r>
        <w:rPr>
          <w:sz w:val="24"/>
        </w:rPr>
        <w:t>5.  Implementation Details</w:t>
      </w:r>
    </w:p>
    <w:p>
      <w:pPr>
        <w:spacing w:after="160"/>
      </w:pPr>
      <w:r>
        <w:rPr>
          <w:sz w:val="24"/>
        </w:rPr>
        <w:t>6.  Results and Discussions</w:t>
      </w:r>
    </w:p>
    <w:p>
      <w:pPr>
        <w:spacing w:after="160"/>
      </w:pPr>
      <w:r>
        <w:rPr>
          <w:sz w:val="24"/>
        </w:rPr>
        <w:t>7.  Conclusion</w:t>
      </w:r>
    </w:p>
    <w:p>
      <w:pPr>
        <w:spacing w:after="160"/>
      </w:pPr>
      <w:r>
        <w:rPr>
          <w:sz w:val="24"/>
        </w:rPr>
        <w:t>8.  References</w:t>
      </w:r>
    </w:p>
    <w:p>
      <w:r>
        <w:rPr>
          <w:sz w:val="24"/>
        </w:rPr>
        <w:t>Appendix</w:t>
      </w:r>
    </w:p>
    <w:p>
      <w:r>
        <w:br w:type="page"/>
      </w:r>
    </w:p>
    <w:p>
      <w:pPr>
        <w:pStyle w:val="Heading1"/>
        <w:keepNext/>
      </w:pPr>
      <w:r>
        <w:t>1. Introduction and Motivation</w:t>
      </w:r>
    </w:p>
    <w:p>
      <w:pPr>
        <w:spacing w:after="160"/>
      </w:pPr>
      <w:r>
        <w:rPr>
          <w:b w:val="0"/>
          <w:i w:val="0"/>
          <w:color w:val="0B0B0B"/>
          <w:sz w:val="22"/>
        </w:rPr>
        <w:t>Agriculture supports close to half of India’s workforce, and for most of that workforce the single most consequential number in the year is the price their crop will fetch. The Minimum Support Price (MSP) is the government’s answer to that uncertainty: a floor price, announced each season by the Cabinet on the recommendation of the Commission for Agricultural Costs and Prices (CACP), at which government agencies stand ready to procure. It is the closest thing Indian farming has to a guaranteed income signal.</w:t>
      </w:r>
    </w:p>
    <w:p>
      <w:pPr>
        <w:spacing w:after="160"/>
      </w:pPr>
      <w:r>
        <w:rPr>
          <w:b w:val="0"/>
          <w:i w:val="0"/>
          <w:color w:val="0B0B0B"/>
          <w:sz w:val="22"/>
        </w:rPr>
        <w:t>There is a timing problem, though. Sowing decisions are made months before the MSP for that marketing season is announced. A farmer choosing between paddy and cotton in June is committing land, seed, fertiliser and labour against a price they will not learn until after the decision is irreversible. The MSP exists to remove price risk, but the announcement calendar puts the most important decision ahead of the information.</w:t>
      </w:r>
    </w:p>
    <w:p>
      <w:pPr>
        <w:spacing w:after="160"/>
      </w:pPr>
      <w:r>
        <w:rPr>
          <w:b w:val="0"/>
          <w:i w:val="0"/>
          <w:color w:val="0B0B0B"/>
          <w:sz w:val="22"/>
        </w:rPr>
        <w:t>That gap is what makes MSP a genuinely useful forecasting target rather than a textbook exercise. If next season’s support price can be estimated to within a few percent before sowing, the estimate has direct economic value — for a farmer weighing crops, for a state agency planning procurement budgets, and for a policy analyst asking whether announced prices are keeping pace with the cost of production.</w:t>
      </w:r>
    </w:p>
    <w:p>
      <w:pPr>
        <w:spacing w:after="160"/>
      </w:pPr>
      <w:r>
        <w:rPr>
          <w:b w:val="0"/>
          <w:sz w:val="22"/>
        </w:rPr>
        <w:t xml:space="preserve">This project asks a deliberately demanding version of that question. It is easy to fit a curve through five points and report a small error; it is much harder to show the forecast would have been right. So every model here is finally judged not on how well it describes 2017-2021, but on how close it comes to </w:t>
      </w:r>
      <w:r>
        <w:rPr>
          <w:b/>
          <w:sz w:val="22"/>
        </w:rPr>
        <w:t>the MSP the Government of India actually announced afterwards</w:t>
      </w:r>
      <w:r>
        <w:rPr>
          <w:b w:val="0"/>
          <w:sz w:val="22"/>
        </w:rPr>
        <w:t xml:space="preserve"> — 42 published prices that no model was allowed to see.</w:t>
      </w:r>
    </w:p>
    <w:p>
      <w:r>
        <w:br w:type="page"/>
      </w:r>
    </w:p>
    <w:p>
      <w:pPr>
        <w:pStyle w:val="Heading1"/>
        <w:keepNext/>
      </w:pPr>
      <w:r>
        <w:t>2. Problem Statement</w:t>
      </w:r>
    </w:p>
    <w:p>
      <w:pPr>
        <w:spacing w:after="160"/>
      </w:pPr>
      <w:r>
        <w:rPr>
          <w:b w:val="0"/>
          <w:i w:val="0"/>
          <w:color w:val="0B0B0B"/>
          <w:sz w:val="22"/>
        </w:rPr>
        <w:t>Given five years of official MSP data (crop years 2017-18 to 2021-22) for 28 commodity-variety series, build and rigorously evaluate a system that forecasts the support price for the seasons that follow.</w:t>
      </w:r>
    </w:p>
    <w:p>
      <w:pPr>
        <w:pStyle w:val="Heading2"/>
        <w:keepNext/>
      </w:pPr>
      <w:r>
        <w:t>Scope</w:t>
      </w:r>
    </w:p>
    <w:p>
      <w:pPr>
        <w:pStyle w:val="ListBullet"/>
        <w:spacing w:after="80"/>
      </w:pPr>
      <w:r>
        <w:rPr>
          <w:b/>
          <w:sz w:val="22"/>
        </w:rPr>
        <w:t xml:space="preserve">Forecast target: </w:t>
      </w:r>
      <w:r>
        <w:rPr>
          <w:sz w:val="22"/>
        </w:rPr>
        <w:t>MSP in ₹ per quintal, for each commodity-variety series separately, for the 2022-23, 2023-24 and 2024-25 seasons.</w:t>
      </w:r>
    </w:p>
    <w:p>
      <w:pPr>
        <w:pStyle w:val="ListBullet"/>
        <w:spacing w:after="80"/>
      </w:pPr>
      <w:r>
        <w:rPr>
          <w:b/>
          <w:sz w:val="22"/>
        </w:rPr>
        <w:t xml:space="preserve">Model families: </w:t>
      </w:r>
      <w:r>
        <w:rPr>
          <w:sz w:val="22"/>
        </w:rPr>
        <w:t>ten models spanning naive baselines, parametric trend models, classical time-series methods, tree ensembles and a forecast combination.</w:t>
      </w:r>
    </w:p>
    <w:p>
      <w:pPr>
        <w:pStyle w:val="ListBullet"/>
        <w:spacing w:after="80"/>
      </w:pPr>
      <w:r>
        <w:rPr>
          <w:b/>
          <w:sz w:val="22"/>
        </w:rPr>
        <w:t xml:space="preserve">Evaluation: </w:t>
      </w:r>
      <w:r>
        <w:rPr>
          <w:sz w:val="22"/>
        </w:rPr>
        <w:t>one identical rolling-origin backtest for every model, followed by validation against MSP values the government has since published.</w:t>
      </w:r>
    </w:p>
    <w:p>
      <w:pPr>
        <w:pStyle w:val="Heading2"/>
        <w:keepNext/>
      </w:pPr>
      <w:r>
        <w:t>What counts as success</w:t>
      </w:r>
    </w:p>
    <w:p>
      <w:pPr>
        <w:spacing w:after="160"/>
      </w:pPr>
      <w:r>
        <w:rPr>
          <w:b w:val="0"/>
          <w:i w:val="0"/>
          <w:color w:val="0B0B0B"/>
          <w:sz w:val="22"/>
        </w:rPr>
        <w:t>A forecast is only useful if it beats the free alternative. The benchmark is therefore the naive model — assume next season’s MSP equals this season’s — and the project reports MASE (model error ÷ naive error) throughout. A model that cannot get MASE below 1.0 has added nothing, however impressive its absolute error looks in isolation.</w:t>
      </w:r>
    </w:p>
    <w:p>
      <w:pPr>
        <w:spacing w:after="160"/>
      </w:pPr>
      <w:r>
        <w:rPr>
          <w:b w:val="0"/>
          <w:sz w:val="22"/>
        </w:rPr>
        <w:t xml:space="preserve">Concretely, the system should: (i) forecast at least </w:t>
      </w:r>
      <w:r>
        <w:rPr>
          <w:b/>
          <w:sz w:val="22"/>
        </w:rPr>
        <w:t>42 published MSP values</w:t>
      </w:r>
      <w:r>
        <w:rPr>
          <w:b w:val="0"/>
          <w:sz w:val="22"/>
        </w:rPr>
        <w:t xml:space="preserve"> to within single-digit percentage error; (ii) identify which model family is genuinely most reliable, using a protocol that treats every model the same; and (iii) be honest about what the data cannot support.</w:t>
      </w:r>
    </w:p>
    <w:p>
      <w:r>
        <w:br w:type="page"/>
      </w:r>
    </w:p>
    <w:p>
      <w:pPr>
        <w:pStyle w:val="Heading1"/>
        <w:keepNext/>
      </w:pPr>
      <w:r>
        <w:t>3. Dataset Understanding</w:t>
      </w:r>
    </w:p>
    <w:p>
      <w:pPr>
        <w:pStyle w:val="Heading2"/>
        <w:keepNext/>
      </w:pPr>
      <w:r>
        <w:t>3.1 Source</w:t>
      </w:r>
    </w:p>
    <w:tbl>
      <w:tblPr>
        <w:tblStyle w:val="TableGrid"/>
        <w:tblW w:type="auto" w:w="0"/>
        <w:jc w:val="center"/>
        <w:tblLook w:firstColumn="1" w:firstRow="1" w:lastColumn="0" w:lastRow="0" w:noHBand="0" w:noVBand="1" w:val="04A0"/>
      </w:tblPr>
      <w:tblGrid>
        <w:gridCol w:w="4514"/>
        <w:gridCol w:w="4514"/>
      </w:tblGrid>
      <w:tr>
        <w:tc>
          <w:tcPr>
            <w:tcW w:type="dxa" w:w="3024"/>
            <w:shd w:val="clear" w:fill="DCE7F7"/>
          </w:tcPr>
          <w:p>
            <w:pPr>
              <w:spacing w:after="40"/>
            </w:pPr>
            <w:r/>
            <w:r>
              <w:rPr>
                <w:b/>
                <w:sz w:val="20"/>
              </w:rPr>
              <w:t>Attribute</w:t>
            </w:r>
          </w:p>
        </w:tc>
        <w:tc>
          <w:tcPr>
            <w:tcW w:type="dxa" w:w="6192"/>
            <w:shd w:val="clear" w:fill="DCE7F7"/>
          </w:tcPr>
          <w:p>
            <w:pPr>
              <w:spacing w:after="40"/>
            </w:pPr>
            <w:r/>
            <w:r>
              <w:rPr>
                <w:b/>
                <w:sz w:val="20"/>
              </w:rPr>
              <w:t>Detail</w:t>
            </w:r>
          </w:p>
        </w:tc>
      </w:tr>
      <w:tr>
        <w:tc>
          <w:tcPr>
            <w:tcW w:type="dxa" w:w="3024"/>
          </w:tcPr>
          <w:p>
            <w:pPr>
              <w:spacing w:after="40"/>
            </w:pPr>
            <w:r/>
            <w:r>
              <w:rPr>
                <w:sz w:val="20"/>
              </w:rPr>
              <w:t>Dataset</w:t>
            </w:r>
          </w:p>
        </w:tc>
        <w:tc>
          <w:tcPr>
            <w:tcW w:type="dxa" w:w="6192"/>
          </w:tcPr>
          <w:p>
            <w:pPr>
              <w:spacing w:after="40"/>
            </w:pPr>
            <w:r/>
            <w:r>
              <w:rPr>
                <w:sz w:val="20"/>
              </w:rPr>
              <w:t>Minimum Support Prices for Agricultural Crops</w:t>
            </w:r>
          </w:p>
        </w:tc>
      </w:tr>
      <w:tr>
        <w:tc>
          <w:tcPr>
            <w:tcW w:type="dxa" w:w="3024"/>
          </w:tcPr>
          <w:p>
            <w:pPr>
              <w:spacing w:after="40"/>
            </w:pPr>
            <w:r/>
            <w:r>
              <w:rPr>
                <w:sz w:val="20"/>
              </w:rPr>
              <w:t>Publisher</w:t>
            </w:r>
          </w:p>
        </w:tc>
        <w:tc>
          <w:tcPr>
            <w:tcW w:type="dxa" w:w="6192"/>
          </w:tcPr>
          <w:p>
            <w:pPr>
              <w:spacing w:after="40"/>
            </w:pPr>
            <w:r/>
            <w:r>
              <w:rPr>
                <w:sz w:val="20"/>
              </w:rPr>
              <w:t>Ministry of Agriculture &amp; Farmers Welfare, Government of India</w:t>
            </w:r>
          </w:p>
        </w:tc>
      </w:tr>
      <w:tr>
        <w:tc>
          <w:tcPr>
            <w:tcW w:type="dxa" w:w="3024"/>
          </w:tcPr>
          <w:p>
            <w:pPr>
              <w:spacing w:after="40"/>
            </w:pPr>
            <w:r/>
            <w:r>
              <w:rPr>
                <w:sz w:val="20"/>
              </w:rPr>
              <w:t>Portal</w:t>
            </w:r>
          </w:p>
        </w:tc>
        <w:tc>
          <w:tcPr>
            <w:tcW w:type="dxa" w:w="6192"/>
          </w:tcPr>
          <w:p>
            <w:pPr>
              <w:spacing w:after="40"/>
            </w:pPr>
            <w:r/>
            <w:r>
              <w:rPr>
                <w:sz w:val="20"/>
              </w:rPr>
              <w:t>data.gov.in (Open Government Data platform)</w:t>
            </w:r>
          </w:p>
        </w:tc>
      </w:tr>
      <w:tr>
        <w:tc>
          <w:tcPr>
            <w:tcW w:type="dxa" w:w="3024"/>
          </w:tcPr>
          <w:p>
            <w:pPr>
              <w:spacing w:after="40"/>
            </w:pPr>
            <w:r/>
            <w:r>
              <w:rPr>
                <w:sz w:val="20"/>
              </w:rPr>
              <w:t>Parliamentary reference</w:t>
            </w:r>
          </w:p>
        </w:tc>
        <w:tc>
          <w:tcPr>
            <w:tcW w:type="dxa" w:w="6192"/>
          </w:tcPr>
          <w:p>
            <w:pPr>
              <w:spacing w:after="40"/>
            </w:pPr>
            <w:r/>
            <w:r>
              <w:rPr>
                <w:sz w:val="20"/>
              </w:rPr>
              <w:t>Rajya Sabha Session 255, Unstarred Question AU-1460</w:t>
            </w:r>
          </w:p>
        </w:tc>
      </w:tr>
      <w:tr>
        <w:tc>
          <w:tcPr>
            <w:tcW w:type="dxa" w:w="3024"/>
          </w:tcPr>
          <w:p>
            <w:pPr>
              <w:spacing w:after="40"/>
            </w:pPr>
            <w:r/>
            <w:r>
              <w:rPr>
                <w:sz w:val="20"/>
              </w:rPr>
              <w:t>Coverage</w:t>
            </w:r>
          </w:p>
        </w:tc>
        <w:tc>
          <w:tcPr>
            <w:tcW w:type="dxa" w:w="6192"/>
          </w:tcPr>
          <w:p>
            <w:pPr>
              <w:spacing w:after="40"/>
            </w:pPr>
            <w:r/>
            <w:r>
              <w:rPr>
                <w:sz w:val="20"/>
              </w:rPr>
              <w:t>Crop years 2017-18 to 2021-22 (five seasons)</w:t>
            </w:r>
          </w:p>
        </w:tc>
      </w:tr>
      <w:tr>
        <w:tc>
          <w:tcPr>
            <w:tcW w:type="dxa" w:w="3024"/>
          </w:tcPr>
          <w:p>
            <w:pPr>
              <w:spacing w:after="40"/>
            </w:pPr>
            <w:r/>
            <w:r>
              <w:rPr>
                <w:sz w:val="20"/>
              </w:rPr>
              <w:t>Records</w:t>
            </w:r>
          </w:p>
        </w:tc>
        <w:tc>
          <w:tcPr>
            <w:tcW w:type="dxa" w:w="6192"/>
          </w:tcPr>
          <w:p>
            <w:pPr>
              <w:spacing w:after="40"/>
            </w:pPr>
            <w:r/>
            <w:r>
              <w:rPr>
                <w:sz w:val="20"/>
              </w:rPr>
              <w:t>28 commodity-variety rows × 5 year columns</w:t>
            </w:r>
          </w:p>
        </w:tc>
      </w:tr>
      <w:tr>
        <w:tc>
          <w:tcPr>
            <w:tcW w:type="dxa" w:w="3024"/>
          </w:tcPr>
          <w:p>
            <w:pPr>
              <w:spacing w:after="40"/>
            </w:pPr>
            <w:r/>
            <w:r>
              <w:rPr>
                <w:sz w:val="20"/>
              </w:rPr>
              <w:t>Unit</w:t>
            </w:r>
          </w:p>
        </w:tc>
        <w:tc>
          <w:tcPr>
            <w:tcW w:type="dxa" w:w="6192"/>
          </w:tcPr>
          <w:p>
            <w:pPr>
              <w:spacing w:after="40"/>
            </w:pPr>
            <w:r/>
            <w:r>
              <w:rPr>
                <w:sz w:val="20"/>
              </w:rPr>
              <w:t>₹ per quintal</w:t>
            </w:r>
          </w:p>
        </w:tc>
      </w:tr>
      <w:tr>
        <w:tc>
          <w:tcPr>
            <w:tcW w:type="dxa" w:w="3024"/>
          </w:tcPr>
          <w:p>
            <w:pPr>
              <w:spacing w:after="40"/>
            </w:pPr>
            <w:r/>
            <w:r>
              <w:rPr>
                <w:sz w:val="20"/>
              </w:rPr>
              <w:t>Licence</w:t>
            </w:r>
          </w:p>
        </w:tc>
        <w:tc>
          <w:tcPr>
            <w:tcW w:type="dxa" w:w="6192"/>
          </w:tcPr>
          <w:p>
            <w:pPr>
              <w:spacing w:after="40"/>
            </w:pPr>
            <w:r/>
            <w:r>
              <w:rPr>
                <w:sz w:val="20"/>
              </w:rPr>
              <w:t>Open Government Data (OGD) Licence – India</w:t>
            </w:r>
          </w:p>
        </w:tc>
      </w:tr>
    </w:tbl>
    <w:p>
      <w:pPr>
        <w:spacing w:after="80"/>
      </w:pPr>
    </w:p>
    <w:p>
      <w:pPr>
        <w:pStyle w:val="Heading2"/>
        <w:keepNext/>
      </w:pPr>
      <w:r>
        <w:t>3.2 Structure and coverage</w:t>
      </w:r>
    </w:p>
    <w:p>
      <w:pPr>
        <w:spacing w:after="120"/>
      </w:pPr>
      <w:r>
        <w:rPr>
          <w:b w:val="0"/>
          <w:i w:val="0"/>
          <w:color w:val="0B0B0B"/>
          <w:sz w:val="22"/>
        </w:rPr>
        <w:t>The file is a wide table: identifying columns (serial number, cropping season, commodity, variety) followed by one price column per crop year. The 28 rows split across three cropping seasons.</w:t>
      </w:r>
    </w:p>
    <w:tbl>
      <w:tblPr>
        <w:tblStyle w:val="TableGrid"/>
        <w:tblW w:type="auto" w:w="0"/>
        <w:jc w:val="center"/>
        <w:tblLook w:firstColumn="1" w:firstRow="1" w:lastColumn="0" w:lastRow="0" w:noHBand="0" w:noVBand="1" w:val="04A0"/>
      </w:tblPr>
      <w:tblGrid>
        <w:gridCol w:w="3010"/>
        <w:gridCol w:w="3010"/>
        <w:gridCol w:w="3010"/>
      </w:tblGrid>
      <w:tr>
        <w:tc>
          <w:tcPr>
            <w:tcW w:type="dxa" w:w="2016"/>
            <w:shd w:val="clear" w:fill="DCE7F7"/>
          </w:tcPr>
          <w:p>
            <w:pPr>
              <w:spacing w:after="40"/>
            </w:pPr>
            <w:r/>
            <w:r>
              <w:rPr>
                <w:b/>
                <w:sz w:val="19"/>
              </w:rPr>
              <w:t>Cropping season</w:t>
            </w:r>
          </w:p>
        </w:tc>
        <w:tc>
          <w:tcPr>
            <w:tcW w:type="dxa" w:w="1008"/>
            <w:shd w:val="clear" w:fill="DCE7F7"/>
          </w:tcPr>
          <w:p>
            <w:pPr>
              <w:spacing w:after="40"/>
            </w:pPr>
            <w:r/>
            <w:r>
              <w:rPr>
                <w:b/>
                <w:sz w:val="19"/>
              </w:rPr>
              <w:t>Series</w:t>
            </w:r>
          </w:p>
        </w:tc>
        <w:tc>
          <w:tcPr>
            <w:tcW w:type="dxa" w:w="6192"/>
            <w:shd w:val="clear" w:fill="DCE7F7"/>
          </w:tcPr>
          <w:p>
            <w:pPr>
              <w:spacing w:after="40"/>
            </w:pPr>
            <w:r/>
            <w:r>
              <w:rPr>
                <w:b/>
                <w:sz w:val="19"/>
              </w:rPr>
              <w:t>Representative commodities</w:t>
            </w:r>
          </w:p>
        </w:tc>
      </w:tr>
      <w:tr>
        <w:tc>
          <w:tcPr>
            <w:tcW w:type="dxa" w:w="2016"/>
          </w:tcPr>
          <w:p>
            <w:pPr>
              <w:spacing w:after="40"/>
            </w:pPr>
            <w:r/>
            <w:r>
              <w:rPr>
                <w:sz w:val="19"/>
              </w:rPr>
              <w:t>Kharif Crops</w:t>
            </w:r>
          </w:p>
        </w:tc>
        <w:tc>
          <w:tcPr>
            <w:tcW w:type="dxa" w:w="1008"/>
          </w:tcPr>
          <w:p>
            <w:pPr>
              <w:spacing w:after="40"/>
            </w:pPr>
            <w:r/>
            <w:r>
              <w:rPr>
                <w:sz w:val="19"/>
              </w:rPr>
              <w:t>17</w:t>
            </w:r>
          </w:p>
        </w:tc>
        <w:tc>
          <w:tcPr>
            <w:tcW w:type="dxa" w:w="6192"/>
          </w:tcPr>
          <w:p>
            <w:pPr>
              <w:spacing w:after="40"/>
            </w:pPr>
            <w:r/>
            <w:r>
              <w:rPr>
                <w:sz w:val="19"/>
              </w:rPr>
              <w:t>Paddy, Jowar, Bajra, Ragi, Maize, Arhar, Moong, Urad, Cotton, Groundnut, Sunflower, Soyabean, Sesamum, Nigerseed</w:t>
            </w:r>
          </w:p>
        </w:tc>
      </w:tr>
      <w:tr>
        <w:tc>
          <w:tcPr>
            <w:tcW w:type="dxa" w:w="2016"/>
          </w:tcPr>
          <w:p>
            <w:pPr>
              <w:spacing w:after="40"/>
            </w:pPr>
            <w:r/>
            <w:r>
              <w:rPr>
                <w:sz w:val="19"/>
              </w:rPr>
              <w:t>Rabi Crops</w:t>
            </w:r>
          </w:p>
        </w:tc>
        <w:tc>
          <w:tcPr>
            <w:tcW w:type="dxa" w:w="1008"/>
          </w:tcPr>
          <w:p>
            <w:pPr>
              <w:spacing w:after="40"/>
            </w:pPr>
            <w:r/>
            <w:r>
              <w:rPr>
                <w:sz w:val="19"/>
              </w:rPr>
              <w:t>7</w:t>
            </w:r>
          </w:p>
        </w:tc>
        <w:tc>
          <w:tcPr>
            <w:tcW w:type="dxa" w:w="6192"/>
          </w:tcPr>
          <w:p>
            <w:pPr>
              <w:spacing w:after="40"/>
            </w:pPr>
            <w:r/>
            <w:r>
              <w:rPr>
                <w:sz w:val="19"/>
              </w:rPr>
              <w:t>Wheat, Barley, Gram, Masur, Rapeseed/Mustard, Safflower, Toria</w:t>
            </w:r>
          </w:p>
        </w:tc>
      </w:tr>
      <w:tr>
        <w:tc>
          <w:tcPr>
            <w:tcW w:type="dxa" w:w="2016"/>
          </w:tcPr>
          <w:p>
            <w:pPr>
              <w:spacing w:after="40"/>
            </w:pPr>
            <w:r/>
            <w:r>
              <w:rPr>
                <w:sz w:val="19"/>
              </w:rPr>
              <w:t>Other Crops</w:t>
            </w:r>
          </w:p>
        </w:tc>
        <w:tc>
          <w:tcPr>
            <w:tcW w:type="dxa" w:w="1008"/>
          </w:tcPr>
          <w:p>
            <w:pPr>
              <w:spacing w:after="40"/>
            </w:pPr>
            <w:r/>
            <w:r>
              <w:rPr>
                <w:sz w:val="19"/>
              </w:rPr>
              <w:t>4</w:t>
            </w:r>
          </w:p>
        </w:tc>
        <w:tc>
          <w:tcPr>
            <w:tcW w:type="dxa" w:w="6192"/>
          </w:tcPr>
          <w:p>
            <w:pPr>
              <w:spacing w:after="40"/>
            </w:pPr>
            <w:r/>
            <w:r>
              <w:rPr>
                <w:sz w:val="19"/>
              </w:rPr>
              <w:t>Copra (Milling and Ball), De-Husked Coconut, Jute</w:t>
            </w:r>
          </w:p>
        </w:tc>
      </w:tr>
    </w:tbl>
    <w:p>
      <w:pPr>
        <w:spacing w:after="80"/>
      </w:pPr>
    </w:p>
    <w:p>
      <w:pPr>
        <w:pStyle w:val="Heading2"/>
        <w:keepNext/>
      </w:pPr>
      <w:r>
        <w:t>3.3 Fields</w:t>
      </w:r>
    </w:p>
    <w:tbl>
      <w:tblPr>
        <w:tblStyle w:val="TableGrid"/>
        <w:tblW w:type="auto" w:w="0"/>
        <w:jc w:val="center"/>
        <w:tblLook w:firstColumn="1" w:firstRow="1" w:lastColumn="0" w:lastRow="0" w:noHBand="0" w:noVBand="1" w:val="04A0"/>
      </w:tblPr>
      <w:tblGrid>
        <w:gridCol w:w="3010"/>
        <w:gridCol w:w="3010"/>
        <w:gridCol w:w="3010"/>
      </w:tblGrid>
      <w:tr>
        <w:tc>
          <w:tcPr>
            <w:tcW w:type="dxa" w:w="2160"/>
            <w:shd w:val="clear" w:fill="DCE7F7"/>
          </w:tcPr>
          <w:p>
            <w:pPr>
              <w:spacing w:after="40"/>
            </w:pPr>
            <w:r/>
            <w:r>
              <w:rPr>
                <w:b/>
                <w:sz w:val="19"/>
              </w:rPr>
              <w:t>Column</w:t>
            </w:r>
          </w:p>
        </w:tc>
        <w:tc>
          <w:tcPr>
            <w:tcW w:type="dxa" w:w="1440"/>
            <w:shd w:val="clear" w:fill="DCE7F7"/>
          </w:tcPr>
          <w:p>
            <w:pPr>
              <w:spacing w:after="40"/>
            </w:pPr>
            <w:r/>
            <w:r>
              <w:rPr>
                <w:b/>
                <w:sz w:val="19"/>
              </w:rPr>
              <w:t>Type</w:t>
            </w:r>
          </w:p>
        </w:tc>
        <w:tc>
          <w:tcPr>
            <w:tcW w:type="dxa" w:w="5616"/>
            <w:shd w:val="clear" w:fill="DCE7F7"/>
          </w:tcPr>
          <w:p>
            <w:pPr>
              <w:spacing w:after="40"/>
            </w:pPr>
            <w:r/>
            <w:r>
              <w:rPr>
                <w:b/>
                <w:sz w:val="19"/>
              </w:rPr>
              <w:t>Description</w:t>
            </w:r>
          </w:p>
        </w:tc>
      </w:tr>
      <w:tr>
        <w:tc>
          <w:tcPr>
            <w:tcW w:type="dxa" w:w="2160"/>
          </w:tcPr>
          <w:p>
            <w:pPr>
              <w:spacing w:after="40"/>
            </w:pPr>
            <w:r/>
            <w:r>
              <w:rPr>
                <w:sz w:val="19"/>
              </w:rPr>
              <w:t>Sl. No.</w:t>
            </w:r>
          </w:p>
        </w:tc>
        <w:tc>
          <w:tcPr>
            <w:tcW w:type="dxa" w:w="1440"/>
          </w:tcPr>
          <w:p>
            <w:pPr>
              <w:spacing w:after="40"/>
            </w:pPr>
            <w:r/>
            <w:r>
              <w:rPr>
                <w:sz w:val="19"/>
              </w:rPr>
              <w:t>Integer</w:t>
            </w:r>
          </w:p>
        </w:tc>
        <w:tc>
          <w:tcPr>
            <w:tcW w:type="dxa" w:w="5616"/>
          </w:tcPr>
          <w:p>
            <w:pPr>
              <w:spacing w:after="40"/>
            </w:pPr>
            <w:r/>
            <w:r>
              <w:rPr>
                <w:sz w:val="19"/>
              </w:rPr>
              <w:t>Row serial number</w:t>
            </w:r>
          </w:p>
        </w:tc>
      </w:tr>
      <w:tr>
        <w:tc>
          <w:tcPr>
            <w:tcW w:type="dxa" w:w="2160"/>
          </w:tcPr>
          <w:p>
            <w:pPr>
              <w:spacing w:after="40"/>
            </w:pPr>
            <w:r/>
            <w:r>
              <w:rPr>
                <w:sz w:val="19"/>
              </w:rPr>
              <w:t>Crops Session</w:t>
            </w:r>
          </w:p>
        </w:tc>
        <w:tc>
          <w:tcPr>
            <w:tcW w:type="dxa" w:w="1440"/>
          </w:tcPr>
          <w:p>
            <w:pPr>
              <w:spacing w:after="40"/>
            </w:pPr>
            <w:r/>
            <w:r>
              <w:rPr>
                <w:sz w:val="19"/>
              </w:rPr>
              <w:t>Categorical</w:t>
            </w:r>
          </w:p>
        </w:tc>
        <w:tc>
          <w:tcPr>
            <w:tcW w:type="dxa" w:w="5616"/>
          </w:tcPr>
          <w:p>
            <w:pPr>
              <w:spacing w:after="40"/>
            </w:pPr>
            <w:r/>
            <w:r>
              <w:rPr>
                <w:sz w:val="19"/>
              </w:rPr>
              <w:t>Kharif / Rabi / Other Crops</w:t>
            </w:r>
          </w:p>
        </w:tc>
      </w:tr>
      <w:tr>
        <w:tc>
          <w:tcPr>
            <w:tcW w:type="dxa" w:w="2160"/>
          </w:tcPr>
          <w:p>
            <w:pPr>
              <w:spacing w:after="40"/>
            </w:pPr>
            <w:r/>
            <w:r>
              <w:rPr>
                <w:sz w:val="19"/>
              </w:rPr>
              <w:t>Commodity</w:t>
            </w:r>
          </w:p>
        </w:tc>
        <w:tc>
          <w:tcPr>
            <w:tcW w:type="dxa" w:w="1440"/>
          </w:tcPr>
          <w:p>
            <w:pPr>
              <w:spacing w:after="40"/>
            </w:pPr>
            <w:r/>
            <w:r>
              <w:rPr>
                <w:sz w:val="19"/>
              </w:rPr>
              <w:t>Categorical</w:t>
            </w:r>
          </w:p>
        </w:tc>
        <w:tc>
          <w:tcPr>
            <w:tcW w:type="dxa" w:w="5616"/>
          </w:tcPr>
          <w:p>
            <w:pPr>
              <w:spacing w:after="40"/>
            </w:pPr>
            <w:r/>
            <w:r>
              <w:rPr>
                <w:sz w:val="19"/>
              </w:rPr>
              <w:t>Crop name (24 distinct commodities)</w:t>
            </w:r>
          </w:p>
        </w:tc>
      </w:tr>
      <w:tr>
        <w:tc>
          <w:tcPr>
            <w:tcW w:type="dxa" w:w="2160"/>
          </w:tcPr>
          <w:p>
            <w:pPr>
              <w:spacing w:after="40"/>
            </w:pPr>
            <w:r/>
            <w:r>
              <w:rPr>
                <w:sz w:val="19"/>
              </w:rPr>
              <w:t>Variety</w:t>
            </w:r>
          </w:p>
        </w:tc>
        <w:tc>
          <w:tcPr>
            <w:tcW w:type="dxa" w:w="1440"/>
          </w:tcPr>
          <w:p>
            <w:pPr>
              <w:spacing w:after="40"/>
            </w:pPr>
            <w:r/>
            <w:r>
              <w:rPr>
                <w:sz w:val="19"/>
              </w:rPr>
              <w:t>Categorical</w:t>
            </w:r>
          </w:p>
        </w:tc>
        <w:tc>
          <w:tcPr>
            <w:tcW w:type="dxa" w:w="5616"/>
          </w:tcPr>
          <w:p>
            <w:pPr>
              <w:spacing w:after="40"/>
            </w:pPr>
            <w:r/>
            <w:r>
              <w:rPr>
                <w:sz w:val="19"/>
              </w:rPr>
              <w:t>Grade or staple, e.g. Common, Grade ‘A’, Hybrid, Medium Staple</w:t>
            </w:r>
          </w:p>
        </w:tc>
      </w:tr>
      <w:tr>
        <w:tc>
          <w:tcPr>
            <w:tcW w:type="dxa" w:w="2160"/>
          </w:tcPr>
          <w:p>
            <w:pPr>
              <w:spacing w:after="40"/>
            </w:pPr>
            <w:r/>
            <w:r>
              <w:rPr>
                <w:sz w:val="19"/>
              </w:rPr>
              <w:t>2017-18 … 2021-22</w:t>
            </w:r>
          </w:p>
        </w:tc>
        <w:tc>
          <w:tcPr>
            <w:tcW w:type="dxa" w:w="1440"/>
          </w:tcPr>
          <w:p>
            <w:pPr>
              <w:spacing w:after="40"/>
            </w:pPr>
            <w:r/>
            <w:r>
              <w:rPr>
                <w:sz w:val="19"/>
              </w:rPr>
              <w:t>Numeric</w:t>
            </w:r>
          </w:p>
        </w:tc>
        <w:tc>
          <w:tcPr>
            <w:tcW w:type="dxa" w:w="5616"/>
          </w:tcPr>
          <w:p>
            <w:pPr>
              <w:spacing w:after="40"/>
            </w:pPr>
            <w:r/>
            <w:r>
              <w:rPr>
                <w:sz w:val="19"/>
              </w:rPr>
              <w:t>MSP in ₹ per quintal for that crop year</w:t>
            </w:r>
          </w:p>
        </w:tc>
      </w:tr>
    </w:tbl>
    <w:p>
      <w:pPr>
        <w:spacing w:after="80"/>
      </w:pPr>
    </w:p>
    <w:p>
      <w:pPr>
        <w:pStyle w:val="Heading2"/>
        <w:keepNext/>
      </w:pPr>
      <w:r>
        <w:t>3.4 Data quality audit</w:t>
      </w:r>
    </w:p>
    <w:p>
      <w:pPr>
        <w:spacing w:after="120"/>
      </w:pPr>
      <w:r>
        <w:rPr>
          <w:b w:val="0"/>
          <w:i w:val="0"/>
          <w:color w:val="0B0B0B"/>
          <w:sz w:val="22"/>
        </w:rPr>
        <w:t>An automated audit (missing values, duplicates, type consistency, monotonicity) returned an unusually clean result:</w:t>
      </w:r>
    </w:p>
    <w:tbl>
      <w:tblPr>
        <w:tblStyle w:val="TableGrid"/>
        <w:tblW w:type="auto" w:w="0"/>
        <w:jc w:val="center"/>
        <w:tblLook w:firstColumn="1" w:firstRow="1" w:lastColumn="0" w:lastRow="0" w:noHBand="0" w:noVBand="1" w:val="04A0"/>
      </w:tblPr>
      <w:tblGrid>
        <w:gridCol w:w="4514"/>
        <w:gridCol w:w="4514"/>
      </w:tblGrid>
      <w:tr>
        <w:tc>
          <w:tcPr>
            <w:tcW w:type="dxa" w:w="4896"/>
            <w:shd w:val="clear" w:fill="DCE7F7"/>
          </w:tcPr>
          <w:p>
            <w:pPr>
              <w:spacing w:after="40"/>
            </w:pPr>
            <w:r/>
            <w:r>
              <w:rPr>
                <w:b/>
                <w:sz w:val="20"/>
              </w:rPr>
              <w:t>Check</w:t>
            </w:r>
          </w:p>
        </w:tc>
        <w:tc>
          <w:tcPr>
            <w:tcW w:type="dxa" w:w="4320"/>
            <w:shd w:val="clear" w:fill="DCE7F7"/>
          </w:tcPr>
          <w:p>
            <w:pPr>
              <w:spacing w:after="40"/>
            </w:pPr>
            <w:r/>
            <w:r>
              <w:rPr>
                <w:b/>
                <w:sz w:val="20"/>
              </w:rPr>
              <w:t>Result</w:t>
            </w:r>
          </w:p>
        </w:tc>
      </w:tr>
      <w:tr>
        <w:tc>
          <w:tcPr>
            <w:tcW w:type="dxa" w:w="4896"/>
          </w:tcPr>
          <w:p>
            <w:pPr>
              <w:spacing w:after="40"/>
            </w:pPr>
            <w:r/>
            <w:r>
              <w:rPr>
                <w:sz w:val="20"/>
              </w:rPr>
              <w:t>Rows / series</w:t>
            </w:r>
          </w:p>
        </w:tc>
        <w:tc>
          <w:tcPr>
            <w:tcW w:type="dxa" w:w="4320"/>
          </w:tcPr>
          <w:p>
            <w:pPr>
              <w:spacing w:after="40"/>
            </w:pPr>
            <w:r/>
            <w:r>
              <w:rPr>
                <w:sz w:val="20"/>
              </w:rPr>
              <w:t>28</w:t>
            </w:r>
          </w:p>
        </w:tc>
      </w:tr>
      <w:tr>
        <w:tc>
          <w:tcPr>
            <w:tcW w:type="dxa" w:w="4896"/>
          </w:tcPr>
          <w:p>
            <w:pPr>
              <w:spacing w:after="40"/>
            </w:pPr>
            <w:r/>
            <w:r>
              <w:rPr>
                <w:sz w:val="20"/>
              </w:rPr>
              <w:t>Distinct commodities</w:t>
            </w:r>
          </w:p>
        </w:tc>
        <w:tc>
          <w:tcPr>
            <w:tcW w:type="dxa" w:w="4320"/>
          </w:tcPr>
          <w:p>
            <w:pPr>
              <w:spacing w:after="40"/>
            </w:pPr>
            <w:r/>
            <w:r>
              <w:rPr>
                <w:sz w:val="20"/>
              </w:rPr>
              <w:t>24</w:t>
            </w:r>
          </w:p>
        </w:tc>
      </w:tr>
      <w:tr>
        <w:tc>
          <w:tcPr>
            <w:tcW w:type="dxa" w:w="4896"/>
          </w:tcPr>
          <w:p>
            <w:pPr>
              <w:spacing w:after="40"/>
            </w:pPr>
            <w:r/>
            <w:r>
              <w:rPr>
                <w:sz w:val="20"/>
              </w:rPr>
              <w:t>Missing or non-numeric price cells</w:t>
            </w:r>
          </w:p>
        </w:tc>
        <w:tc>
          <w:tcPr>
            <w:tcW w:type="dxa" w:w="4320"/>
          </w:tcPr>
          <w:p>
            <w:pPr>
              <w:spacing w:after="40"/>
            </w:pPr>
            <w:r/>
            <w:r>
              <w:rPr>
                <w:sz w:val="20"/>
              </w:rPr>
              <w:t>0</w:t>
            </w:r>
          </w:p>
        </w:tc>
      </w:tr>
      <w:tr>
        <w:tc>
          <w:tcPr>
            <w:tcW w:type="dxa" w:w="4896"/>
          </w:tcPr>
          <w:p>
            <w:pPr>
              <w:spacing w:after="40"/>
            </w:pPr>
            <w:r/>
            <w:r>
              <w:rPr>
                <w:sz w:val="20"/>
              </w:rPr>
              <w:t>Duplicate commodity-variety rows</w:t>
            </w:r>
          </w:p>
        </w:tc>
        <w:tc>
          <w:tcPr>
            <w:tcW w:type="dxa" w:w="4320"/>
          </w:tcPr>
          <w:p>
            <w:pPr>
              <w:spacing w:after="40"/>
            </w:pPr>
            <w:r/>
            <w:r>
              <w:rPr>
                <w:sz w:val="20"/>
              </w:rPr>
              <w:t>0</w:t>
            </w:r>
          </w:p>
        </w:tc>
      </w:tr>
      <w:tr>
        <w:tc>
          <w:tcPr>
            <w:tcW w:type="dxa" w:w="4896"/>
          </w:tcPr>
          <w:p>
            <w:pPr>
              <w:spacing w:after="40"/>
            </w:pPr>
            <w:r/>
            <w:r>
              <w:rPr>
                <w:sz w:val="20"/>
              </w:rPr>
              <w:t>Series that never decreased year on year</w:t>
            </w:r>
          </w:p>
        </w:tc>
        <w:tc>
          <w:tcPr>
            <w:tcW w:type="dxa" w:w="4320"/>
          </w:tcPr>
          <w:p>
            <w:pPr>
              <w:spacing w:after="40"/>
            </w:pPr>
            <w:r/>
            <w:r>
              <w:rPr>
                <w:sz w:val="20"/>
              </w:rPr>
              <w:t>28 of 28</w:t>
            </w:r>
          </w:p>
        </w:tc>
      </w:tr>
      <w:tr>
        <w:tc>
          <w:tcPr>
            <w:tcW w:type="dxa" w:w="4896"/>
          </w:tcPr>
          <w:p>
            <w:pPr>
              <w:spacing w:after="40"/>
            </w:pPr>
            <w:r/>
            <w:r>
              <w:rPr>
                <w:sz w:val="20"/>
              </w:rPr>
              <w:t>MSP range across the dataset</w:t>
            </w:r>
          </w:p>
        </w:tc>
        <w:tc>
          <w:tcPr>
            <w:tcW w:type="dxa" w:w="4320"/>
          </w:tcPr>
          <w:p>
            <w:pPr>
              <w:spacing w:after="40"/>
            </w:pPr>
            <w:r/>
            <w:r>
              <w:rPr>
                <w:sz w:val="20"/>
              </w:rPr>
              <w:t>₹1,410 – ₹10,600</w:t>
            </w:r>
          </w:p>
        </w:tc>
      </w:tr>
    </w:tbl>
    <w:p>
      <w:pPr>
        <w:spacing w:after="80"/>
      </w:pPr>
    </w:p>
    <w:p>
      <w:pPr>
        <w:spacing w:after="160"/>
      </w:pPr>
      <w:r>
        <w:rPr>
          <w:b w:val="0"/>
          <w:sz w:val="22"/>
        </w:rPr>
        <w:t xml:space="preserve">The monotonicity result is the most important single fact about this dataset. </w:t>
      </w:r>
      <w:r>
        <w:rPr>
          <w:b/>
          <w:sz w:val="22"/>
        </w:rPr>
        <w:t>All 28 series are non-decreasing across all five years</w:t>
      </w:r>
      <w:r>
        <w:rPr>
          <w:b w:val="0"/>
          <w:sz w:val="22"/>
        </w:rPr>
        <w:t xml:space="preserve"> — no commodity’s MSP was ever cut. MSP is a policy floor revised upward annually, not a market price. That tells us in advance that the problem is trend extrapolation rather than volatility modelling, and it predicts which model families should do well long before any model is fitted.</w:t>
      </w:r>
    </w:p>
    <w:p>
      <w:pPr>
        <w:pStyle w:val="Heading2"/>
        <w:keepNext/>
      </w:pPr>
      <w:r>
        <w:t>3.5 A subtlety in the year labels</w:t>
      </w:r>
    </w:p>
    <w:p>
      <w:pPr>
        <w:spacing w:after="120"/>
      </w:pPr>
      <w:r>
        <w:rPr>
          <w:b w:val="0"/>
          <w:i w:val="0"/>
          <w:color w:val="0B0B0B"/>
          <w:sz w:val="22"/>
        </w:rPr>
        <w:t>One characteristic of this dataset is easy to miss and expensive to get wrong. The columns are labelled by crop year, but MSP is announced per marketing season, and the two coincide only for Kharif crops. A Rabi crop sown in crop year Y is harvested and marketed in RMS Y+1.</w:t>
      </w:r>
    </w:p>
    <w:p>
      <w:pPr>
        <w:spacing w:after="120"/>
      </w:pPr>
      <w:r>
        <w:rPr>
          <w:b w:val="0"/>
          <w:i w:val="0"/>
          <w:color w:val="0B0B0B"/>
          <w:sz w:val="22"/>
        </w:rPr>
        <w:t>This is verifiable against published figures. For wheat:</w:t>
      </w:r>
    </w:p>
    <w:tbl>
      <w:tblPr>
        <w:tblStyle w:val="TableGrid"/>
        <w:tblW w:type="auto" w:w="0"/>
        <w:jc w:val="center"/>
        <w:tblLook w:firstColumn="1" w:firstRow="1" w:lastColumn="0" w:lastRow="0" w:noHBand="0" w:noVBand="1" w:val="04A0"/>
      </w:tblPr>
      <w:tblGrid>
        <w:gridCol w:w="2257"/>
        <w:gridCol w:w="2257"/>
        <w:gridCol w:w="2257"/>
        <w:gridCol w:w="2257"/>
      </w:tblGrid>
      <w:tr>
        <w:tc>
          <w:tcPr>
            <w:tcW w:type="dxa" w:w="2448"/>
            <w:shd w:val="clear" w:fill="DCE7F7"/>
          </w:tcPr>
          <w:p>
            <w:pPr>
              <w:spacing w:after="40"/>
            </w:pPr>
            <w:r/>
            <w:r>
              <w:rPr>
                <w:b/>
                <w:sz w:val="19"/>
              </w:rPr>
              <w:t>Column label in the CSV</w:t>
            </w:r>
          </w:p>
        </w:tc>
        <w:tc>
          <w:tcPr>
            <w:tcW w:type="dxa" w:w="1872"/>
            <w:shd w:val="clear" w:fill="DCE7F7"/>
          </w:tcPr>
          <w:p>
            <w:pPr>
              <w:spacing w:after="40"/>
            </w:pPr>
            <w:r/>
            <w:r>
              <w:rPr>
                <w:b/>
                <w:sz w:val="19"/>
              </w:rPr>
              <w:t>Value in the file</w:t>
            </w:r>
          </w:p>
        </w:tc>
        <w:tc>
          <w:tcPr>
            <w:tcW w:type="dxa" w:w="2736"/>
            <w:shd w:val="clear" w:fill="DCE7F7"/>
          </w:tcPr>
          <w:p>
            <w:pPr>
              <w:spacing w:after="40"/>
            </w:pPr>
            <w:r/>
            <w:r>
              <w:rPr>
                <w:b/>
                <w:sz w:val="19"/>
              </w:rPr>
              <w:t>Announced wheat MSP</w:t>
            </w:r>
          </w:p>
        </w:tc>
        <w:tc>
          <w:tcPr>
            <w:tcW w:type="dxa" w:w="2160"/>
            <w:shd w:val="clear" w:fill="DCE7F7"/>
          </w:tcPr>
          <w:p>
            <w:pPr>
              <w:spacing w:after="40"/>
            </w:pPr>
            <w:r/>
            <w:r>
              <w:rPr>
                <w:b/>
                <w:sz w:val="19"/>
              </w:rPr>
              <w:t>Actual marketing season</w:t>
            </w:r>
          </w:p>
        </w:tc>
      </w:tr>
      <w:tr>
        <w:tc>
          <w:tcPr>
            <w:tcW w:type="dxa" w:w="2448"/>
          </w:tcPr>
          <w:p>
            <w:pPr>
              <w:spacing w:after="40"/>
            </w:pPr>
            <w:r/>
            <w:r>
              <w:rPr>
                <w:sz w:val="19"/>
              </w:rPr>
              <w:t>2020-21</w:t>
            </w:r>
          </w:p>
        </w:tc>
        <w:tc>
          <w:tcPr>
            <w:tcW w:type="dxa" w:w="1872"/>
          </w:tcPr>
          <w:p>
            <w:pPr>
              <w:spacing w:after="40"/>
            </w:pPr>
            <w:r/>
            <w:r>
              <w:rPr>
                <w:sz w:val="19"/>
              </w:rPr>
              <w:t>₹1,975</w:t>
            </w:r>
          </w:p>
        </w:tc>
        <w:tc>
          <w:tcPr>
            <w:tcW w:type="dxa" w:w="2736"/>
          </w:tcPr>
          <w:p>
            <w:pPr>
              <w:spacing w:after="40"/>
            </w:pPr>
            <w:r/>
            <w:r>
              <w:rPr>
                <w:sz w:val="19"/>
              </w:rPr>
              <w:t>₹1,975 = RMS 2021-22</w:t>
            </w:r>
          </w:p>
        </w:tc>
        <w:tc>
          <w:tcPr>
            <w:tcW w:type="dxa" w:w="2160"/>
          </w:tcPr>
          <w:p>
            <w:pPr>
              <w:spacing w:after="40"/>
            </w:pPr>
            <w:r/>
            <w:r>
              <w:rPr>
                <w:sz w:val="19"/>
              </w:rPr>
              <w:t>RMS 2021-22</w:t>
            </w:r>
          </w:p>
        </w:tc>
      </w:tr>
      <w:tr>
        <w:tc>
          <w:tcPr>
            <w:tcW w:type="dxa" w:w="2448"/>
          </w:tcPr>
          <w:p>
            <w:pPr>
              <w:spacing w:after="40"/>
            </w:pPr>
            <w:r/>
            <w:r>
              <w:rPr>
                <w:sz w:val="19"/>
              </w:rPr>
              <w:t>2021-22</w:t>
            </w:r>
          </w:p>
        </w:tc>
        <w:tc>
          <w:tcPr>
            <w:tcW w:type="dxa" w:w="1872"/>
          </w:tcPr>
          <w:p>
            <w:pPr>
              <w:spacing w:after="40"/>
            </w:pPr>
            <w:r/>
            <w:r>
              <w:rPr>
                <w:sz w:val="19"/>
              </w:rPr>
              <w:t>₹2,015</w:t>
            </w:r>
          </w:p>
        </w:tc>
        <w:tc>
          <w:tcPr>
            <w:tcW w:type="dxa" w:w="2736"/>
          </w:tcPr>
          <w:p>
            <w:pPr>
              <w:spacing w:after="40"/>
            </w:pPr>
            <w:r/>
            <w:r>
              <w:rPr>
                <w:sz w:val="19"/>
              </w:rPr>
              <w:t>₹2,015 = RMS 2022-23</w:t>
            </w:r>
          </w:p>
        </w:tc>
        <w:tc>
          <w:tcPr>
            <w:tcW w:type="dxa" w:w="2160"/>
          </w:tcPr>
          <w:p>
            <w:pPr>
              <w:spacing w:after="40"/>
            </w:pPr>
            <w:r/>
            <w:r>
              <w:rPr>
                <w:sz w:val="19"/>
              </w:rPr>
              <w:t>RMS 2022-23</w:t>
            </w:r>
          </w:p>
        </w:tc>
      </w:tr>
    </w:tbl>
    <w:p>
      <w:pPr>
        <w:spacing w:after="80"/>
      </w:pPr>
    </w:p>
    <w:p>
      <w:pPr>
        <w:spacing w:after="160"/>
      </w:pPr>
      <w:r>
        <w:rPr>
          <w:b w:val="0"/>
          <w:i w:val="0"/>
          <w:color w:val="0B0B0B"/>
          <w:sz w:val="22"/>
        </w:rPr>
        <w:t>The Rabi columns therefore run one year ahead of their label. Left uncorrected, every Rabi comparison against announced MSP would be wrong by a full annual revision — about ₹100 on wheat, which is larger than the forecast error this project is trying to measure. The pipeline applies the offset explicitly (config.SEASON_OFFSET) and carries both the published label and the true marketing season through every table.</w:t>
      </w:r>
    </w:p>
    <w:p>
      <w:r>
        <w:br w:type="page"/>
      </w:r>
    </w:p>
    <w:p>
      <w:pPr>
        <w:pStyle w:val="Heading1"/>
        <w:keepNext/>
      </w:pPr>
      <w:r>
        <w:t>4. Methodology</w:t>
      </w:r>
    </w:p>
    <w:p>
      <w:pPr>
        <w:spacing w:after="160"/>
      </w:pPr>
      <w:r>
        <w:rPr>
          <w:b w:val="0"/>
          <w:i w:val="0"/>
          <w:color w:val="0B0B0B"/>
          <w:sz w:val="22"/>
        </w:rPr>
        <w:t>The pipeline runs in seven stages. The design principle throughout is that no model should be given an easier test than any other, and that the final verdict should come from data the models never saw.</w:t>
      </w:r>
    </w:p>
    <w:p>
      <w:pPr>
        <w:pStyle w:val="Heading3"/>
        <w:keepNext/>
      </w:pPr>
      <w:r>
        <w:t>Step 1 — Ingest and audit</w:t>
      </w:r>
    </w:p>
    <w:p>
      <w:pPr>
        <w:spacing w:after="160"/>
      </w:pPr>
      <w:r>
        <w:rPr>
          <w:b w:val="0"/>
          <w:i w:val="0"/>
          <w:color w:val="0B0B0B"/>
          <w:sz w:val="22"/>
        </w:rPr>
        <w:t>The CSV is loaded and checked for missing values, duplicates, type consistency and monotonicity before anything is modelled. The audit output is reproduced in §3.4.</w:t>
      </w:r>
    </w:p>
    <w:p>
      <w:pPr>
        <w:pStyle w:val="Heading3"/>
        <w:keepNext/>
      </w:pPr>
      <w:r>
        <w:t>Step 2 — Correct the season labels</w:t>
      </w:r>
    </w:p>
    <w:p>
      <w:pPr>
        <w:spacing w:after="160"/>
      </w:pPr>
      <w:r>
        <w:rPr>
          <w:b w:val="0"/>
          <w:i w:val="0"/>
          <w:color w:val="0B0B0B"/>
          <w:sz w:val="22"/>
        </w:rPr>
        <w:t>The Rabi crop-year to marketing-season offset described in §3.5 is applied, so that forecasts are compared against the right announcement.</w:t>
      </w:r>
    </w:p>
    <w:p>
      <w:pPr>
        <w:pStyle w:val="Heading3"/>
        <w:keepNext/>
      </w:pPr>
      <w:r>
        <w:t>Step 3 — Reshape, keeping varieties separate</w:t>
      </w:r>
    </w:p>
    <w:p>
      <w:pPr>
        <w:spacing w:after="160"/>
      </w:pPr>
      <w:r>
        <w:rPr>
          <w:b w:val="0"/>
          <w:sz w:val="22"/>
        </w:rPr>
        <w:t xml:space="preserve">The wide table is melted into tidy long form and pivoted into a year × series matrix. Crucially, varieties are </w:t>
      </w:r>
      <w:r>
        <w:rPr>
          <w:b/>
          <w:sz w:val="22"/>
        </w:rPr>
        <w:t>not averaged</w:t>
      </w:r>
      <w:r>
        <w:rPr>
          <w:b w:val="0"/>
          <w:sz w:val="22"/>
        </w:rPr>
        <w:t>. Paddy Common and Paddy Grade ‘A’ are two separate government notifications; averaging them produces a price that was never announced and that cannot be checked against any real MSP. This preserves 28 series where a commodity-level average would leave 24 partly fictitious ones.</w:t>
      </w:r>
    </w:p>
    <w:p>
      <w:pPr>
        <w:pStyle w:val="Heading3"/>
        <w:keepNext/>
      </w:pPr>
      <w:r>
        <w:t>Step 4 — Exploratory analysis</w:t>
      </w:r>
    </w:p>
    <w:p>
      <w:pPr>
        <w:spacing w:after="160"/>
      </w:pPr>
      <w:r>
        <w:rPr>
          <w:b w:val="0"/>
          <w:i w:val="0"/>
          <w:color w:val="0B0B0B"/>
          <w:sz w:val="22"/>
        </w:rPr>
        <w:t>Per-series compound annual growth rate, mean year-on-year revision, volatility and season-level comparisons establish what the data looks like before any model is fitted.</w:t>
      </w:r>
    </w:p>
    <w:p>
      <w:pPr>
        <w:pStyle w:val="Heading3"/>
        <w:keepNext/>
      </w:pPr>
      <w:r>
        <w:t>Step 5 — Ten models behind one interface</w:t>
      </w:r>
    </w:p>
    <w:p>
      <w:pPr>
        <w:spacing w:after="120"/>
      </w:pPr>
      <w:r>
        <w:rPr>
          <w:b w:val="0"/>
          <w:i w:val="0"/>
          <w:color w:val="0B0B0B"/>
          <w:sz w:val="22"/>
        </w:rPr>
        <w:t>Every model is a callable with the identical signature f(years, values, future_years), so the backtester, the forecaster and the application treat them interchangeably and no model can accidentally receive special handling.</w:t>
      </w:r>
    </w:p>
    <w:tbl>
      <w:tblPr>
        <w:tblStyle w:val="TableGrid"/>
        <w:tblW w:type="auto" w:w="0"/>
        <w:jc w:val="center"/>
        <w:tblLook w:firstColumn="1" w:firstRow="1" w:lastColumn="0" w:lastRow="0" w:noHBand="0" w:noVBand="1" w:val="04A0"/>
      </w:tblPr>
      <w:tblGrid>
        <w:gridCol w:w="3010"/>
        <w:gridCol w:w="3010"/>
        <w:gridCol w:w="3010"/>
      </w:tblGrid>
      <w:tr>
        <w:tc>
          <w:tcPr>
            <w:tcW w:type="dxa" w:w="2016"/>
            <w:shd w:val="clear" w:fill="DCE7F7"/>
          </w:tcPr>
          <w:p>
            <w:pPr>
              <w:spacing w:after="40"/>
            </w:pPr>
            <w:r/>
            <w:r>
              <w:rPr>
                <w:b/>
                <w:sz w:val="19"/>
              </w:rPr>
              <w:t>Model</w:t>
            </w:r>
          </w:p>
        </w:tc>
        <w:tc>
          <w:tcPr>
            <w:tcW w:type="dxa" w:w="1728"/>
            <w:shd w:val="clear" w:fill="DCE7F7"/>
          </w:tcPr>
          <w:p>
            <w:pPr>
              <w:spacing w:after="40"/>
            </w:pPr>
            <w:r/>
            <w:r>
              <w:rPr>
                <w:b/>
                <w:sz w:val="19"/>
              </w:rPr>
              <w:t>Family</w:t>
            </w:r>
          </w:p>
        </w:tc>
        <w:tc>
          <w:tcPr>
            <w:tcW w:type="dxa" w:w="5472"/>
            <w:shd w:val="clear" w:fill="DCE7F7"/>
          </w:tcPr>
          <w:p>
            <w:pPr>
              <w:spacing w:after="40"/>
            </w:pPr>
            <w:r/>
            <w:r>
              <w:rPr>
                <w:b/>
                <w:sz w:val="19"/>
              </w:rPr>
              <w:t>Idea</w:t>
            </w:r>
          </w:p>
        </w:tc>
      </w:tr>
      <w:tr>
        <w:tc>
          <w:tcPr>
            <w:tcW w:type="dxa" w:w="2016"/>
          </w:tcPr>
          <w:p>
            <w:pPr>
              <w:spacing w:after="40"/>
            </w:pPr>
            <w:r/>
            <w:r>
              <w:rPr>
                <w:sz w:val="19"/>
              </w:rPr>
              <w:t>Naive</w:t>
            </w:r>
          </w:p>
        </w:tc>
        <w:tc>
          <w:tcPr>
            <w:tcW w:type="dxa" w:w="1728"/>
          </w:tcPr>
          <w:p>
            <w:pPr>
              <w:spacing w:after="40"/>
            </w:pPr>
            <w:r/>
            <w:r>
              <w:rPr>
                <w:sz w:val="19"/>
              </w:rPr>
              <w:t>Baseline</w:t>
            </w:r>
          </w:p>
        </w:tc>
        <w:tc>
          <w:tcPr>
            <w:tcW w:type="dxa" w:w="5472"/>
          </w:tcPr>
          <w:p>
            <w:pPr>
              <w:spacing w:after="40"/>
            </w:pPr>
            <w:r/>
            <w:r>
              <w:rPr>
                <w:sz w:val="19"/>
              </w:rPr>
              <w:t>Carry last season’s MSP forward</w:t>
            </w:r>
          </w:p>
        </w:tc>
      </w:tr>
      <w:tr>
        <w:tc>
          <w:tcPr>
            <w:tcW w:type="dxa" w:w="2016"/>
          </w:tcPr>
          <w:p>
            <w:pPr>
              <w:spacing w:after="40"/>
            </w:pPr>
            <w:r/>
            <w:r>
              <w:rPr>
                <w:sz w:val="19"/>
              </w:rPr>
              <w:t>Drift</w:t>
            </w:r>
          </w:p>
        </w:tc>
        <w:tc>
          <w:tcPr>
            <w:tcW w:type="dxa" w:w="1728"/>
          </w:tcPr>
          <w:p>
            <w:pPr>
              <w:spacing w:after="40"/>
            </w:pPr>
            <w:r/>
            <w:r>
              <w:rPr>
                <w:sz w:val="19"/>
              </w:rPr>
              <w:t>Baseline</w:t>
            </w:r>
          </w:p>
        </w:tc>
        <w:tc>
          <w:tcPr>
            <w:tcW w:type="dxa" w:w="5472"/>
          </w:tcPr>
          <w:p>
            <w:pPr>
              <w:spacing w:after="40"/>
            </w:pPr>
            <w:r/>
            <w:r>
              <w:rPr>
                <w:sz w:val="19"/>
              </w:rPr>
              <w:t>Last value plus average historical step</w:t>
            </w:r>
          </w:p>
        </w:tc>
      </w:tr>
      <w:tr>
        <w:tc>
          <w:tcPr>
            <w:tcW w:type="dxa" w:w="2016"/>
          </w:tcPr>
          <w:p>
            <w:pPr>
              <w:spacing w:after="40"/>
            </w:pPr>
            <w:r/>
            <w:r>
              <w:rPr>
                <w:sz w:val="19"/>
              </w:rPr>
              <w:t>Linear</w:t>
            </w:r>
          </w:p>
        </w:tc>
        <w:tc>
          <w:tcPr>
            <w:tcW w:type="dxa" w:w="1728"/>
          </w:tcPr>
          <w:p>
            <w:pPr>
              <w:spacing w:after="40"/>
            </w:pPr>
            <w:r/>
            <w:r>
              <w:rPr>
                <w:sz w:val="19"/>
              </w:rPr>
              <w:t>Parametric</w:t>
            </w:r>
          </w:p>
        </w:tc>
        <w:tc>
          <w:tcPr>
            <w:tcW w:type="dxa" w:w="5472"/>
          </w:tcPr>
          <w:p>
            <w:pPr>
              <w:spacing w:after="40"/>
            </w:pPr>
            <w:r/>
            <w:r>
              <w:rPr>
                <w:sz w:val="19"/>
              </w:rPr>
              <w:t>Ordinary least squares on the year index</w:t>
            </w:r>
          </w:p>
        </w:tc>
      </w:tr>
      <w:tr>
        <w:tc>
          <w:tcPr>
            <w:tcW w:type="dxa" w:w="2016"/>
          </w:tcPr>
          <w:p>
            <w:pPr>
              <w:spacing w:after="40"/>
            </w:pPr>
            <w:r/>
            <w:r>
              <w:rPr>
                <w:sz w:val="19"/>
              </w:rPr>
              <w:t>RidgePoly2</w:t>
            </w:r>
          </w:p>
        </w:tc>
        <w:tc>
          <w:tcPr>
            <w:tcW w:type="dxa" w:w="1728"/>
          </w:tcPr>
          <w:p>
            <w:pPr>
              <w:spacing w:after="40"/>
            </w:pPr>
            <w:r/>
            <w:r>
              <w:rPr>
                <w:sz w:val="19"/>
              </w:rPr>
              <w:t>Parametric</w:t>
            </w:r>
          </w:p>
        </w:tc>
        <w:tc>
          <w:tcPr>
            <w:tcW w:type="dxa" w:w="5472"/>
          </w:tcPr>
          <w:p>
            <w:pPr>
              <w:spacing w:after="40"/>
            </w:pPr>
            <w:r/>
            <w:r>
              <w:rPr>
                <w:sz w:val="19"/>
              </w:rPr>
              <w:t>Degree-2 polynomial with L2 shrinkage</w:t>
            </w:r>
          </w:p>
        </w:tc>
      </w:tr>
      <w:tr>
        <w:tc>
          <w:tcPr>
            <w:tcW w:type="dxa" w:w="2016"/>
          </w:tcPr>
          <w:p>
            <w:pPr>
              <w:spacing w:after="40"/>
            </w:pPr>
            <w:r/>
            <w:r>
              <w:rPr>
                <w:sz w:val="19"/>
              </w:rPr>
              <w:t>CAGR</w:t>
            </w:r>
          </w:p>
        </w:tc>
        <w:tc>
          <w:tcPr>
            <w:tcW w:type="dxa" w:w="1728"/>
          </w:tcPr>
          <w:p>
            <w:pPr>
              <w:spacing w:after="40"/>
            </w:pPr>
            <w:r/>
            <w:r>
              <w:rPr>
                <w:sz w:val="19"/>
              </w:rPr>
              <w:t>Parametric</w:t>
            </w:r>
          </w:p>
        </w:tc>
        <w:tc>
          <w:tcPr>
            <w:tcW w:type="dxa" w:w="5472"/>
          </w:tcPr>
          <w:p>
            <w:pPr>
              <w:spacing w:after="40"/>
            </w:pPr>
            <w:r/>
            <w:r>
              <w:rPr>
                <w:sz w:val="19"/>
              </w:rPr>
              <w:t>Constant compound growth (log-linear)</w:t>
            </w:r>
          </w:p>
        </w:tc>
      </w:tr>
      <w:tr>
        <w:tc>
          <w:tcPr>
            <w:tcW w:type="dxa" w:w="2016"/>
          </w:tcPr>
          <w:p>
            <w:pPr>
              <w:spacing w:after="40"/>
            </w:pPr>
            <w:r/>
            <w:r>
              <w:rPr>
                <w:sz w:val="19"/>
              </w:rPr>
              <w:t>Holt</w:t>
            </w:r>
          </w:p>
        </w:tc>
        <w:tc>
          <w:tcPr>
            <w:tcW w:type="dxa" w:w="1728"/>
          </w:tcPr>
          <w:p>
            <w:pPr>
              <w:spacing w:after="40"/>
            </w:pPr>
            <w:r/>
            <w:r>
              <w:rPr>
                <w:sz w:val="19"/>
              </w:rPr>
              <w:t>Time series</w:t>
            </w:r>
          </w:p>
        </w:tc>
        <w:tc>
          <w:tcPr>
            <w:tcW w:type="dxa" w:w="5472"/>
          </w:tcPr>
          <w:p>
            <w:pPr>
              <w:spacing w:after="40"/>
            </w:pPr>
            <w:r/>
            <w:r>
              <w:rPr>
                <w:sz w:val="19"/>
              </w:rPr>
              <w:t>Double exponential smoothing with trend</w:t>
            </w:r>
          </w:p>
        </w:tc>
      </w:tr>
      <w:tr>
        <w:tc>
          <w:tcPr>
            <w:tcW w:type="dxa" w:w="2016"/>
          </w:tcPr>
          <w:p>
            <w:pPr>
              <w:spacing w:after="40"/>
            </w:pPr>
            <w:r/>
            <w:r>
              <w:rPr>
                <w:sz w:val="19"/>
              </w:rPr>
              <w:t>ARIMA(1,1,0)</w:t>
            </w:r>
          </w:p>
        </w:tc>
        <w:tc>
          <w:tcPr>
            <w:tcW w:type="dxa" w:w="1728"/>
          </w:tcPr>
          <w:p>
            <w:pPr>
              <w:spacing w:after="40"/>
            </w:pPr>
            <w:r/>
            <w:r>
              <w:rPr>
                <w:sz w:val="19"/>
              </w:rPr>
              <w:t>Time series</w:t>
            </w:r>
          </w:p>
        </w:tc>
        <w:tc>
          <w:tcPr>
            <w:tcW w:type="dxa" w:w="5472"/>
          </w:tcPr>
          <w:p>
            <w:pPr>
              <w:spacing w:after="40"/>
            </w:pPr>
            <w:r/>
            <w:r>
              <w:rPr>
                <w:sz w:val="19"/>
              </w:rPr>
              <w:t>One AR lag on the first difference</w:t>
            </w:r>
          </w:p>
        </w:tc>
      </w:tr>
      <w:tr>
        <w:tc>
          <w:tcPr>
            <w:tcW w:type="dxa" w:w="2016"/>
          </w:tcPr>
          <w:p>
            <w:pPr>
              <w:spacing w:after="40"/>
            </w:pPr>
            <w:r/>
            <w:r>
              <w:rPr>
                <w:sz w:val="19"/>
              </w:rPr>
              <w:t>RandomForest</w:t>
            </w:r>
          </w:p>
        </w:tc>
        <w:tc>
          <w:tcPr>
            <w:tcW w:type="dxa" w:w="1728"/>
          </w:tcPr>
          <w:p>
            <w:pPr>
              <w:spacing w:after="40"/>
            </w:pPr>
            <w:r/>
            <w:r>
              <w:rPr>
                <w:sz w:val="19"/>
              </w:rPr>
              <w:t>Ensemble</w:t>
            </w:r>
          </w:p>
        </w:tc>
        <w:tc>
          <w:tcPr>
            <w:tcW w:type="dxa" w:w="5472"/>
          </w:tcPr>
          <w:p>
            <w:pPr>
              <w:spacing w:after="40"/>
            </w:pPr>
            <w:r/>
            <w:r>
              <w:rPr>
                <w:sz w:val="19"/>
              </w:rPr>
              <w:t>300 regression trees on the year index</w:t>
            </w:r>
          </w:p>
        </w:tc>
      </w:tr>
      <w:tr>
        <w:tc>
          <w:tcPr>
            <w:tcW w:type="dxa" w:w="2016"/>
          </w:tcPr>
          <w:p>
            <w:pPr>
              <w:spacing w:after="40"/>
            </w:pPr>
            <w:r/>
            <w:r>
              <w:rPr>
                <w:sz w:val="19"/>
              </w:rPr>
              <w:t>GradBoost</w:t>
            </w:r>
          </w:p>
        </w:tc>
        <w:tc>
          <w:tcPr>
            <w:tcW w:type="dxa" w:w="1728"/>
          </w:tcPr>
          <w:p>
            <w:pPr>
              <w:spacing w:after="40"/>
            </w:pPr>
            <w:r/>
            <w:r>
              <w:rPr>
                <w:sz w:val="19"/>
              </w:rPr>
              <w:t>Ensemble</w:t>
            </w:r>
          </w:p>
        </w:tc>
        <w:tc>
          <w:tcPr>
            <w:tcW w:type="dxa" w:w="5472"/>
          </w:tcPr>
          <w:p>
            <w:pPr>
              <w:spacing w:after="40"/>
            </w:pPr>
            <w:r/>
            <w:r>
              <w:rPr>
                <w:sz w:val="19"/>
              </w:rPr>
              <w:t>Gradient-boosted stumps</w:t>
            </w:r>
          </w:p>
        </w:tc>
      </w:tr>
      <w:tr>
        <w:tc>
          <w:tcPr>
            <w:tcW w:type="dxa" w:w="2016"/>
          </w:tcPr>
          <w:p>
            <w:pPr>
              <w:spacing w:after="40"/>
            </w:pPr>
            <w:r/>
            <w:r>
              <w:rPr>
                <w:sz w:val="19"/>
              </w:rPr>
              <w:t>Ensemble</w:t>
            </w:r>
          </w:p>
        </w:tc>
        <w:tc>
          <w:tcPr>
            <w:tcW w:type="dxa" w:w="1728"/>
          </w:tcPr>
          <w:p>
            <w:pPr>
              <w:spacing w:after="40"/>
            </w:pPr>
            <w:r/>
            <w:r>
              <w:rPr>
                <w:sz w:val="19"/>
              </w:rPr>
              <w:t>Combination</w:t>
            </w:r>
          </w:p>
        </w:tc>
        <w:tc>
          <w:tcPr>
            <w:tcW w:type="dxa" w:w="5472"/>
          </w:tcPr>
          <w:p>
            <w:pPr>
              <w:spacing w:after="40"/>
            </w:pPr>
            <w:r/>
            <w:r>
              <w:rPr>
                <w:sz w:val="19"/>
              </w:rPr>
              <w:t>Median of Drift, Linear, CAGR and Holt</w:t>
            </w:r>
          </w:p>
        </w:tc>
      </w:tr>
    </w:tbl>
    <w:p>
      <w:pPr>
        <w:spacing w:after="80"/>
      </w:pPr>
    </w:p>
    <w:p>
      <w:pPr>
        <w:spacing w:after="160"/>
      </w:pPr>
      <w:r>
        <w:rPr>
          <w:b w:val="0"/>
          <w:i w:val="0"/>
          <w:color w:val="0B0B0B"/>
          <w:sz w:val="22"/>
        </w:rPr>
        <w:t>Two of these are included for what they prove rather than for what they predict. Naive is the bar every model must clear. RandomForest and GradBoost are deliberate negative controls: tree models predict a constant outside their training range, so they cannot extrapolate a trend by construction — a limitation that is far more convincing demonstrated than asserted.</w:t>
      </w:r>
    </w:p>
    <w:p>
      <w:pPr>
        <w:pStyle w:val="Heading3"/>
        <w:keepNext/>
      </w:pPr>
      <w:r>
        <w:t>Step 6 — One evaluation protocol for everybody</w:t>
      </w:r>
    </w:p>
    <w:p>
      <w:pPr>
        <w:spacing w:after="120"/>
      </w:pPr>
      <w:r>
        <w:rPr>
          <w:b w:val="0"/>
          <w:i w:val="0"/>
          <w:color w:val="0B0B0B"/>
          <w:sz w:val="22"/>
        </w:rPr>
        <w:t>This is the methodological core. Comparing one model’s in-sample fit against another model’s cross-validated error is not a comparison; the numbers are not on the same scale and any resulting ranking is an artefact. Every model here is scored by the same expanding-window rolling-origin backtest:</w:t>
      </w:r>
    </w:p>
    <w:tbl>
      <w:tblPr>
        <w:tblStyle w:val="TableGrid"/>
        <w:tblW w:type="auto" w:w="0"/>
        <w:jc w:val="center"/>
        <w:tblLook w:firstColumn="1" w:firstRow="1" w:lastColumn="0" w:lastRow="0" w:noHBand="0" w:noVBand="1" w:val="04A0"/>
      </w:tblPr>
      <w:tblGrid>
        <w:gridCol w:w="2257"/>
        <w:gridCol w:w="2257"/>
        <w:gridCol w:w="2257"/>
        <w:gridCol w:w="2257"/>
      </w:tblGrid>
      <w:tr>
        <w:tc>
          <w:tcPr>
            <w:tcW w:type="dxa" w:w="1008"/>
            <w:shd w:val="clear" w:fill="DCE7F7"/>
          </w:tcPr>
          <w:p>
            <w:pPr>
              <w:spacing w:after="40"/>
            </w:pPr>
            <w:r/>
            <w:r>
              <w:rPr>
                <w:b/>
                <w:sz w:val="19"/>
              </w:rPr>
              <w:t>Fold</w:t>
            </w:r>
          </w:p>
        </w:tc>
        <w:tc>
          <w:tcPr>
            <w:tcW w:type="dxa" w:w="3168"/>
            <w:shd w:val="clear" w:fill="DCE7F7"/>
          </w:tcPr>
          <w:p>
            <w:pPr>
              <w:spacing w:after="40"/>
            </w:pPr>
            <w:r/>
            <w:r>
              <w:rPr>
                <w:b/>
                <w:sz w:val="19"/>
              </w:rPr>
              <w:t>Training window</w:t>
            </w:r>
          </w:p>
        </w:tc>
        <w:tc>
          <w:tcPr>
            <w:tcW w:type="dxa" w:w="3168"/>
            <w:shd w:val="clear" w:fill="DCE7F7"/>
          </w:tcPr>
          <w:p>
            <w:pPr>
              <w:spacing w:after="40"/>
            </w:pPr>
            <w:r/>
            <w:r>
              <w:rPr>
                <w:b/>
                <w:sz w:val="19"/>
              </w:rPr>
              <w:t>Predicts</w:t>
            </w:r>
          </w:p>
        </w:tc>
        <w:tc>
          <w:tcPr>
            <w:tcW w:type="dxa" w:w="1872"/>
            <w:shd w:val="clear" w:fill="DCE7F7"/>
          </w:tcPr>
          <w:p>
            <w:pPr>
              <w:spacing w:after="40"/>
            </w:pPr>
            <w:r/>
            <w:r>
              <w:rPr>
                <w:b/>
                <w:sz w:val="19"/>
              </w:rPr>
              <w:t>Horizons</w:t>
            </w:r>
          </w:p>
        </w:tc>
      </w:tr>
      <w:tr>
        <w:tc>
          <w:tcPr>
            <w:tcW w:type="dxa" w:w="1008"/>
          </w:tcPr>
          <w:p>
            <w:pPr>
              <w:spacing w:after="40"/>
            </w:pPr>
            <w:r/>
            <w:r>
              <w:rPr>
                <w:sz w:val="19"/>
              </w:rPr>
              <w:t>1</w:t>
            </w:r>
          </w:p>
        </w:tc>
        <w:tc>
          <w:tcPr>
            <w:tcW w:type="dxa" w:w="3168"/>
          </w:tcPr>
          <w:p>
            <w:pPr>
              <w:spacing w:after="40"/>
            </w:pPr>
            <w:r/>
            <w:r>
              <w:rPr>
                <w:sz w:val="19"/>
              </w:rPr>
              <w:t>2017-18 → 2019-20</w:t>
            </w:r>
          </w:p>
        </w:tc>
        <w:tc>
          <w:tcPr>
            <w:tcW w:type="dxa" w:w="3168"/>
          </w:tcPr>
          <w:p>
            <w:pPr>
              <w:spacing w:after="40"/>
            </w:pPr>
            <w:r/>
            <w:r>
              <w:rPr>
                <w:sz w:val="19"/>
              </w:rPr>
              <w:t>2020-21 and 2021-22</w:t>
            </w:r>
          </w:p>
        </w:tc>
        <w:tc>
          <w:tcPr>
            <w:tcW w:type="dxa" w:w="1872"/>
          </w:tcPr>
          <w:p>
            <w:pPr>
              <w:spacing w:after="40"/>
            </w:pPr>
            <w:r/>
            <w:r>
              <w:rPr>
                <w:sz w:val="19"/>
              </w:rPr>
              <w:t>1 and 2</w:t>
            </w:r>
          </w:p>
        </w:tc>
      </w:tr>
      <w:tr>
        <w:tc>
          <w:tcPr>
            <w:tcW w:type="dxa" w:w="1008"/>
          </w:tcPr>
          <w:p>
            <w:pPr>
              <w:spacing w:after="40"/>
            </w:pPr>
            <w:r/>
            <w:r>
              <w:rPr>
                <w:sz w:val="19"/>
              </w:rPr>
              <w:t>2</w:t>
            </w:r>
          </w:p>
        </w:tc>
        <w:tc>
          <w:tcPr>
            <w:tcW w:type="dxa" w:w="3168"/>
          </w:tcPr>
          <w:p>
            <w:pPr>
              <w:spacing w:after="40"/>
            </w:pPr>
            <w:r/>
            <w:r>
              <w:rPr>
                <w:sz w:val="19"/>
              </w:rPr>
              <w:t>2017-18 → 2020-21</w:t>
            </w:r>
          </w:p>
        </w:tc>
        <w:tc>
          <w:tcPr>
            <w:tcW w:type="dxa" w:w="3168"/>
          </w:tcPr>
          <w:p>
            <w:pPr>
              <w:spacing w:after="40"/>
            </w:pPr>
            <w:r/>
            <w:r>
              <w:rPr>
                <w:sz w:val="19"/>
              </w:rPr>
              <w:t>2021-22</w:t>
            </w:r>
          </w:p>
        </w:tc>
        <w:tc>
          <w:tcPr>
            <w:tcW w:type="dxa" w:w="1872"/>
          </w:tcPr>
          <w:p>
            <w:pPr>
              <w:spacing w:after="40"/>
            </w:pPr>
            <w:r/>
            <w:r>
              <w:rPr>
                <w:sz w:val="19"/>
              </w:rPr>
              <w:t>1</w:t>
            </w:r>
          </w:p>
        </w:tc>
      </w:tr>
    </w:tbl>
    <w:p>
      <w:pPr>
        <w:spacing w:after="80"/>
      </w:pPr>
    </w:p>
    <w:p>
      <w:pPr>
        <w:spacing w:after="160"/>
      </w:pPr>
      <w:r>
        <w:rPr>
          <w:b w:val="0"/>
          <w:i w:val="0"/>
          <w:color w:val="0B0B0B"/>
          <w:sz w:val="22"/>
        </w:rPr>
        <w:t>Nothing after the origin is visible at fit time. Reported metrics are MAE, RMSE, MAPE, mean bias and MASE — the model’s MAE divided by the naive model’s MAE over the identical folds. MASE below 1.0 means the model beat carry-forward; at or above 1.0 it did not, whatever its raw error suggests.</w:t>
      </w:r>
    </w:p>
    <w:p>
      <w:pPr>
        <w:pStyle w:val="Heading3"/>
        <w:keepNext/>
      </w:pPr>
      <w:r>
        <w:t>Step 7 — Validate against reality</w:t>
      </w:r>
    </w:p>
    <w:p>
      <w:pPr>
        <w:spacing w:after="160"/>
      </w:pPr>
      <w:r>
        <w:rPr>
          <w:b w:val="0"/>
          <w:sz w:val="22"/>
        </w:rPr>
        <w:t xml:space="preserve">The backtest still only re-uses the training window. The final test refits every model on all five years, forecasts forward, and scores those forecasts against </w:t>
      </w:r>
      <w:r>
        <w:rPr>
          <w:b/>
          <w:sz w:val="22"/>
        </w:rPr>
        <w:t>42 MSP values the Cabinet actually announced</w:t>
      </w:r>
      <w:r>
        <w:rPr>
          <w:b w:val="0"/>
          <w:sz w:val="22"/>
        </w:rPr>
        <w:t xml:space="preserve"> for the 2022-23 and 2023-24 seasons — collected independently, each row carrying its PIB citation, and never used for fitting or model selection. Series whose announcements could not be independently verified (Jute, De-Husked Coconut, Toria) are excluded from scoring rather than guessed at.</w:t>
      </w:r>
    </w:p>
    <w:p>
      <w:r>
        <w:br w:type="page"/>
      </w:r>
    </w:p>
    <w:p>
      <w:pPr>
        <w:pStyle w:val="Heading1"/>
        <w:keepNext/>
      </w:pPr>
      <w:r>
        <w:t>5. Implementation Details</w:t>
      </w:r>
    </w:p>
    <w:p>
      <w:pPr>
        <w:pStyle w:val="Heading2"/>
        <w:keepNext/>
      </w:pPr>
      <w:r>
        <w:t>5.1 Tools and libraries</w:t>
      </w:r>
    </w:p>
    <w:tbl>
      <w:tblPr>
        <w:tblStyle w:val="TableGrid"/>
        <w:tblW w:type="auto" w:w="0"/>
        <w:jc w:val="center"/>
        <w:tblLook w:firstColumn="1" w:firstRow="1" w:lastColumn="0" w:lastRow="0" w:noHBand="0" w:noVBand="1" w:val="04A0"/>
      </w:tblPr>
      <w:tblGrid>
        <w:gridCol w:w="4514"/>
        <w:gridCol w:w="4514"/>
      </w:tblGrid>
      <w:tr>
        <w:tc>
          <w:tcPr>
            <w:tcW w:type="dxa" w:w="2160"/>
            <w:shd w:val="clear" w:fill="DCE7F7"/>
          </w:tcPr>
          <w:p>
            <w:pPr>
              <w:spacing w:after="40"/>
            </w:pPr>
            <w:r/>
            <w:r>
              <w:rPr>
                <w:b/>
                <w:sz w:val="19"/>
              </w:rPr>
              <w:t>Library</w:t>
            </w:r>
          </w:p>
        </w:tc>
        <w:tc>
          <w:tcPr>
            <w:tcW w:type="dxa" w:w="7056"/>
            <w:shd w:val="clear" w:fill="DCE7F7"/>
          </w:tcPr>
          <w:p>
            <w:pPr>
              <w:spacing w:after="40"/>
            </w:pPr>
            <w:r/>
            <w:r>
              <w:rPr>
                <w:b/>
                <w:sz w:val="19"/>
              </w:rPr>
              <w:t>Role</w:t>
            </w:r>
          </w:p>
        </w:tc>
      </w:tr>
      <w:tr>
        <w:tc>
          <w:tcPr>
            <w:tcW w:type="dxa" w:w="2160"/>
          </w:tcPr>
          <w:p>
            <w:pPr>
              <w:spacing w:after="40"/>
            </w:pPr>
            <w:r/>
            <w:r>
              <w:rPr>
                <w:sz w:val="19"/>
              </w:rPr>
              <w:t>Python 3.11</w:t>
            </w:r>
          </w:p>
        </w:tc>
        <w:tc>
          <w:tcPr>
            <w:tcW w:type="dxa" w:w="7056"/>
          </w:tcPr>
          <w:p>
            <w:pPr>
              <w:spacing w:after="40"/>
            </w:pPr>
            <w:r/>
            <w:r>
              <w:rPr>
                <w:sz w:val="19"/>
              </w:rPr>
              <w:t>Implementation language</w:t>
            </w:r>
          </w:p>
        </w:tc>
      </w:tr>
      <w:tr>
        <w:tc>
          <w:tcPr>
            <w:tcW w:type="dxa" w:w="2160"/>
          </w:tcPr>
          <w:p>
            <w:pPr>
              <w:spacing w:after="40"/>
            </w:pPr>
            <w:r/>
            <w:r>
              <w:rPr>
                <w:sz w:val="19"/>
              </w:rPr>
              <w:t>pandas</w:t>
            </w:r>
          </w:p>
        </w:tc>
        <w:tc>
          <w:tcPr>
            <w:tcW w:type="dxa" w:w="7056"/>
          </w:tcPr>
          <w:p>
            <w:pPr>
              <w:spacing w:after="40"/>
            </w:pPr>
            <w:r/>
            <w:r>
              <w:rPr>
                <w:sz w:val="19"/>
              </w:rPr>
              <w:t>Ingest, audit, reshaping, tidy long format, pivot tables</w:t>
            </w:r>
          </w:p>
        </w:tc>
      </w:tr>
      <w:tr>
        <w:tc>
          <w:tcPr>
            <w:tcW w:type="dxa" w:w="2160"/>
          </w:tcPr>
          <w:p>
            <w:pPr>
              <w:spacing w:after="40"/>
            </w:pPr>
            <w:r/>
            <w:r>
              <w:rPr>
                <w:sz w:val="19"/>
              </w:rPr>
              <w:t>numpy</w:t>
            </w:r>
          </w:p>
        </w:tc>
        <w:tc>
          <w:tcPr>
            <w:tcW w:type="dxa" w:w="7056"/>
          </w:tcPr>
          <w:p>
            <w:pPr>
              <w:spacing w:after="40"/>
            </w:pPr>
            <w:r/>
            <w:r>
              <w:rPr>
                <w:sz w:val="19"/>
              </w:rPr>
              <w:t>Numerical arrays, metric computation</w:t>
            </w:r>
          </w:p>
        </w:tc>
      </w:tr>
      <w:tr>
        <w:tc>
          <w:tcPr>
            <w:tcW w:type="dxa" w:w="2160"/>
          </w:tcPr>
          <w:p>
            <w:pPr>
              <w:spacing w:after="40"/>
            </w:pPr>
            <w:r/>
            <w:r>
              <w:rPr>
                <w:sz w:val="19"/>
              </w:rPr>
              <w:t>scikit-learn</w:t>
            </w:r>
          </w:p>
        </w:tc>
        <w:tc>
          <w:tcPr>
            <w:tcW w:type="dxa" w:w="7056"/>
          </w:tcPr>
          <w:p>
            <w:pPr>
              <w:spacing w:after="40"/>
            </w:pPr>
            <w:r/>
            <w:r>
              <w:rPr>
                <w:sz w:val="19"/>
              </w:rPr>
              <w:t>LinearRegression, Ridge, PolynomialFeatures, RandomForest, GradientBoosting</w:t>
            </w:r>
          </w:p>
        </w:tc>
      </w:tr>
      <w:tr>
        <w:tc>
          <w:tcPr>
            <w:tcW w:type="dxa" w:w="2160"/>
          </w:tcPr>
          <w:p>
            <w:pPr>
              <w:spacing w:after="40"/>
            </w:pPr>
            <w:r/>
            <w:r>
              <w:rPr>
                <w:sz w:val="19"/>
              </w:rPr>
              <w:t>statsmodels</w:t>
            </w:r>
          </w:p>
        </w:tc>
        <w:tc>
          <w:tcPr>
            <w:tcW w:type="dxa" w:w="7056"/>
          </w:tcPr>
          <w:p>
            <w:pPr>
              <w:spacing w:after="40"/>
            </w:pPr>
            <w:r/>
            <w:r>
              <w:rPr>
                <w:sz w:val="19"/>
              </w:rPr>
              <w:t>ARIMA(1,1,0) and Holt exponential smoothing</w:t>
            </w:r>
          </w:p>
        </w:tc>
      </w:tr>
      <w:tr>
        <w:tc>
          <w:tcPr>
            <w:tcW w:type="dxa" w:w="2160"/>
          </w:tcPr>
          <w:p>
            <w:pPr>
              <w:spacing w:after="40"/>
            </w:pPr>
            <w:r/>
            <w:r>
              <w:rPr>
                <w:sz w:val="19"/>
              </w:rPr>
              <w:t>matplotlib</w:t>
            </w:r>
          </w:p>
        </w:tc>
        <w:tc>
          <w:tcPr>
            <w:tcW w:type="dxa" w:w="7056"/>
          </w:tcPr>
          <w:p>
            <w:pPr>
              <w:spacing w:after="40"/>
            </w:pPr>
            <w:r/>
            <w:r>
              <w:rPr>
                <w:sz w:val="19"/>
              </w:rPr>
              <w:t>Seven publication-quality figures</w:t>
            </w:r>
          </w:p>
        </w:tc>
      </w:tr>
      <w:tr>
        <w:tc>
          <w:tcPr>
            <w:tcW w:type="dxa" w:w="2160"/>
          </w:tcPr>
          <w:p>
            <w:pPr>
              <w:spacing w:after="40"/>
            </w:pPr>
            <w:r/>
            <w:r>
              <w:rPr>
                <w:sz w:val="19"/>
              </w:rPr>
              <w:t>pytest</w:t>
            </w:r>
          </w:p>
        </w:tc>
        <w:tc>
          <w:tcPr>
            <w:tcW w:type="dxa" w:w="7056"/>
          </w:tcPr>
          <w:p>
            <w:pPr>
              <w:spacing w:after="40"/>
            </w:pPr>
            <w:r/>
            <w:r>
              <w:rPr>
                <w:sz w:val="19"/>
              </w:rPr>
              <w:t>25-test regression suite</w:t>
            </w:r>
          </w:p>
        </w:tc>
      </w:tr>
      <w:tr>
        <w:tc>
          <w:tcPr>
            <w:tcW w:type="dxa" w:w="2160"/>
          </w:tcPr>
          <w:p>
            <w:pPr>
              <w:spacing w:after="40"/>
            </w:pPr>
            <w:r/>
            <w:r>
              <w:rPr>
                <w:sz w:val="19"/>
              </w:rPr>
              <w:t>Streamlit</w:t>
            </w:r>
          </w:p>
        </w:tc>
        <w:tc>
          <w:tcPr>
            <w:tcW w:type="dxa" w:w="7056"/>
          </w:tcPr>
          <w:p>
            <w:pPr>
              <w:spacing w:after="40"/>
            </w:pPr>
            <w:r/>
            <w:r>
              <w:rPr>
                <w:sz w:val="19"/>
              </w:rPr>
              <w:t>Interactive forecast explorer</w:t>
            </w:r>
          </w:p>
        </w:tc>
      </w:tr>
      <w:tr>
        <w:tc>
          <w:tcPr>
            <w:tcW w:type="dxa" w:w="2160"/>
          </w:tcPr>
          <w:p>
            <w:pPr>
              <w:spacing w:after="40"/>
            </w:pPr>
            <w:r/>
            <w:r>
              <w:rPr>
                <w:sz w:val="19"/>
              </w:rPr>
              <w:t>Jupyter / nbclient</w:t>
            </w:r>
          </w:p>
        </w:tc>
        <w:tc>
          <w:tcPr>
            <w:tcW w:type="dxa" w:w="7056"/>
          </w:tcPr>
          <w:p>
            <w:pPr>
              <w:spacing w:after="40"/>
            </w:pPr>
            <w:r/>
            <w:r>
              <w:rPr>
                <w:sz w:val="19"/>
              </w:rPr>
              <w:t>Executed analysis notebook, generated from source</w:t>
            </w:r>
          </w:p>
        </w:tc>
      </w:tr>
    </w:tbl>
    <w:p>
      <w:pPr>
        <w:spacing w:after="80"/>
      </w:pPr>
    </w:p>
    <w:p>
      <w:pPr>
        <w:pStyle w:val="Heading2"/>
        <w:keepNext/>
      </w:pPr>
      <w:r>
        <w:t>5.2 Project structure</w:t>
      </w:r>
    </w:p>
    <w:p>
      <w:pPr>
        <w:spacing w:after="120"/>
      </w:pPr>
      <w:r>
        <w:rPr>
          <w:b w:val="0"/>
          <w:i w:val="0"/>
          <w:color w:val="0B0B0B"/>
          <w:sz w:val="22"/>
        </w:rPr>
        <w:t>The project is a reproducible package, not a single notebook. Analysis logic lives in src/ and is imported by the notebook, the application and the test suite alike, so there is exactly one implementation of every calculation.</w:t>
      </w:r>
    </w:p>
    <w:tbl>
      <w:tblPr>
        <w:tblStyle w:val="TableGrid"/>
        <w:tblW w:type="auto" w:w="0"/>
        <w:jc w:val="center"/>
        <w:tblLook w:firstColumn="1" w:firstRow="1" w:lastColumn="0" w:lastRow="0" w:noHBand="0" w:noVBand="1" w:val="04A0"/>
      </w:tblPr>
      <w:tblGrid>
        <w:gridCol w:w="4514"/>
        <w:gridCol w:w="4514"/>
      </w:tblGrid>
      <w:tr>
        <w:tc>
          <w:tcPr>
            <w:tcW w:type="dxa" w:w="2736"/>
            <w:shd w:val="clear" w:fill="DCE7F7"/>
          </w:tcPr>
          <w:p>
            <w:pPr>
              <w:spacing w:after="40"/>
            </w:pPr>
            <w:r/>
            <w:r>
              <w:rPr>
                <w:b/>
                <w:sz w:val="19"/>
              </w:rPr>
              <w:t>Module</w:t>
            </w:r>
          </w:p>
        </w:tc>
        <w:tc>
          <w:tcPr>
            <w:tcW w:type="dxa" w:w="6480"/>
            <w:shd w:val="clear" w:fill="DCE7F7"/>
          </w:tcPr>
          <w:p>
            <w:pPr>
              <w:spacing w:after="40"/>
            </w:pPr>
            <w:r/>
            <w:r>
              <w:rPr>
                <w:b/>
                <w:sz w:val="19"/>
              </w:rPr>
              <w:t>Responsibility</w:t>
            </w:r>
          </w:p>
        </w:tc>
      </w:tr>
      <w:tr>
        <w:tc>
          <w:tcPr>
            <w:tcW w:type="dxa" w:w="2736"/>
          </w:tcPr>
          <w:p>
            <w:pPr>
              <w:spacing w:after="40"/>
            </w:pPr>
            <w:r/>
            <w:r>
              <w:rPr>
                <w:sz w:val="19"/>
              </w:rPr>
              <w:t>src/config.py</w:t>
            </w:r>
          </w:p>
        </w:tc>
        <w:tc>
          <w:tcPr>
            <w:tcW w:type="dxa" w:w="6480"/>
          </w:tcPr>
          <w:p>
            <w:pPr>
              <w:spacing w:after="40"/>
            </w:pPr>
            <w:r/>
            <w:r>
              <w:rPr>
                <w:sz w:val="19"/>
              </w:rPr>
              <w:t>Paths, year columns, season-offset semantics</w:t>
            </w:r>
          </w:p>
        </w:tc>
      </w:tr>
      <w:tr>
        <w:tc>
          <w:tcPr>
            <w:tcW w:type="dxa" w:w="2736"/>
          </w:tcPr>
          <w:p>
            <w:pPr>
              <w:spacing w:after="40"/>
            </w:pPr>
            <w:r/>
            <w:r>
              <w:rPr>
                <w:sz w:val="19"/>
              </w:rPr>
              <w:t>src/data_loader.py</w:t>
            </w:r>
          </w:p>
        </w:tc>
        <w:tc>
          <w:tcPr>
            <w:tcW w:type="dxa" w:w="6480"/>
          </w:tcPr>
          <w:p>
            <w:pPr>
              <w:spacing w:after="40"/>
            </w:pPr>
            <w:r/>
            <w:r>
              <w:rPr>
                <w:sz w:val="19"/>
              </w:rPr>
              <w:t>Ingest, audit, clean, tidy long format, price matrix</w:t>
            </w:r>
          </w:p>
        </w:tc>
      </w:tr>
      <w:tr>
        <w:tc>
          <w:tcPr>
            <w:tcW w:type="dxa" w:w="2736"/>
          </w:tcPr>
          <w:p>
            <w:pPr>
              <w:spacing w:after="40"/>
            </w:pPr>
            <w:r/>
            <w:r>
              <w:rPr>
                <w:sz w:val="19"/>
              </w:rPr>
              <w:t>src/models.py</w:t>
            </w:r>
          </w:p>
        </w:tc>
        <w:tc>
          <w:tcPr>
            <w:tcW w:type="dxa" w:w="6480"/>
          </w:tcPr>
          <w:p>
            <w:pPr>
              <w:spacing w:after="40"/>
            </w:pPr>
            <w:r/>
            <w:r>
              <w:rPr>
                <w:sz w:val="19"/>
              </w:rPr>
              <w:t>The ten models behind one shared callable interface</w:t>
            </w:r>
          </w:p>
        </w:tc>
      </w:tr>
      <w:tr>
        <w:tc>
          <w:tcPr>
            <w:tcW w:type="dxa" w:w="2736"/>
          </w:tcPr>
          <w:p>
            <w:pPr>
              <w:spacing w:after="40"/>
            </w:pPr>
            <w:r/>
            <w:r>
              <w:rPr>
                <w:sz w:val="19"/>
              </w:rPr>
              <w:t>src/backtest.py</w:t>
            </w:r>
          </w:p>
        </w:tc>
        <w:tc>
          <w:tcPr>
            <w:tcW w:type="dxa" w:w="6480"/>
          </w:tcPr>
          <w:p>
            <w:pPr>
              <w:spacing w:after="40"/>
            </w:pPr>
            <w:r/>
            <w:r>
              <w:rPr>
                <w:sz w:val="19"/>
              </w:rPr>
              <w:t>Rolling-origin CV; MAE, RMSE, MAPE, bias, MASE</w:t>
            </w:r>
          </w:p>
        </w:tc>
      </w:tr>
      <w:tr>
        <w:tc>
          <w:tcPr>
            <w:tcW w:type="dxa" w:w="2736"/>
          </w:tcPr>
          <w:p>
            <w:pPr>
              <w:spacing w:after="40"/>
            </w:pPr>
            <w:r/>
            <w:r>
              <w:rPr>
                <w:sz w:val="19"/>
              </w:rPr>
              <w:t>src/forecast.py</w:t>
            </w:r>
          </w:p>
        </w:tc>
        <w:tc>
          <w:tcPr>
            <w:tcW w:type="dxa" w:w="6480"/>
          </w:tcPr>
          <w:p>
            <w:pPr>
              <w:spacing w:after="40"/>
            </w:pPr>
            <w:r/>
            <w:r>
              <w:rPr>
                <w:sz w:val="19"/>
              </w:rPr>
              <w:t>Final forecasts, hold-out scoring, growth statistics</w:t>
            </w:r>
          </w:p>
        </w:tc>
      </w:tr>
      <w:tr>
        <w:tc>
          <w:tcPr>
            <w:tcW w:type="dxa" w:w="2736"/>
          </w:tcPr>
          <w:p>
            <w:pPr>
              <w:spacing w:after="40"/>
            </w:pPr>
            <w:r/>
            <w:r>
              <w:rPr>
                <w:sz w:val="19"/>
              </w:rPr>
              <w:t>src/visualize.py</w:t>
            </w:r>
          </w:p>
        </w:tc>
        <w:tc>
          <w:tcPr>
            <w:tcW w:type="dxa" w:w="6480"/>
          </w:tcPr>
          <w:p>
            <w:pPr>
              <w:spacing w:after="40"/>
            </w:pPr>
            <w:r/>
            <w:r>
              <w:rPr>
                <w:sz w:val="19"/>
              </w:rPr>
              <w:t>Figure generation</w:t>
            </w:r>
          </w:p>
        </w:tc>
      </w:tr>
      <w:tr>
        <w:tc>
          <w:tcPr>
            <w:tcW w:type="dxa" w:w="2736"/>
          </w:tcPr>
          <w:p>
            <w:pPr>
              <w:spacing w:after="40"/>
            </w:pPr>
            <w:r/>
            <w:r>
              <w:rPr>
                <w:sz w:val="19"/>
              </w:rPr>
              <w:t>src/dashboard.py</w:t>
            </w:r>
          </w:p>
        </w:tc>
        <w:tc>
          <w:tcPr>
            <w:tcW w:type="dxa" w:w="6480"/>
          </w:tcPr>
          <w:p>
            <w:pPr>
              <w:spacing w:after="40"/>
            </w:pPr>
            <w:r/>
            <w:r>
              <w:rPr>
                <w:sz w:val="19"/>
              </w:rPr>
              <w:t>Self-contained interactive HTML dashboard</w:t>
            </w:r>
          </w:p>
        </w:tc>
      </w:tr>
      <w:tr>
        <w:tc>
          <w:tcPr>
            <w:tcW w:type="dxa" w:w="2736"/>
          </w:tcPr>
          <w:p>
            <w:pPr>
              <w:spacing w:after="40"/>
            </w:pPr>
            <w:r/>
            <w:r>
              <w:rPr>
                <w:sz w:val="19"/>
              </w:rPr>
              <w:t>run_pipeline.py</w:t>
            </w:r>
          </w:p>
        </w:tc>
        <w:tc>
          <w:tcPr>
            <w:tcW w:type="dxa" w:w="6480"/>
          </w:tcPr>
          <w:p>
            <w:pPr>
              <w:spacing w:after="40"/>
            </w:pPr>
            <w:r/>
            <w:r>
              <w:rPr>
                <w:sz w:val="19"/>
              </w:rPr>
              <w:t>Orchestrates the full pipeline end to end</w:t>
            </w:r>
          </w:p>
        </w:tc>
      </w:tr>
      <w:tr>
        <w:tc>
          <w:tcPr>
            <w:tcW w:type="dxa" w:w="2736"/>
          </w:tcPr>
          <w:p>
            <w:pPr>
              <w:spacing w:after="40"/>
            </w:pPr>
            <w:r/>
            <w:r>
              <w:rPr>
                <w:sz w:val="19"/>
              </w:rPr>
              <w:t>tools/</w:t>
            </w:r>
          </w:p>
        </w:tc>
        <w:tc>
          <w:tcPr>
            <w:tcW w:type="dxa" w:w="6480"/>
          </w:tcPr>
          <w:p>
            <w:pPr>
              <w:spacing w:after="40"/>
            </w:pPr>
            <w:r/>
            <w:r>
              <w:rPr>
                <w:sz w:val="19"/>
              </w:rPr>
              <w:t>Notebook and report generators</w:t>
            </w:r>
          </w:p>
        </w:tc>
      </w:tr>
      <w:tr>
        <w:tc>
          <w:tcPr>
            <w:tcW w:type="dxa" w:w="2736"/>
          </w:tcPr>
          <w:p>
            <w:pPr>
              <w:spacing w:after="40"/>
            </w:pPr>
            <w:r/>
            <w:r>
              <w:rPr>
                <w:sz w:val="19"/>
              </w:rPr>
              <w:t>tests/</w:t>
            </w:r>
          </w:p>
        </w:tc>
        <w:tc>
          <w:tcPr>
            <w:tcW w:type="dxa" w:w="6480"/>
          </w:tcPr>
          <w:p>
            <w:pPr>
              <w:spacing w:after="40"/>
            </w:pPr>
            <w:r/>
            <w:r>
              <w:rPr>
                <w:sz w:val="19"/>
              </w:rPr>
              <w:t>25-test pytest suite</w:t>
            </w:r>
          </w:p>
        </w:tc>
      </w:tr>
    </w:tbl>
    <w:p>
      <w:pPr>
        <w:spacing w:after="80"/>
      </w:pPr>
    </w:p>
    <w:p>
      <w:pPr>
        <w:pStyle w:val="Heading2"/>
        <w:keepNext/>
      </w:pPr>
      <w:r>
        <w:t>5.3 Reproducing the results</w:t>
      </w:r>
    </w:p>
    <w:p>
      <w:pPr>
        <w:spacing w:after="40"/>
        <w:ind w:left="432"/>
      </w:pPr>
      <w:r>
        <w:rPr>
          <w:rFonts w:ascii="Consolas" w:hAnsi="Consolas"/>
          <w:sz w:val="19"/>
        </w:rPr>
        <w:t>pip install -r requirements.txt</w:t>
      </w:r>
    </w:p>
    <w:p>
      <w:pPr>
        <w:spacing w:after="40"/>
        <w:ind w:left="432"/>
      </w:pPr>
      <w:r>
        <w:rPr>
          <w:rFonts w:ascii="Consolas" w:hAnsi="Consolas"/>
          <w:sz w:val="19"/>
        </w:rPr>
        <w:t>python run_pipeline.py                 # full pipeline → outputs/</w:t>
      </w:r>
    </w:p>
    <w:p>
      <w:pPr>
        <w:spacing w:after="40"/>
        <w:ind w:left="432"/>
      </w:pPr>
      <w:r>
        <w:rPr>
          <w:rFonts w:ascii="Consolas" w:hAnsi="Consolas"/>
          <w:sz w:val="19"/>
        </w:rPr>
        <w:t>pytest -q                              # 25 tests</w:t>
      </w:r>
    </w:p>
    <w:p>
      <w:pPr>
        <w:spacing w:after="40"/>
        <w:ind w:left="432"/>
      </w:pPr>
      <w:r>
        <w:rPr>
          <w:rFonts w:ascii="Consolas" w:hAnsi="Consolas"/>
          <w:sz w:val="19"/>
        </w:rPr>
        <w:t>streamlit run app/streamlit_app.py     # interactive explorer</w:t>
      </w:r>
    </w:p>
    <w:p>
      <w:pPr>
        <w:spacing w:after="40"/>
        <w:ind w:left="432"/>
      </w:pPr>
      <w:r>
        <w:rPr>
          <w:rFonts w:ascii="Consolas" w:hAnsi="Consolas"/>
          <w:sz w:val="19"/>
        </w:rPr>
        <w:t>python tools/build_notebook.py         # regenerate the notebook</w:t>
      </w:r>
    </w:p>
    <w:p>
      <w:pPr>
        <w:spacing w:after="160"/>
      </w:pPr>
      <w:r>
        <w:rPr>
          <w:b w:val="0"/>
          <w:i w:val="0"/>
          <w:color w:val="0B0B0B"/>
          <w:sz w:val="22"/>
        </w:rPr>
        <w:t>The pipeline runs in about a minute and writes every figure, table, a machine-readable JSON summary and the dashboard. This report itself is generated from that JSON, so no number printed here can drift from the code that produced it.</w:t>
      </w:r>
    </w:p>
    <w:p>
      <w:pPr>
        <w:pStyle w:val="Heading2"/>
        <w:keepNext/>
      </w:pPr>
      <w:r>
        <w:t>5.4 Testing</w:t>
      </w:r>
    </w:p>
    <w:p>
      <w:pPr>
        <w:spacing w:after="160"/>
      </w:pPr>
      <w:r>
        <w:rPr>
          <w:b w:val="0"/>
          <w:i w:val="0"/>
          <w:color w:val="0B0B0B"/>
          <w:sz w:val="22"/>
        </w:rPr>
        <w:t>The suite covers dataset integrity (shape, missing values, monotonicity), the season-offset correction, the model interface contract for all ten models, the documented flat-extrapolation behaviour of the tree models, and — most importantly — that the backtest never leaks future data and that the hold-out seasons are disjoint from the training window. All 25 tests pass.</w:t>
      </w:r>
    </w:p>
    <w:p>
      <w:r>
        <w:br w:type="page"/>
      </w:r>
    </w:p>
    <w:p>
      <w:pPr>
        <w:pStyle w:val="Heading1"/>
        <w:keepNext/>
      </w:pPr>
      <w:r>
        <w:t>6. Results and Discussions</w:t>
      </w:r>
    </w:p>
    <w:p>
      <w:pPr>
        <w:pStyle w:val="Heading2"/>
        <w:keepNext/>
      </w:pPr>
      <w:r>
        <w:t>6.1 How fast has MSP actually grown?</w:t>
      </w:r>
    </w:p>
    <w:p>
      <w:pPr>
        <w:spacing w:after="120"/>
      </w:pPr>
      <w:r>
        <w:rPr>
          <w:b w:val="0"/>
          <w:i w:val="0"/>
          <w:color w:val="0B0B0B"/>
          <w:sz w:val="22"/>
        </w:rPr>
        <w:t>Growth over the five years is far from uniform:</w:t>
      </w:r>
    </w:p>
    <w:tbl>
      <w:tblPr>
        <w:tblStyle w:val="TableGrid"/>
        <w:tblW w:type="auto" w:w="0"/>
        <w:jc w:val="center"/>
        <w:tblLook w:firstColumn="1" w:firstRow="1" w:lastColumn="0" w:lastRow="0" w:noHBand="0" w:noVBand="1" w:val="04A0"/>
      </w:tblPr>
      <w:tblGrid>
        <w:gridCol w:w="2257"/>
        <w:gridCol w:w="2257"/>
        <w:gridCol w:w="2257"/>
        <w:gridCol w:w="2257"/>
      </w:tblGrid>
      <w:tr>
        <w:tc>
          <w:tcPr>
            <w:tcW w:type="dxa" w:w="2880"/>
            <w:shd w:val="clear" w:fill="DCE7F7"/>
          </w:tcPr>
          <w:p>
            <w:pPr>
              <w:spacing w:after="40"/>
            </w:pPr>
            <w:r/>
            <w:r>
              <w:rPr>
                <w:b/>
                <w:sz w:val="19"/>
              </w:rPr>
              <w:t>Fastest growing</w:t>
            </w:r>
          </w:p>
        </w:tc>
        <w:tc>
          <w:tcPr>
            <w:tcW w:type="dxa" w:w="1440"/>
            <w:shd w:val="clear" w:fill="DCE7F7"/>
          </w:tcPr>
          <w:p>
            <w:pPr>
              <w:spacing w:after="40"/>
            </w:pPr>
            <w:r/>
            <w:r>
              <w:rPr>
                <w:b/>
                <w:sz w:val="19"/>
              </w:rPr>
              <w:t>CAGR</w:t>
            </w:r>
          </w:p>
        </w:tc>
        <w:tc>
          <w:tcPr>
            <w:tcW w:type="dxa" w:w="2880"/>
            <w:shd w:val="clear" w:fill="DCE7F7"/>
          </w:tcPr>
          <w:p>
            <w:pPr>
              <w:spacing w:after="40"/>
            </w:pPr>
            <w:r/>
            <w:r>
              <w:rPr>
                <w:b/>
                <w:sz w:val="19"/>
              </w:rPr>
              <w:t>Slowest growing</w:t>
            </w:r>
          </w:p>
        </w:tc>
        <w:tc>
          <w:tcPr>
            <w:tcW w:type="dxa" w:w="1440"/>
            <w:shd w:val="clear" w:fill="DCE7F7"/>
          </w:tcPr>
          <w:p>
            <w:pPr>
              <w:spacing w:after="40"/>
            </w:pPr>
            <w:r/>
            <w:r>
              <w:rPr>
                <w:b/>
                <w:sz w:val="19"/>
              </w:rPr>
              <w:t>CAGR</w:t>
            </w:r>
          </w:p>
        </w:tc>
      </w:tr>
      <w:tr>
        <w:tc>
          <w:tcPr>
            <w:tcW w:type="dxa" w:w="2880"/>
          </w:tcPr>
          <w:p>
            <w:pPr>
              <w:spacing w:after="40"/>
            </w:pPr>
            <w:r/>
            <w:r>
              <w:rPr>
                <w:sz w:val="19"/>
              </w:rPr>
              <w:t>Ragi</w:t>
            </w:r>
          </w:p>
        </w:tc>
        <w:tc>
          <w:tcPr>
            <w:tcW w:type="dxa" w:w="1440"/>
          </w:tcPr>
          <w:p>
            <w:pPr>
              <w:spacing w:after="40"/>
            </w:pPr>
            <w:r/>
            <w:r>
              <w:rPr>
                <w:sz w:val="19"/>
              </w:rPr>
              <w:t>15.5%</w:t>
            </w:r>
          </w:p>
        </w:tc>
        <w:tc>
          <w:tcPr>
            <w:tcW w:type="dxa" w:w="2880"/>
          </w:tcPr>
          <w:p>
            <w:pPr>
              <w:spacing w:after="40"/>
            </w:pPr>
            <w:r/>
            <w:r>
              <w:rPr>
                <w:sz w:val="19"/>
              </w:rPr>
              <w:t>Arhar(Tur)</w:t>
            </w:r>
          </w:p>
        </w:tc>
        <w:tc>
          <w:tcPr>
            <w:tcW w:type="dxa" w:w="1440"/>
          </w:tcPr>
          <w:p>
            <w:pPr>
              <w:spacing w:after="40"/>
            </w:pPr>
            <w:r/>
            <w:r>
              <w:rPr>
                <w:sz w:val="19"/>
              </w:rPr>
              <w:t>3.7%</w:t>
            </w:r>
          </w:p>
        </w:tc>
      </w:tr>
      <w:tr>
        <w:tc>
          <w:tcPr>
            <w:tcW w:type="dxa" w:w="2880"/>
          </w:tcPr>
          <w:p>
            <w:pPr>
              <w:spacing w:after="40"/>
            </w:pPr>
            <w:r/>
            <w:r>
              <w:rPr>
                <w:sz w:val="19"/>
              </w:rPr>
              <w:t>Nigerseed</w:t>
            </w:r>
          </w:p>
        </w:tc>
        <w:tc>
          <w:tcPr>
            <w:tcW w:type="dxa" w:w="1440"/>
          </w:tcPr>
          <w:p>
            <w:pPr>
              <w:spacing w:after="40"/>
            </w:pPr>
            <w:r/>
            <w:r>
              <w:rPr>
                <w:sz w:val="19"/>
              </w:rPr>
              <w:t>14.4%</w:t>
            </w:r>
          </w:p>
        </w:tc>
        <w:tc>
          <w:tcPr>
            <w:tcW w:type="dxa" w:w="2880"/>
          </w:tcPr>
          <w:p>
            <w:pPr>
              <w:spacing w:after="40"/>
            </w:pPr>
            <w:r/>
            <w:r>
              <w:rPr>
                <w:sz w:val="19"/>
              </w:rPr>
              <w:t>Barley</w:t>
            </w:r>
          </w:p>
        </w:tc>
        <w:tc>
          <w:tcPr>
            <w:tcW w:type="dxa" w:w="1440"/>
          </w:tcPr>
          <w:p>
            <w:pPr>
              <w:spacing w:after="40"/>
            </w:pPr>
            <w:r/>
            <w:r>
              <w:rPr>
                <w:sz w:val="19"/>
              </w:rPr>
              <w:t>3.8%</w:t>
            </w:r>
          </w:p>
        </w:tc>
      </w:tr>
      <w:tr>
        <w:tc>
          <w:tcPr>
            <w:tcW w:type="dxa" w:w="2880"/>
          </w:tcPr>
          <w:p>
            <w:pPr>
              <w:spacing w:after="40"/>
            </w:pPr>
            <w:r/>
            <w:r>
              <w:rPr>
                <w:sz w:val="19"/>
              </w:rPr>
              <w:t>Jowar (Hybrid)</w:t>
            </w:r>
          </w:p>
        </w:tc>
        <w:tc>
          <w:tcPr>
            <w:tcW w:type="dxa" w:w="1440"/>
          </w:tcPr>
          <w:p>
            <w:pPr>
              <w:spacing w:after="40"/>
            </w:pPr>
            <w:r/>
            <w:r>
              <w:rPr>
                <w:sz w:val="19"/>
              </w:rPr>
              <w:t>12.7%</w:t>
            </w:r>
          </w:p>
        </w:tc>
        <w:tc>
          <w:tcPr>
            <w:tcW w:type="dxa" w:w="2880"/>
          </w:tcPr>
          <w:p>
            <w:pPr>
              <w:spacing w:after="40"/>
            </w:pPr>
            <w:r/>
            <w:r>
              <w:rPr>
                <w:sz w:val="19"/>
              </w:rPr>
              <w:t>Wheat</w:t>
            </w:r>
          </w:p>
        </w:tc>
        <w:tc>
          <w:tcPr>
            <w:tcW w:type="dxa" w:w="1440"/>
          </w:tcPr>
          <w:p>
            <w:pPr>
              <w:spacing w:after="40"/>
            </w:pPr>
            <w:r/>
            <w:r>
              <w:rPr>
                <w:sz w:val="19"/>
              </w:rPr>
              <w:t>3.8%</w:t>
            </w:r>
          </w:p>
        </w:tc>
      </w:tr>
      <w:tr>
        <w:tc>
          <w:tcPr>
            <w:tcW w:type="dxa" w:w="2880"/>
          </w:tcPr>
          <w:p>
            <w:pPr>
              <w:spacing w:after="40"/>
            </w:pPr>
            <w:r/>
            <w:r>
              <w:rPr>
                <w:sz w:val="19"/>
              </w:rPr>
              <w:t>Jowar (Maldandi)</w:t>
            </w:r>
          </w:p>
        </w:tc>
        <w:tc>
          <w:tcPr>
            <w:tcW w:type="dxa" w:w="1440"/>
          </w:tcPr>
          <w:p>
            <w:pPr>
              <w:spacing w:after="40"/>
            </w:pPr>
            <w:r/>
            <w:r>
              <w:rPr>
                <w:sz w:val="19"/>
              </w:rPr>
              <w:t>12.4%</w:t>
            </w:r>
          </w:p>
        </w:tc>
        <w:tc>
          <w:tcPr>
            <w:tcW w:type="dxa" w:w="2880"/>
          </w:tcPr>
          <w:p>
            <w:pPr>
              <w:spacing w:after="40"/>
            </w:pPr>
            <w:r/>
            <w:r>
              <w:rPr>
                <w:sz w:val="19"/>
              </w:rPr>
              <w:t>Urad</w:t>
            </w:r>
          </w:p>
        </w:tc>
        <w:tc>
          <w:tcPr>
            <w:tcW w:type="dxa" w:w="1440"/>
          </w:tcPr>
          <w:p>
            <w:pPr>
              <w:spacing w:after="40"/>
            </w:pPr>
            <w:r/>
            <w:r>
              <w:rPr>
                <w:sz w:val="19"/>
              </w:rPr>
              <w:t>3.9%</w:t>
            </w:r>
          </w:p>
        </w:tc>
      </w:tr>
      <w:tr>
        <w:tc>
          <w:tcPr>
            <w:tcW w:type="dxa" w:w="2880"/>
          </w:tcPr>
          <w:p>
            <w:pPr>
              <w:spacing w:after="40"/>
            </w:pPr>
            <w:r/>
            <w:r>
              <w:rPr>
                <w:sz w:val="19"/>
              </w:rPr>
              <w:t>De-Husked Coconut</w:t>
            </w:r>
          </w:p>
        </w:tc>
        <w:tc>
          <w:tcPr>
            <w:tcW w:type="dxa" w:w="1440"/>
          </w:tcPr>
          <w:p>
            <w:pPr>
              <w:spacing w:after="40"/>
            </w:pPr>
            <w:r/>
            <w:r>
              <w:rPr>
                <w:sz w:val="19"/>
              </w:rPr>
              <w:t>12.3%</w:t>
            </w:r>
          </w:p>
        </w:tc>
        <w:tc>
          <w:tcPr>
            <w:tcW w:type="dxa" w:w="2880"/>
          </w:tcPr>
          <w:p>
            <w:pPr>
              <w:spacing w:after="40"/>
            </w:pPr>
            <w:r/>
            <w:r>
              <w:rPr>
                <w:sz w:val="19"/>
              </w:rPr>
              <w:t>Gram</w:t>
            </w:r>
          </w:p>
        </w:tc>
        <w:tc>
          <w:tcPr>
            <w:tcW w:type="dxa" w:w="1440"/>
          </w:tcPr>
          <w:p>
            <w:pPr>
              <w:spacing w:after="40"/>
            </w:pPr>
            <w:r/>
            <w:r>
              <w:rPr>
                <w:sz w:val="19"/>
              </w:rPr>
              <w:t>4.4%</w:t>
            </w:r>
          </w:p>
        </w:tc>
      </w:tr>
    </w:tbl>
    <w:p>
      <w:pPr>
        <w:spacing w:after="80"/>
      </w:pPr>
    </w:p>
    <w:p>
      <w:pPr>
        <w:spacing w:after="160"/>
      </w:pPr>
      <w:r>
        <w:rPr>
          <w:b w:val="0"/>
          <w:i w:val="0"/>
          <w:color w:val="0B0B0B"/>
          <w:sz w:val="22"/>
        </w:rPr>
        <w:t>Ragi and Nigerseed grew at 15.5% and 14.4% a year — roughly doubling over the window — as the government pushed millets and minor oilseeds toward the ‘1.5× cost of production’ formula, while Arhar, Wheat and Barley grew at under 4%. A single national growth rate would misprice most of the basket, which is the argument for fitting each series separately.</w:t>
      </w:r>
    </w:p>
    <w:p>
      <w:pPr>
        <w:spacing w:after="80"/>
        <w:jc w:val="center"/>
      </w:pPr>
      <w:r>
        <w:drawing>
          <wp:inline xmlns:a="http://schemas.openxmlformats.org/drawingml/2006/main" xmlns:pic="http://schemas.openxmlformats.org/drawingml/2006/picture">
            <wp:extent cx="5120640" cy="4430665"/>
            <wp:docPr id="1" name="Picture 1"/>
            <wp:cNvGraphicFramePr>
              <a:graphicFrameLocks noChangeAspect="1"/>
            </wp:cNvGraphicFramePr>
            <a:graphic>
              <a:graphicData uri="http://schemas.openxmlformats.org/drawingml/2006/picture">
                <pic:pic>
                  <pic:nvPicPr>
                    <pic:cNvPr id="0" name="fig2_cagr_by_series.png"/>
                    <pic:cNvPicPr/>
                  </pic:nvPicPr>
                  <pic:blipFill>
                    <a:blip r:embed="rId10"/>
                    <a:stretch>
                      <a:fillRect/>
                    </a:stretch>
                  </pic:blipFill>
                  <pic:spPr>
                    <a:xfrm>
                      <a:off x="0" y="0"/>
                      <a:ext cx="5120640" cy="4430665"/>
                    </a:xfrm>
                    <a:prstGeom prst="rect"/>
                  </pic:spPr>
                </pic:pic>
              </a:graphicData>
            </a:graphic>
          </wp:inline>
        </w:drawing>
      </w:r>
    </w:p>
    <w:p>
      <w:pPr>
        <w:spacing w:after="240"/>
        <w:jc w:val="center"/>
      </w:pPr>
      <w:r>
        <w:rPr>
          <w:b w:val="0"/>
          <w:i/>
          <w:color w:val="52514E"/>
          <w:sz w:val="18"/>
        </w:rPr>
        <w:t>Figure 1 — Five-year CAGR for all 28 series, grouped by cropping season.</w:t>
      </w:r>
    </w:p>
    <w:p>
      <w:pPr>
        <w:spacing w:after="80"/>
        <w:jc w:val="center"/>
      </w:pPr>
      <w:r>
        <w:drawing>
          <wp:inline xmlns:a="http://schemas.openxmlformats.org/drawingml/2006/main" xmlns:pic="http://schemas.openxmlformats.org/drawingml/2006/picture">
            <wp:extent cx="5486400" cy="3184556"/>
            <wp:docPr id="2" name="Picture 2"/>
            <wp:cNvGraphicFramePr>
              <a:graphicFrameLocks noChangeAspect="1"/>
            </wp:cNvGraphicFramePr>
            <a:graphic>
              <a:graphicData uri="http://schemas.openxmlformats.org/drawingml/2006/picture">
                <pic:pic>
                  <pic:nvPicPr>
                    <pic:cNvPr id="0" name="fig1_msp_trends.png"/>
                    <pic:cNvPicPr/>
                  </pic:nvPicPr>
                  <pic:blipFill>
                    <a:blip r:embed="rId11"/>
                    <a:stretch>
                      <a:fillRect/>
                    </a:stretch>
                  </pic:blipFill>
                  <pic:spPr>
                    <a:xfrm>
                      <a:off x="0" y="0"/>
                      <a:ext cx="5486400" cy="3184556"/>
                    </a:xfrm>
                    <a:prstGeom prst="rect"/>
                  </pic:spPr>
                </pic:pic>
              </a:graphicData>
            </a:graphic>
          </wp:inline>
        </w:drawing>
      </w:r>
    </w:p>
    <w:p>
      <w:pPr>
        <w:spacing w:after="240"/>
        <w:jc w:val="center"/>
      </w:pPr>
      <w:r>
        <w:rPr>
          <w:b w:val="0"/>
          <w:i/>
          <w:color w:val="52514E"/>
          <w:sz w:val="18"/>
        </w:rPr>
        <w:t>Figure 2 — MSP trajectories for four headline crops.</w:t>
      </w:r>
    </w:p>
    <w:p>
      <w:pPr>
        <w:pStyle w:val="Heading2"/>
        <w:keepNext/>
      </w:pPr>
      <w:r>
        <w:t>6.2 Backtest results</w:t>
      </w:r>
    </w:p>
    <w:p>
      <w:pPr>
        <w:spacing w:after="120"/>
      </w:pPr>
      <w:r>
        <w:rPr>
          <w:b w:val="0"/>
          <w:i w:val="0"/>
          <w:color w:val="0B0B0B"/>
          <w:sz w:val="22"/>
        </w:rPr>
        <w:t>Under the shared rolling-origin protocol, across 840 fold-predictions:</w:t>
      </w:r>
    </w:p>
    <w:tbl>
      <w:tblPr>
        <w:tblStyle w:val="TableGrid"/>
        <w:tblW w:type="auto" w:w="0"/>
        <w:jc w:val="center"/>
        <w:tblLook w:firstColumn="1" w:firstRow="1" w:lastColumn="0" w:lastRow="0" w:noHBand="0" w:noVBand="1" w:val="04A0"/>
      </w:tblPr>
      <w:tblGrid>
        <w:gridCol w:w="1806"/>
        <w:gridCol w:w="1806"/>
        <w:gridCol w:w="1806"/>
        <w:gridCol w:w="1806"/>
        <w:gridCol w:w="1806"/>
      </w:tblGrid>
      <w:tr>
        <w:tc>
          <w:tcPr>
            <w:tcW w:type="dxa" w:w="2304"/>
            <w:shd w:val="clear" w:fill="DCE7F7"/>
          </w:tcPr>
          <w:p>
            <w:pPr>
              <w:spacing w:after="40"/>
            </w:pPr>
            <w:r/>
            <w:r>
              <w:rPr>
                <w:b/>
                <w:sz w:val="19"/>
              </w:rPr>
              <w:t>Model</w:t>
            </w:r>
          </w:p>
        </w:tc>
        <w:tc>
          <w:tcPr>
            <w:tcW w:type="dxa" w:w="1728"/>
            <w:shd w:val="clear" w:fill="DCE7F7"/>
          </w:tcPr>
          <w:p>
            <w:pPr>
              <w:spacing w:after="40"/>
            </w:pPr>
            <w:r/>
            <w:r>
              <w:rPr>
                <w:b/>
                <w:sz w:val="19"/>
              </w:rPr>
              <w:t>MAE (₹)</w:t>
            </w:r>
          </w:p>
        </w:tc>
        <w:tc>
          <w:tcPr>
            <w:tcW w:type="dxa" w:w="1728"/>
            <w:shd w:val="clear" w:fill="DCE7F7"/>
          </w:tcPr>
          <w:p>
            <w:pPr>
              <w:spacing w:after="40"/>
            </w:pPr>
            <w:r/>
            <w:r>
              <w:rPr>
                <w:b/>
                <w:sz w:val="19"/>
              </w:rPr>
              <w:t>RMSE (₹)</w:t>
            </w:r>
          </w:p>
        </w:tc>
        <w:tc>
          <w:tcPr>
            <w:tcW w:type="dxa" w:w="1728"/>
            <w:shd w:val="clear" w:fill="DCE7F7"/>
          </w:tcPr>
          <w:p>
            <w:pPr>
              <w:spacing w:after="40"/>
            </w:pPr>
            <w:r/>
            <w:r>
              <w:rPr>
                <w:b/>
                <w:sz w:val="19"/>
              </w:rPr>
              <w:t>MAPE</w:t>
            </w:r>
          </w:p>
        </w:tc>
        <w:tc>
          <w:tcPr>
            <w:tcW w:type="dxa" w:w="1728"/>
            <w:shd w:val="clear" w:fill="DCE7F7"/>
          </w:tcPr>
          <w:p>
            <w:pPr>
              <w:spacing w:after="40"/>
            </w:pPr>
            <w:r/>
            <w:r>
              <w:rPr>
                <w:b/>
                <w:sz w:val="19"/>
              </w:rPr>
              <w:t>MASE</w:t>
            </w:r>
          </w:p>
        </w:tc>
      </w:tr>
      <w:tr>
        <w:tc>
          <w:tcPr>
            <w:tcW w:type="dxa" w:w="2304"/>
          </w:tcPr>
          <w:p>
            <w:pPr>
              <w:spacing w:after="40"/>
            </w:pPr>
            <w:r/>
            <w:r>
              <w:rPr>
                <w:b/>
                <w:sz w:val="19"/>
              </w:rPr>
              <w:t>ARIMA(1,1,0)</w:t>
            </w:r>
          </w:p>
        </w:tc>
        <w:tc>
          <w:tcPr>
            <w:tcW w:type="dxa" w:w="1728"/>
          </w:tcPr>
          <w:p>
            <w:pPr>
              <w:spacing w:after="40"/>
            </w:pPr>
            <w:r/>
            <w:r>
              <w:rPr>
                <w:b/>
                <w:sz w:val="19"/>
              </w:rPr>
              <w:t>141</w:t>
            </w:r>
          </w:p>
        </w:tc>
        <w:tc>
          <w:tcPr>
            <w:tcW w:type="dxa" w:w="1728"/>
          </w:tcPr>
          <w:p>
            <w:pPr>
              <w:spacing w:after="40"/>
            </w:pPr>
            <w:r/>
            <w:r>
              <w:rPr>
                <w:b/>
                <w:sz w:val="19"/>
              </w:rPr>
              <w:t>217</w:t>
            </w:r>
          </w:p>
        </w:tc>
        <w:tc>
          <w:tcPr>
            <w:tcW w:type="dxa" w:w="1728"/>
          </w:tcPr>
          <w:p>
            <w:pPr>
              <w:spacing w:after="40"/>
            </w:pPr>
            <w:r/>
            <w:r>
              <w:rPr>
                <w:b/>
                <w:sz w:val="19"/>
              </w:rPr>
              <w:t>2.90%</w:t>
            </w:r>
          </w:p>
        </w:tc>
        <w:tc>
          <w:tcPr>
            <w:tcW w:type="dxa" w:w="1728"/>
          </w:tcPr>
          <w:p>
            <w:pPr>
              <w:spacing w:after="40"/>
            </w:pPr>
            <w:r/>
            <w:r>
              <w:rPr>
                <w:b/>
                <w:sz w:val="19"/>
              </w:rPr>
              <w:t>0.52</w:t>
            </w:r>
          </w:p>
        </w:tc>
      </w:tr>
      <w:tr>
        <w:tc>
          <w:tcPr>
            <w:tcW w:type="dxa" w:w="2304"/>
          </w:tcPr>
          <w:p>
            <w:pPr>
              <w:spacing w:after="40"/>
            </w:pPr>
            <w:r/>
            <w:r>
              <w:rPr>
                <w:sz w:val="19"/>
              </w:rPr>
              <w:t>Naive</w:t>
            </w:r>
          </w:p>
        </w:tc>
        <w:tc>
          <w:tcPr>
            <w:tcW w:type="dxa" w:w="1728"/>
          </w:tcPr>
          <w:p>
            <w:pPr>
              <w:spacing w:after="40"/>
            </w:pPr>
            <w:r/>
            <w:r>
              <w:rPr>
                <w:sz w:val="19"/>
              </w:rPr>
              <w:t>271</w:t>
            </w:r>
          </w:p>
        </w:tc>
        <w:tc>
          <w:tcPr>
            <w:tcW w:type="dxa" w:w="1728"/>
          </w:tcPr>
          <w:p>
            <w:pPr>
              <w:spacing w:after="40"/>
            </w:pPr>
            <w:r/>
            <w:r>
              <w:rPr>
                <w:sz w:val="19"/>
              </w:rPr>
              <w:t>340</w:t>
            </w:r>
          </w:p>
        </w:tc>
        <w:tc>
          <w:tcPr>
            <w:tcW w:type="dxa" w:w="1728"/>
          </w:tcPr>
          <w:p>
            <w:pPr>
              <w:spacing w:after="40"/>
            </w:pPr>
            <w:r/>
            <w:r>
              <w:rPr>
                <w:sz w:val="19"/>
              </w:rPr>
              <w:t>5.47%</w:t>
            </w:r>
          </w:p>
        </w:tc>
        <w:tc>
          <w:tcPr>
            <w:tcW w:type="dxa" w:w="1728"/>
          </w:tcPr>
          <w:p>
            <w:pPr>
              <w:spacing w:after="40"/>
            </w:pPr>
            <w:r/>
            <w:r>
              <w:rPr>
                <w:sz w:val="19"/>
              </w:rPr>
              <w:t>1.00</w:t>
            </w:r>
          </w:p>
        </w:tc>
      </w:tr>
      <w:tr>
        <w:tc>
          <w:tcPr>
            <w:tcW w:type="dxa" w:w="2304"/>
          </w:tcPr>
          <w:p>
            <w:pPr>
              <w:spacing w:after="40"/>
            </w:pPr>
            <w:r/>
            <w:r>
              <w:rPr>
                <w:sz w:val="19"/>
              </w:rPr>
              <w:t>GradBoost</w:t>
            </w:r>
          </w:p>
        </w:tc>
        <w:tc>
          <w:tcPr>
            <w:tcW w:type="dxa" w:w="1728"/>
          </w:tcPr>
          <w:p>
            <w:pPr>
              <w:spacing w:after="40"/>
            </w:pPr>
            <w:r/>
            <w:r>
              <w:rPr>
                <w:sz w:val="19"/>
              </w:rPr>
              <w:t>271</w:t>
            </w:r>
          </w:p>
        </w:tc>
        <w:tc>
          <w:tcPr>
            <w:tcW w:type="dxa" w:w="1728"/>
          </w:tcPr>
          <w:p>
            <w:pPr>
              <w:spacing w:after="40"/>
            </w:pPr>
            <w:r/>
            <w:r>
              <w:rPr>
                <w:sz w:val="19"/>
              </w:rPr>
              <w:t>340</w:t>
            </w:r>
          </w:p>
        </w:tc>
        <w:tc>
          <w:tcPr>
            <w:tcW w:type="dxa" w:w="1728"/>
          </w:tcPr>
          <w:p>
            <w:pPr>
              <w:spacing w:after="40"/>
            </w:pPr>
            <w:r/>
            <w:r>
              <w:rPr>
                <w:sz w:val="19"/>
              </w:rPr>
              <w:t>5.47%</w:t>
            </w:r>
          </w:p>
        </w:tc>
        <w:tc>
          <w:tcPr>
            <w:tcW w:type="dxa" w:w="1728"/>
          </w:tcPr>
          <w:p>
            <w:pPr>
              <w:spacing w:after="40"/>
            </w:pPr>
            <w:r/>
            <w:r>
              <w:rPr>
                <w:sz w:val="19"/>
              </w:rPr>
              <w:t>1.00</w:t>
            </w:r>
          </w:p>
        </w:tc>
      </w:tr>
      <w:tr>
        <w:tc>
          <w:tcPr>
            <w:tcW w:type="dxa" w:w="2304"/>
          </w:tcPr>
          <w:p>
            <w:pPr>
              <w:spacing w:after="40"/>
            </w:pPr>
            <w:r/>
            <w:r>
              <w:rPr>
                <w:sz w:val="19"/>
              </w:rPr>
              <w:t>Drift</w:t>
            </w:r>
          </w:p>
        </w:tc>
        <w:tc>
          <w:tcPr>
            <w:tcW w:type="dxa" w:w="1728"/>
          </w:tcPr>
          <w:p>
            <w:pPr>
              <w:spacing w:after="40"/>
            </w:pPr>
            <w:r/>
            <w:r>
              <w:rPr>
                <w:sz w:val="19"/>
              </w:rPr>
              <w:t>361</w:t>
            </w:r>
          </w:p>
        </w:tc>
        <w:tc>
          <w:tcPr>
            <w:tcW w:type="dxa" w:w="1728"/>
          </w:tcPr>
          <w:p>
            <w:pPr>
              <w:spacing w:after="40"/>
            </w:pPr>
            <w:r/>
            <w:r>
              <w:rPr>
                <w:sz w:val="19"/>
              </w:rPr>
              <w:t>566</w:t>
            </w:r>
          </w:p>
        </w:tc>
        <w:tc>
          <w:tcPr>
            <w:tcW w:type="dxa" w:w="1728"/>
          </w:tcPr>
          <w:p>
            <w:pPr>
              <w:spacing w:after="40"/>
            </w:pPr>
            <w:r/>
            <w:r>
              <w:rPr>
                <w:sz w:val="19"/>
              </w:rPr>
              <w:t>7.15%</w:t>
            </w:r>
          </w:p>
        </w:tc>
        <w:tc>
          <w:tcPr>
            <w:tcW w:type="dxa" w:w="1728"/>
          </w:tcPr>
          <w:p>
            <w:pPr>
              <w:spacing w:after="40"/>
            </w:pPr>
            <w:r/>
            <w:r>
              <w:rPr>
                <w:sz w:val="19"/>
              </w:rPr>
              <w:t>1.33</w:t>
            </w:r>
          </w:p>
        </w:tc>
      </w:tr>
      <w:tr>
        <w:tc>
          <w:tcPr>
            <w:tcW w:type="dxa" w:w="2304"/>
          </w:tcPr>
          <w:p>
            <w:pPr>
              <w:spacing w:after="40"/>
            </w:pPr>
            <w:r/>
            <w:r>
              <w:rPr>
                <w:sz w:val="19"/>
              </w:rPr>
              <w:t>RandomForest</w:t>
            </w:r>
          </w:p>
        </w:tc>
        <w:tc>
          <w:tcPr>
            <w:tcW w:type="dxa" w:w="1728"/>
          </w:tcPr>
          <w:p>
            <w:pPr>
              <w:spacing w:after="40"/>
            </w:pPr>
            <w:r/>
            <w:r>
              <w:rPr>
                <w:sz w:val="19"/>
              </w:rPr>
              <w:t>385</w:t>
            </w:r>
          </w:p>
        </w:tc>
        <w:tc>
          <w:tcPr>
            <w:tcW w:type="dxa" w:w="1728"/>
          </w:tcPr>
          <w:p>
            <w:pPr>
              <w:spacing w:after="40"/>
            </w:pPr>
            <w:r/>
            <w:r>
              <w:rPr>
                <w:sz w:val="19"/>
              </w:rPr>
              <w:t>483</w:t>
            </w:r>
          </w:p>
        </w:tc>
        <w:tc>
          <w:tcPr>
            <w:tcW w:type="dxa" w:w="1728"/>
          </w:tcPr>
          <w:p>
            <w:pPr>
              <w:spacing w:after="40"/>
            </w:pPr>
            <w:r/>
            <w:r>
              <w:rPr>
                <w:sz w:val="19"/>
              </w:rPr>
              <w:t>7.63%</w:t>
            </w:r>
          </w:p>
        </w:tc>
        <w:tc>
          <w:tcPr>
            <w:tcW w:type="dxa" w:w="1728"/>
          </w:tcPr>
          <w:p>
            <w:pPr>
              <w:spacing w:after="40"/>
            </w:pPr>
            <w:r/>
            <w:r>
              <w:rPr>
                <w:sz w:val="19"/>
              </w:rPr>
              <w:t>1.42</w:t>
            </w:r>
          </w:p>
        </w:tc>
      </w:tr>
      <w:tr>
        <w:tc>
          <w:tcPr>
            <w:tcW w:type="dxa" w:w="2304"/>
          </w:tcPr>
          <w:p>
            <w:pPr>
              <w:spacing w:after="40"/>
            </w:pPr>
            <w:r/>
            <w:r>
              <w:rPr>
                <w:sz w:val="19"/>
              </w:rPr>
              <w:t>Holt</w:t>
            </w:r>
          </w:p>
        </w:tc>
        <w:tc>
          <w:tcPr>
            <w:tcW w:type="dxa" w:w="1728"/>
          </w:tcPr>
          <w:p>
            <w:pPr>
              <w:spacing w:after="40"/>
            </w:pPr>
            <w:r/>
            <w:r>
              <w:rPr>
                <w:sz w:val="19"/>
              </w:rPr>
              <w:t>422</w:t>
            </w:r>
          </w:p>
        </w:tc>
        <w:tc>
          <w:tcPr>
            <w:tcW w:type="dxa" w:w="1728"/>
          </w:tcPr>
          <w:p>
            <w:pPr>
              <w:spacing w:after="40"/>
            </w:pPr>
            <w:r/>
            <w:r>
              <w:rPr>
                <w:sz w:val="19"/>
              </w:rPr>
              <w:t>616</w:t>
            </w:r>
          </w:p>
        </w:tc>
        <w:tc>
          <w:tcPr>
            <w:tcW w:type="dxa" w:w="1728"/>
          </w:tcPr>
          <w:p>
            <w:pPr>
              <w:spacing w:after="40"/>
            </w:pPr>
            <w:r/>
            <w:r>
              <w:rPr>
                <w:sz w:val="19"/>
              </w:rPr>
              <w:t>8.53%</w:t>
            </w:r>
          </w:p>
        </w:tc>
        <w:tc>
          <w:tcPr>
            <w:tcW w:type="dxa" w:w="1728"/>
          </w:tcPr>
          <w:p>
            <w:pPr>
              <w:spacing w:after="40"/>
            </w:pPr>
            <w:r/>
            <w:r>
              <w:rPr>
                <w:sz w:val="19"/>
              </w:rPr>
              <w:t>1.56</w:t>
            </w:r>
          </w:p>
        </w:tc>
      </w:tr>
      <w:tr>
        <w:tc>
          <w:tcPr>
            <w:tcW w:type="dxa" w:w="2304"/>
          </w:tcPr>
          <w:p>
            <w:pPr>
              <w:spacing w:after="40"/>
            </w:pPr>
            <w:r/>
            <w:r>
              <w:rPr>
                <w:sz w:val="19"/>
              </w:rPr>
              <w:t>Linear</w:t>
            </w:r>
          </w:p>
        </w:tc>
        <w:tc>
          <w:tcPr>
            <w:tcW w:type="dxa" w:w="1728"/>
          </w:tcPr>
          <w:p>
            <w:pPr>
              <w:spacing w:after="40"/>
            </w:pPr>
            <w:r/>
            <w:r>
              <w:rPr>
                <w:sz w:val="19"/>
              </w:rPr>
              <w:t>422</w:t>
            </w:r>
          </w:p>
        </w:tc>
        <w:tc>
          <w:tcPr>
            <w:tcW w:type="dxa" w:w="1728"/>
          </w:tcPr>
          <w:p>
            <w:pPr>
              <w:spacing w:after="40"/>
            </w:pPr>
            <w:r/>
            <w:r>
              <w:rPr>
                <w:sz w:val="19"/>
              </w:rPr>
              <w:t>616</w:t>
            </w:r>
          </w:p>
        </w:tc>
        <w:tc>
          <w:tcPr>
            <w:tcW w:type="dxa" w:w="1728"/>
          </w:tcPr>
          <w:p>
            <w:pPr>
              <w:spacing w:after="40"/>
            </w:pPr>
            <w:r/>
            <w:r>
              <w:rPr>
                <w:sz w:val="19"/>
              </w:rPr>
              <w:t>8.55%</w:t>
            </w:r>
          </w:p>
        </w:tc>
        <w:tc>
          <w:tcPr>
            <w:tcW w:type="dxa" w:w="1728"/>
          </w:tcPr>
          <w:p>
            <w:pPr>
              <w:spacing w:after="40"/>
            </w:pPr>
            <w:r/>
            <w:r>
              <w:rPr>
                <w:sz w:val="19"/>
              </w:rPr>
              <w:t>1.56</w:t>
            </w:r>
          </w:p>
        </w:tc>
      </w:tr>
      <w:tr>
        <w:tc>
          <w:tcPr>
            <w:tcW w:type="dxa" w:w="2304"/>
          </w:tcPr>
          <w:p>
            <w:pPr>
              <w:spacing w:after="40"/>
            </w:pPr>
            <w:r/>
            <w:r>
              <w:rPr>
                <w:sz w:val="19"/>
              </w:rPr>
              <w:t>Ensemble</w:t>
            </w:r>
          </w:p>
        </w:tc>
        <w:tc>
          <w:tcPr>
            <w:tcW w:type="dxa" w:w="1728"/>
          </w:tcPr>
          <w:p>
            <w:pPr>
              <w:spacing w:after="40"/>
            </w:pPr>
            <w:r/>
            <w:r>
              <w:rPr>
                <w:sz w:val="19"/>
              </w:rPr>
              <w:t>426</w:t>
            </w:r>
          </w:p>
        </w:tc>
        <w:tc>
          <w:tcPr>
            <w:tcW w:type="dxa" w:w="1728"/>
          </w:tcPr>
          <w:p>
            <w:pPr>
              <w:spacing w:after="40"/>
            </w:pPr>
            <w:r/>
            <w:r>
              <w:rPr>
                <w:sz w:val="19"/>
              </w:rPr>
              <w:t>627</w:t>
            </w:r>
          </w:p>
        </w:tc>
        <w:tc>
          <w:tcPr>
            <w:tcW w:type="dxa" w:w="1728"/>
          </w:tcPr>
          <w:p>
            <w:pPr>
              <w:spacing w:after="40"/>
            </w:pPr>
            <w:r/>
            <w:r>
              <w:rPr>
                <w:sz w:val="19"/>
              </w:rPr>
              <w:t>8.59%</w:t>
            </w:r>
          </w:p>
        </w:tc>
        <w:tc>
          <w:tcPr>
            <w:tcW w:type="dxa" w:w="1728"/>
          </w:tcPr>
          <w:p>
            <w:pPr>
              <w:spacing w:after="40"/>
            </w:pPr>
            <w:r/>
            <w:r>
              <w:rPr>
                <w:sz w:val="19"/>
              </w:rPr>
              <w:t>1.58</w:t>
            </w:r>
          </w:p>
        </w:tc>
      </w:tr>
      <w:tr>
        <w:tc>
          <w:tcPr>
            <w:tcW w:type="dxa" w:w="2304"/>
          </w:tcPr>
          <w:p>
            <w:pPr>
              <w:spacing w:after="40"/>
            </w:pPr>
            <w:r/>
            <w:r>
              <w:rPr>
                <w:sz w:val="19"/>
              </w:rPr>
              <w:t>RidgePoly2</w:t>
            </w:r>
          </w:p>
        </w:tc>
        <w:tc>
          <w:tcPr>
            <w:tcW w:type="dxa" w:w="1728"/>
          </w:tcPr>
          <w:p>
            <w:pPr>
              <w:spacing w:after="40"/>
            </w:pPr>
            <w:r/>
            <w:r>
              <w:rPr>
                <w:sz w:val="19"/>
              </w:rPr>
              <w:t>507</w:t>
            </w:r>
          </w:p>
        </w:tc>
        <w:tc>
          <w:tcPr>
            <w:tcW w:type="dxa" w:w="1728"/>
          </w:tcPr>
          <w:p>
            <w:pPr>
              <w:spacing w:after="40"/>
            </w:pPr>
            <w:r/>
            <w:r>
              <w:rPr>
                <w:sz w:val="19"/>
              </w:rPr>
              <w:t>897</w:t>
            </w:r>
          </w:p>
        </w:tc>
        <w:tc>
          <w:tcPr>
            <w:tcW w:type="dxa" w:w="1728"/>
          </w:tcPr>
          <w:p>
            <w:pPr>
              <w:spacing w:after="40"/>
            </w:pPr>
            <w:r/>
            <w:r>
              <w:rPr>
                <w:sz w:val="19"/>
              </w:rPr>
              <w:t>9.79%</w:t>
            </w:r>
          </w:p>
        </w:tc>
        <w:tc>
          <w:tcPr>
            <w:tcW w:type="dxa" w:w="1728"/>
          </w:tcPr>
          <w:p>
            <w:pPr>
              <w:spacing w:after="40"/>
            </w:pPr>
            <w:r/>
            <w:r>
              <w:rPr>
                <w:sz w:val="19"/>
              </w:rPr>
              <w:t>1.87</w:t>
            </w:r>
          </w:p>
        </w:tc>
      </w:tr>
      <w:tr>
        <w:tc>
          <w:tcPr>
            <w:tcW w:type="dxa" w:w="2304"/>
          </w:tcPr>
          <w:p>
            <w:pPr>
              <w:spacing w:after="40"/>
            </w:pPr>
            <w:r/>
            <w:r>
              <w:rPr>
                <w:sz w:val="19"/>
              </w:rPr>
              <w:t>CAGR</w:t>
            </w:r>
          </w:p>
        </w:tc>
        <w:tc>
          <w:tcPr>
            <w:tcW w:type="dxa" w:w="1728"/>
          </w:tcPr>
          <w:p>
            <w:pPr>
              <w:spacing w:after="40"/>
            </w:pPr>
            <w:r/>
            <w:r>
              <w:rPr>
                <w:sz w:val="19"/>
              </w:rPr>
              <w:t>625</w:t>
            </w:r>
          </w:p>
        </w:tc>
        <w:tc>
          <w:tcPr>
            <w:tcW w:type="dxa" w:w="1728"/>
          </w:tcPr>
          <w:p>
            <w:pPr>
              <w:spacing w:after="40"/>
            </w:pPr>
            <w:r/>
            <w:r>
              <w:rPr>
                <w:sz w:val="19"/>
              </w:rPr>
              <w:t>961</w:t>
            </w:r>
          </w:p>
        </w:tc>
        <w:tc>
          <w:tcPr>
            <w:tcW w:type="dxa" w:w="1728"/>
          </w:tcPr>
          <w:p>
            <w:pPr>
              <w:spacing w:after="40"/>
            </w:pPr>
            <w:r/>
            <w:r>
              <w:rPr>
                <w:sz w:val="19"/>
              </w:rPr>
              <w:t>12.63%</w:t>
            </w:r>
          </w:p>
        </w:tc>
        <w:tc>
          <w:tcPr>
            <w:tcW w:type="dxa" w:w="1728"/>
          </w:tcPr>
          <w:p>
            <w:pPr>
              <w:spacing w:after="40"/>
            </w:pPr>
            <w:r/>
            <w:r>
              <w:rPr>
                <w:sz w:val="19"/>
              </w:rPr>
              <w:t>2.31</w:t>
            </w:r>
          </w:p>
        </w:tc>
      </w:tr>
    </w:tbl>
    <w:p>
      <w:pPr>
        <w:spacing w:after="80"/>
      </w:pPr>
    </w:p>
    <w:p>
      <w:pPr>
        <w:spacing w:after="160"/>
      </w:pPr>
      <w:r>
        <w:rPr>
          <w:b w:val="0"/>
          <w:i w:val="0"/>
          <w:color w:val="0B0B0B"/>
          <w:sz w:val="22"/>
        </w:rPr>
        <w:t>ARIMA(1,1,0) appears dominant, at 2.90% MAPE and MASE 0.52 — roughly half the naive error. On this evidence alone it would be the obvious choice. It is worth holding that conclusion loosely.</w:t>
      </w:r>
    </w:p>
    <w:p>
      <w:pPr>
        <w:pStyle w:val="Heading2"/>
        <w:keepNext/>
      </w:pPr>
      <w:r>
        <w:t>6.3 The real test: MSP actually announced</w:t>
      </w:r>
    </w:p>
    <w:p>
      <w:pPr>
        <w:spacing w:after="160"/>
      </w:pPr>
      <w:r>
        <w:rPr>
          <w:b w:val="0"/>
          <w:sz w:val="22"/>
        </w:rPr>
        <w:t xml:space="preserve">Every model was then refit on all five years and its forecasts scored against </w:t>
      </w:r>
      <w:r>
        <w:rPr>
          <w:b/>
          <w:sz w:val="22"/>
        </w:rPr>
        <w:t>42 MSP values the Government of India has since published</w:t>
      </w:r>
      <w:r>
        <w:rPr>
          <w:b w:val="0"/>
          <w:sz w:val="22"/>
        </w:rPr>
        <w:t xml:space="preserve"> for 2022-23 and 2023-24. ‘Selected’ is a pseudo-model that applies each series’ own backtest winner, included to test whether per-crop selection actually pays off.</w:t>
      </w:r>
    </w:p>
    <w:tbl>
      <w:tblPr>
        <w:tblStyle w:val="TableGrid"/>
        <w:tblW w:type="auto" w:w="0"/>
        <w:jc w:val="center"/>
        <w:tblLook w:firstColumn="1" w:firstRow="1" w:lastColumn="0" w:lastRow="0" w:noHBand="0" w:noVBand="1" w:val="04A0"/>
      </w:tblPr>
      <w:tblGrid>
        <w:gridCol w:w="1505"/>
        <w:gridCol w:w="1505"/>
        <w:gridCol w:w="1505"/>
        <w:gridCol w:w="1505"/>
        <w:gridCol w:w="1505"/>
        <w:gridCol w:w="1505"/>
      </w:tblGrid>
      <w:tr>
        <w:tc>
          <w:tcPr>
            <w:tcW w:type="dxa" w:w="2160"/>
            <w:shd w:val="clear" w:fill="DCE7F7"/>
          </w:tcPr>
          <w:p>
            <w:pPr>
              <w:spacing w:after="40"/>
            </w:pPr>
            <w:r/>
            <w:r>
              <w:rPr>
                <w:b/>
                <w:sz w:val="19"/>
              </w:rPr>
              <w:t>Model</w:t>
            </w:r>
          </w:p>
        </w:tc>
        <w:tc>
          <w:tcPr>
            <w:tcW w:type="dxa" w:w="1584"/>
            <w:shd w:val="clear" w:fill="DCE7F7"/>
          </w:tcPr>
          <w:p>
            <w:pPr>
              <w:spacing w:after="40"/>
            </w:pPr>
            <w:r/>
            <w:r>
              <w:rPr>
                <w:b/>
                <w:sz w:val="19"/>
              </w:rPr>
              <w:t>MAE (₹)</w:t>
            </w:r>
          </w:p>
        </w:tc>
        <w:tc>
          <w:tcPr>
            <w:tcW w:type="dxa" w:w="1440"/>
            <w:shd w:val="clear" w:fill="DCE7F7"/>
          </w:tcPr>
          <w:p>
            <w:pPr>
              <w:spacing w:after="40"/>
            </w:pPr>
            <w:r/>
            <w:r>
              <w:rPr>
                <w:b/>
                <w:sz w:val="19"/>
              </w:rPr>
              <w:t>MAPE</w:t>
            </w:r>
          </w:p>
        </w:tc>
        <w:tc>
          <w:tcPr>
            <w:tcW w:type="dxa" w:w="1584"/>
            <w:shd w:val="clear" w:fill="DCE7F7"/>
          </w:tcPr>
          <w:p>
            <w:pPr>
              <w:spacing w:after="40"/>
            </w:pPr>
            <w:r/>
            <w:r>
              <w:rPr>
                <w:b/>
                <w:sz w:val="19"/>
              </w:rPr>
              <w:t>Bias (₹)</w:t>
            </w:r>
          </w:p>
        </w:tc>
        <w:tc>
          <w:tcPr>
            <w:tcW w:type="dxa" w:w="1296"/>
            <w:shd w:val="clear" w:fill="DCE7F7"/>
          </w:tcPr>
          <w:p>
            <w:pPr>
              <w:spacing w:after="40"/>
            </w:pPr>
            <w:r/>
            <w:r>
              <w:rPr>
                <w:b/>
                <w:sz w:val="19"/>
              </w:rPr>
              <w:t>MASE</w:t>
            </w:r>
          </w:p>
        </w:tc>
        <w:tc>
          <w:tcPr>
            <w:tcW w:type="dxa" w:w="1584"/>
            <w:shd w:val="clear" w:fill="DCE7F7"/>
          </w:tcPr>
          <w:p>
            <w:pPr>
              <w:spacing w:after="40"/>
            </w:pPr>
            <w:r/>
            <w:r>
              <w:rPr>
                <w:b/>
                <w:sz w:val="19"/>
              </w:rPr>
              <w:t>Within ±5%</w:t>
            </w:r>
          </w:p>
        </w:tc>
      </w:tr>
      <w:tr>
        <w:tc>
          <w:tcPr>
            <w:tcW w:type="dxa" w:w="2160"/>
          </w:tcPr>
          <w:p>
            <w:pPr>
              <w:spacing w:after="40"/>
            </w:pPr>
            <w:r/>
            <w:r>
              <w:rPr>
                <w:b/>
                <w:sz w:val="19"/>
              </w:rPr>
              <w:t>RidgePoly2</w:t>
            </w:r>
          </w:p>
        </w:tc>
        <w:tc>
          <w:tcPr>
            <w:tcW w:type="dxa" w:w="1584"/>
          </w:tcPr>
          <w:p>
            <w:pPr>
              <w:spacing w:after="40"/>
            </w:pPr>
            <w:r/>
            <w:r>
              <w:rPr>
                <w:b/>
                <w:sz w:val="19"/>
              </w:rPr>
              <w:t>171</w:t>
            </w:r>
          </w:p>
        </w:tc>
        <w:tc>
          <w:tcPr>
            <w:tcW w:type="dxa" w:w="1440"/>
          </w:tcPr>
          <w:p>
            <w:pPr>
              <w:spacing w:after="40"/>
            </w:pPr>
            <w:r/>
            <w:r>
              <w:rPr>
                <w:b/>
                <w:sz w:val="19"/>
              </w:rPr>
              <w:t>2.77%</w:t>
            </w:r>
          </w:p>
        </w:tc>
        <w:tc>
          <w:tcPr>
            <w:tcW w:type="dxa" w:w="1584"/>
          </w:tcPr>
          <w:p>
            <w:pPr>
              <w:spacing w:after="40"/>
            </w:pPr>
            <w:r/>
            <w:r>
              <w:rPr>
                <w:b/>
                <w:sz w:val="19"/>
              </w:rPr>
              <w:t>90</w:t>
            </w:r>
          </w:p>
        </w:tc>
        <w:tc>
          <w:tcPr>
            <w:tcW w:type="dxa" w:w="1296"/>
          </w:tcPr>
          <w:p>
            <w:pPr>
              <w:spacing w:after="40"/>
            </w:pPr>
            <w:r/>
            <w:r>
              <w:rPr>
                <w:b/>
                <w:sz w:val="19"/>
              </w:rPr>
              <w:t>0.39</w:t>
            </w:r>
          </w:p>
        </w:tc>
        <w:tc>
          <w:tcPr>
            <w:tcW w:type="dxa" w:w="1584"/>
          </w:tcPr>
          <w:p>
            <w:pPr>
              <w:spacing w:after="40"/>
            </w:pPr>
            <w:r/>
            <w:r>
              <w:rPr>
                <w:b/>
                <w:sz w:val="19"/>
              </w:rPr>
              <w:t>79%</w:t>
            </w:r>
          </w:p>
        </w:tc>
      </w:tr>
      <w:tr>
        <w:tc>
          <w:tcPr>
            <w:tcW w:type="dxa" w:w="2160"/>
          </w:tcPr>
          <w:p>
            <w:pPr>
              <w:spacing w:after="40"/>
            </w:pPr>
            <w:r/>
            <w:r>
              <w:rPr>
                <w:sz w:val="19"/>
              </w:rPr>
              <w:t>Drift</w:t>
            </w:r>
          </w:p>
        </w:tc>
        <w:tc>
          <w:tcPr>
            <w:tcW w:type="dxa" w:w="1584"/>
          </w:tcPr>
          <w:p>
            <w:pPr>
              <w:spacing w:after="40"/>
            </w:pPr>
            <w:r/>
            <w:r>
              <w:rPr>
                <w:sz w:val="19"/>
              </w:rPr>
              <w:t>163</w:t>
            </w:r>
          </w:p>
        </w:tc>
        <w:tc>
          <w:tcPr>
            <w:tcW w:type="dxa" w:w="1440"/>
          </w:tcPr>
          <w:p>
            <w:pPr>
              <w:spacing w:after="40"/>
            </w:pPr>
            <w:r/>
            <w:r>
              <w:rPr>
                <w:sz w:val="19"/>
              </w:rPr>
              <w:t>2.92%</w:t>
            </w:r>
          </w:p>
        </w:tc>
        <w:tc>
          <w:tcPr>
            <w:tcW w:type="dxa" w:w="1584"/>
          </w:tcPr>
          <w:p>
            <w:pPr>
              <w:spacing w:after="40"/>
            </w:pPr>
            <w:r/>
            <w:r>
              <w:rPr>
                <w:sz w:val="19"/>
              </w:rPr>
              <w:t>18</w:t>
            </w:r>
          </w:p>
        </w:tc>
        <w:tc>
          <w:tcPr>
            <w:tcW w:type="dxa" w:w="1296"/>
          </w:tcPr>
          <w:p>
            <w:pPr>
              <w:spacing w:after="40"/>
            </w:pPr>
            <w:r/>
            <w:r>
              <w:rPr>
                <w:sz w:val="19"/>
              </w:rPr>
              <w:t>0.38</w:t>
            </w:r>
          </w:p>
        </w:tc>
        <w:tc>
          <w:tcPr>
            <w:tcW w:type="dxa" w:w="1584"/>
          </w:tcPr>
          <w:p>
            <w:pPr>
              <w:spacing w:after="40"/>
            </w:pPr>
            <w:r/>
            <w:r>
              <w:rPr>
                <w:sz w:val="19"/>
              </w:rPr>
              <w:t>79%</w:t>
            </w:r>
          </w:p>
        </w:tc>
      </w:tr>
      <w:tr>
        <w:tc>
          <w:tcPr>
            <w:tcW w:type="dxa" w:w="2160"/>
          </w:tcPr>
          <w:p>
            <w:pPr>
              <w:spacing w:after="40"/>
            </w:pPr>
            <w:r/>
            <w:r>
              <w:rPr>
                <w:sz w:val="19"/>
              </w:rPr>
              <w:t>Ensemble</w:t>
            </w:r>
          </w:p>
        </w:tc>
        <w:tc>
          <w:tcPr>
            <w:tcW w:type="dxa" w:w="1584"/>
          </w:tcPr>
          <w:p>
            <w:pPr>
              <w:spacing w:after="40"/>
            </w:pPr>
            <w:r/>
            <w:r>
              <w:rPr>
                <w:sz w:val="19"/>
              </w:rPr>
              <w:t>219</w:t>
            </w:r>
          </w:p>
        </w:tc>
        <w:tc>
          <w:tcPr>
            <w:tcW w:type="dxa" w:w="1440"/>
          </w:tcPr>
          <w:p>
            <w:pPr>
              <w:spacing w:after="40"/>
            </w:pPr>
            <w:r/>
            <w:r>
              <w:rPr>
                <w:sz w:val="19"/>
              </w:rPr>
              <w:t>3.78%</w:t>
            </w:r>
          </w:p>
        </w:tc>
        <w:tc>
          <w:tcPr>
            <w:tcW w:type="dxa" w:w="1584"/>
          </w:tcPr>
          <w:p>
            <w:pPr>
              <w:spacing w:after="40"/>
            </w:pPr>
            <w:r/>
            <w:r>
              <w:rPr>
                <w:sz w:val="19"/>
              </w:rPr>
              <w:t>88</w:t>
            </w:r>
          </w:p>
        </w:tc>
        <w:tc>
          <w:tcPr>
            <w:tcW w:type="dxa" w:w="1296"/>
          </w:tcPr>
          <w:p>
            <w:pPr>
              <w:spacing w:after="40"/>
            </w:pPr>
            <w:r/>
            <w:r>
              <w:rPr>
                <w:sz w:val="19"/>
              </w:rPr>
              <w:t>0.50</w:t>
            </w:r>
          </w:p>
        </w:tc>
        <w:tc>
          <w:tcPr>
            <w:tcW w:type="dxa" w:w="1584"/>
          </w:tcPr>
          <w:p>
            <w:pPr>
              <w:spacing w:after="40"/>
            </w:pPr>
            <w:r/>
            <w:r>
              <w:rPr>
                <w:sz w:val="19"/>
              </w:rPr>
              <w:t>81%</w:t>
            </w:r>
          </w:p>
        </w:tc>
      </w:tr>
      <w:tr>
        <w:tc>
          <w:tcPr>
            <w:tcW w:type="dxa" w:w="2160"/>
          </w:tcPr>
          <w:p>
            <w:pPr>
              <w:spacing w:after="40"/>
            </w:pPr>
            <w:r/>
            <w:r>
              <w:rPr>
                <w:sz w:val="19"/>
              </w:rPr>
              <w:t>Holt</w:t>
            </w:r>
          </w:p>
        </w:tc>
        <w:tc>
          <w:tcPr>
            <w:tcW w:type="dxa" w:w="1584"/>
          </w:tcPr>
          <w:p>
            <w:pPr>
              <w:spacing w:after="40"/>
            </w:pPr>
            <w:r/>
            <w:r>
              <w:rPr>
                <w:sz w:val="19"/>
              </w:rPr>
              <w:t>238</w:t>
            </w:r>
          </w:p>
        </w:tc>
        <w:tc>
          <w:tcPr>
            <w:tcW w:type="dxa" w:w="1440"/>
          </w:tcPr>
          <w:p>
            <w:pPr>
              <w:spacing w:after="40"/>
            </w:pPr>
            <w:r/>
            <w:r>
              <w:rPr>
                <w:sz w:val="19"/>
              </w:rPr>
              <w:t>3.97%</w:t>
            </w:r>
          </w:p>
        </w:tc>
        <w:tc>
          <w:tcPr>
            <w:tcW w:type="dxa" w:w="1584"/>
          </w:tcPr>
          <w:p>
            <w:pPr>
              <w:spacing w:after="40"/>
            </w:pPr>
            <w:r/>
            <w:r>
              <w:rPr>
                <w:sz w:val="19"/>
              </w:rPr>
              <w:t>57</w:t>
            </w:r>
          </w:p>
        </w:tc>
        <w:tc>
          <w:tcPr>
            <w:tcW w:type="dxa" w:w="1296"/>
          </w:tcPr>
          <w:p>
            <w:pPr>
              <w:spacing w:after="40"/>
            </w:pPr>
            <w:r/>
            <w:r>
              <w:rPr>
                <w:sz w:val="19"/>
              </w:rPr>
              <w:t>0.55</w:t>
            </w:r>
          </w:p>
        </w:tc>
        <w:tc>
          <w:tcPr>
            <w:tcW w:type="dxa" w:w="1584"/>
          </w:tcPr>
          <w:p>
            <w:pPr>
              <w:spacing w:after="40"/>
            </w:pPr>
            <w:r/>
            <w:r>
              <w:rPr>
                <w:sz w:val="19"/>
              </w:rPr>
              <w:t>79%</w:t>
            </w:r>
          </w:p>
        </w:tc>
      </w:tr>
      <w:tr>
        <w:tc>
          <w:tcPr>
            <w:tcW w:type="dxa" w:w="2160"/>
          </w:tcPr>
          <w:p>
            <w:pPr>
              <w:spacing w:after="40"/>
            </w:pPr>
            <w:r/>
            <w:r>
              <w:rPr>
                <w:sz w:val="19"/>
              </w:rPr>
              <w:t>Linear</w:t>
            </w:r>
          </w:p>
        </w:tc>
        <w:tc>
          <w:tcPr>
            <w:tcW w:type="dxa" w:w="1584"/>
          </w:tcPr>
          <w:p>
            <w:pPr>
              <w:spacing w:after="40"/>
            </w:pPr>
            <w:r/>
            <w:r>
              <w:rPr>
                <w:sz w:val="19"/>
              </w:rPr>
              <w:t>232</w:t>
            </w:r>
          </w:p>
        </w:tc>
        <w:tc>
          <w:tcPr>
            <w:tcW w:type="dxa" w:w="1440"/>
          </w:tcPr>
          <w:p>
            <w:pPr>
              <w:spacing w:after="40"/>
            </w:pPr>
            <w:r/>
            <w:r>
              <w:rPr>
                <w:sz w:val="19"/>
              </w:rPr>
              <w:t>4.01%</w:t>
            </w:r>
          </w:p>
        </w:tc>
        <w:tc>
          <w:tcPr>
            <w:tcW w:type="dxa" w:w="1584"/>
          </w:tcPr>
          <w:p>
            <w:pPr>
              <w:spacing w:after="40"/>
            </w:pPr>
            <w:r/>
            <w:r>
              <w:rPr>
                <w:sz w:val="19"/>
              </w:rPr>
              <w:t>89</w:t>
            </w:r>
          </w:p>
        </w:tc>
        <w:tc>
          <w:tcPr>
            <w:tcW w:type="dxa" w:w="1296"/>
          </w:tcPr>
          <w:p>
            <w:pPr>
              <w:spacing w:after="40"/>
            </w:pPr>
            <w:r/>
            <w:r>
              <w:rPr>
                <w:sz w:val="19"/>
              </w:rPr>
              <w:t>0.53</w:t>
            </w:r>
          </w:p>
        </w:tc>
        <w:tc>
          <w:tcPr>
            <w:tcW w:type="dxa" w:w="1584"/>
          </w:tcPr>
          <w:p>
            <w:pPr>
              <w:spacing w:after="40"/>
            </w:pPr>
            <w:r/>
            <w:r>
              <w:rPr>
                <w:sz w:val="19"/>
              </w:rPr>
              <w:t>79%</w:t>
            </w:r>
          </w:p>
        </w:tc>
      </w:tr>
      <w:tr>
        <w:tc>
          <w:tcPr>
            <w:tcW w:type="dxa" w:w="2160"/>
          </w:tcPr>
          <w:p>
            <w:pPr>
              <w:spacing w:after="40"/>
            </w:pPr>
            <w:r/>
            <w:r>
              <w:rPr>
                <w:sz w:val="19"/>
              </w:rPr>
              <w:t>Selected</w:t>
            </w:r>
          </w:p>
        </w:tc>
        <w:tc>
          <w:tcPr>
            <w:tcW w:type="dxa" w:w="1584"/>
          </w:tcPr>
          <w:p>
            <w:pPr>
              <w:spacing w:after="40"/>
            </w:pPr>
            <w:r/>
            <w:r>
              <w:rPr>
                <w:sz w:val="19"/>
              </w:rPr>
              <w:t>253</w:t>
            </w:r>
          </w:p>
        </w:tc>
        <w:tc>
          <w:tcPr>
            <w:tcW w:type="dxa" w:w="1440"/>
          </w:tcPr>
          <w:p>
            <w:pPr>
              <w:spacing w:after="40"/>
            </w:pPr>
            <w:r/>
            <w:r>
              <w:rPr>
                <w:sz w:val="19"/>
              </w:rPr>
              <w:t>5.02%</w:t>
            </w:r>
          </w:p>
        </w:tc>
        <w:tc>
          <w:tcPr>
            <w:tcW w:type="dxa" w:w="1584"/>
          </w:tcPr>
          <w:p>
            <w:pPr>
              <w:spacing w:after="40"/>
            </w:pPr>
            <w:r/>
            <w:r>
              <w:rPr>
                <w:sz w:val="19"/>
              </w:rPr>
              <w:t>-197</w:t>
            </w:r>
          </w:p>
        </w:tc>
        <w:tc>
          <w:tcPr>
            <w:tcW w:type="dxa" w:w="1296"/>
          </w:tcPr>
          <w:p>
            <w:pPr>
              <w:spacing w:after="40"/>
            </w:pPr>
            <w:r/>
            <w:r>
              <w:rPr>
                <w:sz w:val="19"/>
              </w:rPr>
              <w:t>0.58</w:t>
            </w:r>
          </w:p>
        </w:tc>
        <w:tc>
          <w:tcPr>
            <w:tcW w:type="dxa" w:w="1584"/>
          </w:tcPr>
          <w:p>
            <w:pPr>
              <w:spacing w:after="40"/>
            </w:pPr>
            <w:r/>
            <w:r>
              <w:rPr>
                <w:sz w:val="19"/>
              </w:rPr>
              <w:t>60%</w:t>
            </w:r>
          </w:p>
        </w:tc>
      </w:tr>
      <w:tr>
        <w:tc>
          <w:tcPr>
            <w:tcW w:type="dxa" w:w="2160"/>
          </w:tcPr>
          <w:p>
            <w:pPr>
              <w:spacing w:after="40"/>
            </w:pPr>
            <w:r/>
            <w:r>
              <w:rPr>
                <w:sz w:val="19"/>
              </w:rPr>
              <w:t>ARIMA(1,1,0)</w:t>
            </w:r>
          </w:p>
        </w:tc>
        <w:tc>
          <w:tcPr>
            <w:tcW w:type="dxa" w:w="1584"/>
          </w:tcPr>
          <w:p>
            <w:pPr>
              <w:spacing w:after="40"/>
            </w:pPr>
            <w:r/>
            <w:r>
              <w:rPr>
                <w:sz w:val="19"/>
              </w:rPr>
              <w:t>256</w:t>
            </w:r>
          </w:p>
        </w:tc>
        <w:tc>
          <w:tcPr>
            <w:tcW w:type="dxa" w:w="1440"/>
          </w:tcPr>
          <w:p>
            <w:pPr>
              <w:spacing w:after="40"/>
            </w:pPr>
            <w:r/>
            <w:r>
              <w:rPr>
                <w:sz w:val="19"/>
              </w:rPr>
              <w:t>5.05%</w:t>
            </w:r>
          </w:p>
        </w:tc>
        <w:tc>
          <w:tcPr>
            <w:tcW w:type="dxa" w:w="1584"/>
          </w:tcPr>
          <w:p>
            <w:pPr>
              <w:spacing w:after="40"/>
            </w:pPr>
            <w:r/>
            <w:r>
              <w:rPr>
                <w:sz w:val="19"/>
              </w:rPr>
              <w:t>-249</w:t>
            </w:r>
          </w:p>
        </w:tc>
        <w:tc>
          <w:tcPr>
            <w:tcW w:type="dxa" w:w="1296"/>
          </w:tcPr>
          <w:p>
            <w:pPr>
              <w:spacing w:after="40"/>
            </w:pPr>
            <w:r/>
            <w:r>
              <w:rPr>
                <w:sz w:val="19"/>
              </w:rPr>
              <w:t>0.59</w:t>
            </w:r>
          </w:p>
        </w:tc>
        <w:tc>
          <w:tcPr>
            <w:tcW w:type="dxa" w:w="1584"/>
          </w:tcPr>
          <w:p>
            <w:pPr>
              <w:spacing w:after="40"/>
            </w:pPr>
            <w:r/>
            <w:r>
              <w:rPr>
                <w:sz w:val="19"/>
              </w:rPr>
              <w:t>57%</w:t>
            </w:r>
          </w:p>
        </w:tc>
      </w:tr>
      <w:tr>
        <w:tc>
          <w:tcPr>
            <w:tcW w:type="dxa" w:w="2160"/>
          </w:tcPr>
          <w:p>
            <w:pPr>
              <w:spacing w:after="40"/>
            </w:pPr>
            <w:r/>
            <w:r>
              <w:rPr>
                <w:sz w:val="19"/>
              </w:rPr>
              <w:t>CAGR</w:t>
            </w:r>
          </w:p>
        </w:tc>
        <w:tc>
          <w:tcPr>
            <w:tcW w:type="dxa" w:w="1584"/>
          </w:tcPr>
          <w:p>
            <w:pPr>
              <w:spacing w:after="40"/>
            </w:pPr>
            <w:r/>
            <w:r>
              <w:rPr>
                <w:sz w:val="19"/>
              </w:rPr>
              <w:t>339</w:t>
            </w:r>
          </w:p>
        </w:tc>
        <w:tc>
          <w:tcPr>
            <w:tcW w:type="dxa" w:w="1440"/>
          </w:tcPr>
          <w:p>
            <w:pPr>
              <w:spacing w:after="40"/>
            </w:pPr>
            <w:r/>
            <w:r>
              <w:rPr>
                <w:sz w:val="19"/>
              </w:rPr>
              <w:t>6.10%</w:t>
            </w:r>
          </w:p>
        </w:tc>
        <w:tc>
          <w:tcPr>
            <w:tcW w:type="dxa" w:w="1584"/>
          </w:tcPr>
          <w:p>
            <w:pPr>
              <w:spacing w:after="40"/>
            </w:pPr>
            <w:r/>
            <w:r>
              <w:rPr>
                <w:sz w:val="19"/>
              </w:rPr>
              <w:t>261</w:t>
            </w:r>
          </w:p>
        </w:tc>
        <w:tc>
          <w:tcPr>
            <w:tcW w:type="dxa" w:w="1296"/>
          </w:tcPr>
          <w:p>
            <w:pPr>
              <w:spacing w:after="40"/>
            </w:pPr>
            <w:r/>
            <w:r>
              <w:rPr>
                <w:sz w:val="19"/>
              </w:rPr>
              <w:t>0.78</w:t>
            </w:r>
          </w:p>
        </w:tc>
        <w:tc>
          <w:tcPr>
            <w:tcW w:type="dxa" w:w="1584"/>
          </w:tcPr>
          <w:p>
            <w:pPr>
              <w:spacing w:after="40"/>
            </w:pPr>
            <w:r/>
            <w:r>
              <w:rPr>
                <w:sz w:val="19"/>
              </w:rPr>
              <w:t>57%</w:t>
            </w:r>
          </w:p>
        </w:tc>
      </w:tr>
      <w:tr>
        <w:tc>
          <w:tcPr>
            <w:tcW w:type="dxa" w:w="2160"/>
          </w:tcPr>
          <w:p>
            <w:pPr>
              <w:spacing w:after="40"/>
            </w:pPr>
            <w:r/>
            <w:r>
              <w:rPr>
                <w:sz w:val="19"/>
              </w:rPr>
              <w:t>Naive</w:t>
            </w:r>
          </w:p>
        </w:tc>
        <w:tc>
          <w:tcPr>
            <w:tcW w:type="dxa" w:w="1584"/>
          </w:tcPr>
          <w:p>
            <w:pPr>
              <w:spacing w:after="40"/>
            </w:pPr>
            <w:r/>
            <w:r>
              <w:rPr>
                <w:sz w:val="19"/>
              </w:rPr>
              <w:t>434</w:t>
            </w:r>
          </w:p>
        </w:tc>
        <w:tc>
          <w:tcPr>
            <w:tcW w:type="dxa" w:w="1440"/>
          </w:tcPr>
          <w:p>
            <w:pPr>
              <w:spacing w:after="40"/>
            </w:pPr>
            <w:r/>
            <w:r>
              <w:rPr>
                <w:sz w:val="19"/>
              </w:rPr>
              <w:t>8.43%</w:t>
            </w:r>
          </w:p>
        </w:tc>
        <w:tc>
          <w:tcPr>
            <w:tcW w:type="dxa" w:w="1584"/>
          </w:tcPr>
          <w:p>
            <w:pPr>
              <w:spacing w:after="40"/>
            </w:pPr>
            <w:r/>
            <w:r>
              <w:rPr>
                <w:sz w:val="19"/>
              </w:rPr>
              <w:t>-434</w:t>
            </w:r>
          </w:p>
        </w:tc>
        <w:tc>
          <w:tcPr>
            <w:tcW w:type="dxa" w:w="1296"/>
          </w:tcPr>
          <w:p>
            <w:pPr>
              <w:spacing w:after="40"/>
            </w:pPr>
            <w:r/>
            <w:r>
              <w:rPr>
                <w:sz w:val="19"/>
              </w:rPr>
              <w:t>1.00</w:t>
            </w:r>
          </w:p>
        </w:tc>
        <w:tc>
          <w:tcPr>
            <w:tcW w:type="dxa" w:w="1584"/>
          </w:tcPr>
          <w:p>
            <w:pPr>
              <w:spacing w:after="40"/>
            </w:pPr>
            <w:r/>
            <w:r>
              <w:rPr>
                <w:sz w:val="19"/>
              </w:rPr>
              <w:t>26%</w:t>
            </w:r>
          </w:p>
        </w:tc>
      </w:tr>
      <w:tr>
        <w:tc>
          <w:tcPr>
            <w:tcW w:type="dxa" w:w="2160"/>
          </w:tcPr>
          <w:p>
            <w:pPr>
              <w:spacing w:after="40"/>
            </w:pPr>
            <w:r/>
            <w:r>
              <w:rPr>
                <w:sz w:val="19"/>
              </w:rPr>
              <w:t>GradBoost</w:t>
            </w:r>
          </w:p>
        </w:tc>
        <w:tc>
          <w:tcPr>
            <w:tcW w:type="dxa" w:w="1584"/>
          </w:tcPr>
          <w:p>
            <w:pPr>
              <w:spacing w:after="40"/>
            </w:pPr>
            <w:r/>
            <w:r>
              <w:rPr>
                <w:sz w:val="19"/>
              </w:rPr>
              <w:t>434</w:t>
            </w:r>
          </w:p>
        </w:tc>
        <w:tc>
          <w:tcPr>
            <w:tcW w:type="dxa" w:w="1440"/>
          </w:tcPr>
          <w:p>
            <w:pPr>
              <w:spacing w:after="40"/>
            </w:pPr>
            <w:r/>
            <w:r>
              <w:rPr>
                <w:sz w:val="19"/>
              </w:rPr>
              <w:t>8.43%</w:t>
            </w:r>
          </w:p>
        </w:tc>
        <w:tc>
          <w:tcPr>
            <w:tcW w:type="dxa" w:w="1584"/>
          </w:tcPr>
          <w:p>
            <w:pPr>
              <w:spacing w:after="40"/>
            </w:pPr>
            <w:r/>
            <w:r>
              <w:rPr>
                <w:sz w:val="19"/>
              </w:rPr>
              <w:t>-434</w:t>
            </w:r>
          </w:p>
        </w:tc>
        <w:tc>
          <w:tcPr>
            <w:tcW w:type="dxa" w:w="1296"/>
          </w:tcPr>
          <w:p>
            <w:pPr>
              <w:spacing w:after="40"/>
            </w:pPr>
            <w:r/>
            <w:r>
              <w:rPr>
                <w:sz w:val="19"/>
              </w:rPr>
              <w:t>1.00</w:t>
            </w:r>
          </w:p>
        </w:tc>
        <w:tc>
          <w:tcPr>
            <w:tcW w:type="dxa" w:w="1584"/>
          </w:tcPr>
          <w:p>
            <w:pPr>
              <w:spacing w:after="40"/>
            </w:pPr>
            <w:r/>
            <w:r>
              <w:rPr>
                <w:sz w:val="19"/>
              </w:rPr>
              <w:t>26%</w:t>
            </w:r>
          </w:p>
        </w:tc>
      </w:tr>
      <w:tr>
        <w:tc>
          <w:tcPr>
            <w:tcW w:type="dxa" w:w="2160"/>
          </w:tcPr>
          <w:p>
            <w:pPr>
              <w:spacing w:after="40"/>
            </w:pPr>
            <w:r/>
            <w:r>
              <w:rPr>
                <w:sz w:val="19"/>
              </w:rPr>
              <w:t>RandomForest</w:t>
            </w:r>
          </w:p>
        </w:tc>
        <w:tc>
          <w:tcPr>
            <w:tcW w:type="dxa" w:w="1584"/>
          </w:tcPr>
          <w:p>
            <w:pPr>
              <w:spacing w:after="40"/>
            </w:pPr>
            <w:r/>
            <w:r>
              <w:rPr>
                <w:sz w:val="19"/>
              </w:rPr>
              <w:t>506</w:t>
            </w:r>
          </w:p>
        </w:tc>
        <w:tc>
          <w:tcPr>
            <w:tcW w:type="dxa" w:w="1440"/>
          </w:tcPr>
          <w:p>
            <w:pPr>
              <w:spacing w:after="40"/>
            </w:pPr>
            <w:r/>
            <w:r>
              <w:rPr>
                <w:sz w:val="19"/>
              </w:rPr>
              <w:t>9.76%</w:t>
            </w:r>
          </w:p>
        </w:tc>
        <w:tc>
          <w:tcPr>
            <w:tcW w:type="dxa" w:w="1584"/>
          </w:tcPr>
          <w:p>
            <w:pPr>
              <w:spacing w:after="40"/>
            </w:pPr>
            <w:r/>
            <w:r>
              <w:rPr>
                <w:sz w:val="19"/>
              </w:rPr>
              <w:t>-506</w:t>
            </w:r>
          </w:p>
        </w:tc>
        <w:tc>
          <w:tcPr>
            <w:tcW w:type="dxa" w:w="1296"/>
          </w:tcPr>
          <w:p>
            <w:pPr>
              <w:spacing w:after="40"/>
            </w:pPr>
            <w:r/>
            <w:r>
              <w:rPr>
                <w:sz w:val="19"/>
              </w:rPr>
              <w:t>1.17</w:t>
            </w:r>
          </w:p>
        </w:tc>
        <w:tc>
          <w:tcPr>
            <w:tcW w:type="dxa" w:w="1584"/>
          </w:tcPr>
          <w:p>
            <w:pPr>
              <w:spacing w:after="40"/>
            </w:pPr>
            <w:r/>
            <w:r>
              <w:rPr>
                <w:sz w:val="19"/>
              </w:rPr>
              <w:t>12%</w:t>
            </w:r>
          </w:p>
        </w:tc>
      </w:tr>
    </w:tbl>
    <w:p>
      <w:pPr>
        <w:spacing w:after="80"/>
      </w:pPr>
    </w:p>
    <w:p>
      <w:pPr>
        <w:spacing w:after="80"/>
        <w:jc w:val="center"/>
      </w:pPr>
      <w:r>
        <w:drawing>
          <wp:inline xmlns:a="http://schemas.openxmlformats.org/drawingml/2006/main" xmlns:pic="http://schemas.openxmlformats.org/drawingml/2006/picture">
            <wp:extent cx="5486400" cy="3782693"/>
            <wp:docPr id="3" name="Picture 3"/>
            <wp:cNvGraphicFramePr>
              <a:graphicFrameLocks noChangeAspect="1"/>
            </wp:cNvGraphicFramePr>
            <a:graphic>
              <a:graphicData uri="http://schemas.openxmlformats.org/drawingml/2006/picture">
                <pic:pic>
                  <pic:nvPicPr>
                    <pic:cNvPr id="0" name="fig3_model_leaderboard.png"/>
                    <pic:cNvPicPr/>
                  </pic:nvPicPr>
                  <pic:blipFill>
                    <a:blip r:embed="rId12"/>
                    <a:stretch>
                      <a:fillRect/>
                    </a:stretch>
                  </pic:blipFill>
                  <pic:spPr>
                    <a:xfrm>
                      <a:off x="0" y="0"/>
                      <a:ext cx="5486400" cy="3782693"/>
                    </a:xfrm>
                    <a:prstGeom prst="rect"/>
                  </pic:spPr>
                </pic:pic>
              </a:graphicData>
            </a:graphic>
          </wp:inline>
        </w:drawing>
      </w:r>
    </w:p>
    <w:p>
      <w:pPr>
        <w:spacing w:after="240"/>
        <w:jc w:val="center"/>
      </w:pPr>
      <w:r>
        <w:rPr>
          <w:b w:val="0"/>
          <w:i/>
          <w:color w:val="52514E"/>
          <w:sz w:val="18"/>
        </w:rPr>
        <w:t>Figure 3 — Backtest error against true hold-out error for every model.</w:t>
      </w:r>
    </w:p>
    <w:p>
      <w:pPr>
        <w:pStyle w:val="Heading2"/>
        <w:keepNext/>
      </w:pPr>
      <w:r>
        <w:t>6.4 The main finding: backtest rank is not hold-out rank</w:t>
      </w:r>
    </w:p>
    <w:p>
      <w:pPr>
        <w:spacing w:after="160"/>
      </w:pPr>
      <w:r>
        <w:rPr>
          <w:b w:val="0"/>
          <w:sz w:val="22"/>
        </w:rPr>
        <w:t xml:space="preserve">The two rankings disagree, and that disagreement is the most useful result in this project. </w:t>
      </w:r>
      <w:r>
        <w:rPr>
          <w:b/>
          <w:sz w:val="22"/>
        </w:rPr>
        <w:t>ARIMA(1,1,0) won the internal backtest at 2.90% and finishes mid-table on real announcements at 5.05%</w:t>
      </w:r>
      <w:r>
        <w:rPr>
          <w:b w:val="0"/>
          <w:sz w:val="22"/>
        </w:rPr>
        <w:t>, while RidgePoly2 — a mediocre 9.79% in the backtest — is the most accurate model on data nobody had seen, at 2.77% MAPE with 79% of forecasts inside a ±5% band.</w:t>
      </w:r>
    </w:p>
    <w:p>
      <w:pPr>
        <w:spacing w:after="160"/>
      </w:pPr>
      <w:r>
        <w:rPr>
          <w:b w:val="0"/>
          <w:i w:val="0"/>
          <w:color w:val="0B0B0B"/>
          <w:sz w:val="22"/>
        </w:rPr>
        <w:t>The explanation is fold size. Each backtest fold trains on only three or four points, and ARIMA’s differencing plus an autoregressive term can bend to fit the exact pattern of recent revisions. That flexibility is rewarded in-sample and punished the moment the series must be projected two seasons past the data. It is a textbook illustration of why model selection on a very short series is itself unreliable — and the honest response is to report both numbers rather than only the flattering one.</w:t>
      </w:r>
    </w:p>
    <w:p>
      <w:pPr>
        <w:spacing w:after="80"/>
        <w:jc w:val="center"/>
      </w:pPr>
      <w:r>
        <w:drawing>
          <wp:inline xmlns:a="http://schemas.openxmlformats.org/drawingml/2006/main" xmlns:pic="http://schemas.openxmlformats.org/drawingml/2006/picture">
            <wp:extent cx="4480560" cy="4223451"/>
            <wp:docPr id="4" name="Picture 4"/>
            <wp:cNvGraphicFramePr>
              <a:graphicFrameLocks noChangeAspect="1"/>
            </wp:cNvGraphicFramePr>
            <a:graphic>
              <a:graphicData uri="http://schemas.openxmlformats.org/drawingml/2006/picture">
                <pic:pic>
                  <pic:nvPicPr>
                    <pic:cNvPr id="0" name="fig4_holdout_parity.png"/>
                    <pic:cNvPicPr/>
                  </pic:nvPicPr>
                  <pic:blipFill>
                    <a:blip r:embed="rId13"/>
                    <a:stretch>
                      <a:fillRect/>
                    </a:stretch>
                  </pic:blipFill>
                  <pic:spPr>
                    <a:xfrm>
                      <a:off x="0" y="0"/>
                      <a:ext cx="4480560" cy="4223451"/>
                    </a:xfrm>
                    <a:prstGeom prst="rect"/>
                  </pic:spPr>
                </pic:pic>
              </a:graphicData>
            </a:graphic>
          </wp:inline>
        </w:drawing>
      </w:r>
    </w:p>
    <w:p>
      <w:pPr>
        <w:spacing w:after="240"/>
        <w:jc w:val="center"/>
      </w:pPr>
      <w:r>
        <w:rPr>
          <w:b w:val="0"/>
          <w:i/>
          <w:color w:val="52514E"/>
          <w:sz w:val="18"/>
        </w:rPr>
        <w:t>Figure 4 — RidgePoly2 forecasts against announced MSP; shaded band is ±5%.</w:t>
      </w:r>
    </w:p>
    <w:p>
      <w:pPr>
        <w:pStyle w:val="Heading2"/>
        <w:keepNext/>
      </w:pPr>
      <w:r>
        <w:t>6.5 Forecast bias, and why it matters to a farmer</w:t>
      </w:r>
    </w:p>
    <w:p>
      <w:pPr>
        <w:spacing w:after="160"/>
      </w:pPr>
      <w:r>
        <w:rPr>
          <w:b w:val="0"/>
          <w:sz w:val="22"/>
        </w:rPr>
        <w:t xml:space="preserve">Absolute error is not the whole story. Naive, GradBoost and RandomForest all under-forecast systematically, by </w:t>
      </w:r>
      <w:r>
        <w:rPr>
          <w:b/>
          <w:sz w:val="22"/>
        </w:rPr>
        <w:t>₹434 per quintal</w:t>
      </w:r>
      <w:r>
        <w:rPr>
          <w:b w:val="0"/>
          <w:sz w:val="22"/>
        </w:rPr>
        <w:t xml:space="preserve"> and more. A forecast that is wrong in a random direction is a nuisance; a forecast that is consistently ₹500 too low is a bias against planting — it would tell farmers the crop is less remunerative than it turns out to be, every single year. RidgePoly2 carries a bias of ₹90, an order of magnitude smaller and slightly conservative.</w:t>
      </w:r>
    </w:p>
    <w:p>
      <w:pPr>
        <w:spacing w:after="80"/>
        <w:jc w:val="center"/>
      </w:pPr>
      <w:r>
        <w:drawing>
          <wp:inline xmlns:a="http://schemas.openxmlformats.org/drawingml/2006/main" xmlns:pic="http://schemas.openxmlformats.org/drawingml/2006/picture">
            <wp:extent cx="5120640" cy="3265110"/>
            <wp:docPr id="5" name="Picture 5"/>
            <wp:cNvGraphicFramePr>
              <a:graphicFrameLocks noChangeAspect="1"/>
            </wp:cNvGraphicFramePr>
            <a:graphic>
              <a:graphicData uri="http://schemas.openxmlformats.org/drawingml/2006/picture">
                <pic:pic>
                  <pic:nvPicPr>
                    <pic:cNvPr id="0" name="fig6_holdout_bias.png"/>
                    <pic:cNvPicPr/>
                  </pic:nvPicPr>
                  <pic:blipFill>
                    <a:blip r:embed="rId14"/>
                    <a:stretch>
                      <a:fillRect/>
                    </a:stretch>
                  </pic:blipFill>
                  <pic:spPr>
                    <a:xfrm>
                      <a:off x="0" y="0"/>
                      <a:ext cx="5120640" cy="3265110"/>
                    </a:xfrm>
                    <a:prstGeom prst="rect"/>
                  </pic:spPr>
                </pic:pic>
              </a:graphicData>
            </a:graphic>
          </wp:inline>
        </w:drawing>
      </w:r>
    </w:p>
    <w:p>
      <w:pPr>
        <w:spacing w:after="240"/>
        <w:jc w:val="center"/>
      </w:pPr>
      <w:r>
        <w:rPr>
          <w:b w:val="0"/>
          <w:i/>
          <w:color w:val="52514E"/>
          <w:sz w:val="18"/>
        </w:rPr>
        <w:t>Figure 5 — Systematic over- and under-forecasting on the hold-out seasons.</w:t>
      </w:r>
    </w:p>
    <w:p>
      <w:pPr>
        <w:pStyle w:val="Heading2"/>
        <w:keepNext/>
      </w:pPr>
      <w:r>
        <w:t>6.6 Tree ensembles are the wrong tool for this problem</w:t>
      </w:r>
    </w:p>
    <w:p>
      <w:pPr>
        <w:spacing w:after="160"/>
      </w:pPr>
      <w:r>
        <w:rPr>
          <w:b w:val="0"/>
          <w:i w:val="0"/>
          <w:color w:val="0B0B0B"/>
          <w:sz w:val="22"/>
        </w:rPr>
        <w:t>Random Forest finishes last at 9.76% MAPE and MASE 1.17 — worse than assuming no change at all — and Gradient Boosting scores identically to the naive baseline to three decimal places. This is not a tuning failure. Tree models partition the input space and predict the mean of the nearest training leaf, so beyond the last observed year they return a constant. On a monotonically rising series that guarantees a growing under-forecast. Their poor showing here is a demonstration of a structural limitation, and a caution against reaching for the most fashionable algorithm rather than the one matched to the data.</w:t>
      </w:r>
    </w:p>
    <w:p>
      <w:pPr>
        <w:pStyle w:val="Heading2"/>
        <w:keepNext/>
      </w:pPr>
      <w:r>
        <w:t>6.7 Did per-crop model selection help? No.</w:t>
      </w:r>
    </w:p>
    <w:p>
      <w:pPr>
        <w:spacing w:after="160"/>
      </w:pPr>
      <w:r>
        <w:rPr>
          <w:b w:val="0"/>
          <w:i w:val="0"/>
          <w:color w:val="0B0B0B"/>
          <w:sz w:val="22"/>
        </w:rPr>
        <w:t>The backtest selected different winners for different crops — ARIMA(1,1,0) for 15 series, Drift for 4 series, RidgePoly2 for 3 series, CAGR for 3 series — an approach that intuitively should beat one model applied everywhere. It did not. The ‘Selected’ strategy scored 5.02% MAPE against RidgePoly2’s 2.77%, and its ±5% hit rate fell from 79% to 60%. With two backtest folds per series, selection is mostly fitting noise. Reporting this negative result matters: the intuition that more customisation is always better is exactly the kind of assumption a hold-out test exists to check.</w:t>
      </w:r>
    </w:p>
    <w:p>
      <w:pPr>
        <w:pStyle w:val="Heading2"/>
        <w:keepNext/>
      </w:pPr>
      <w:r>
        <w:t>6.8 Accuracy by horizon</w:t>
      </w:r>
    </w:p>
    <w:tbl>
      <w:tblPr>
        <w:tblStyle w:val="TableGrid"/>
        <w:tblW w:type="auto" w:w="0"/>
        <w:jc w:val="center"/>
        <w:tblLook w:firstColumn="1" w:firstRow="1" w:lastColumn="0" w:lastRow="0" w:noHBand="0" w:noVBand="1" w:val="04A0"/>
      </w:tblPr>
      <w:tblGrid>
        <w:gridCol w:w="1806"/>
        <w:gridCol w:w="1806"/>
        <w:gridCol w:w="1806"/>
        <w:gridCol w:w="1806"/>
        <w:gridCol w:w="1806"/>
      </w:tblGrid>
      <w:tr>
        <w:tc>
          <w:tcPr>
            <w:tcW w:type="dxa" w:w="2160"/>
            <w:shd w:val="clear" w:fill="DCE7F7"/>
          </w:tcPr>
          <w:p>
            <w:pPr>
              <w:spacing w:after="40"/>
            </w:pPr>
            <w:r/>
            <w:r>
              <w:rPr>
                <w:b/>
                <w:sz w:val="19"/>
              </w:rPr>
              <w:t>Model</w:t>
            </w:r>
          </w:p>
        </w:tc>
        <w:tc>
          <w:tcPr>
            <w:tcW w:type="dxa" w:w="1728"/>
            <w:shd w:val="clear" w:fill="DCE7F7"/>
          </w:tcPr>
          <w:p>
            <w:pPr>
              <w:spacing w:after="40"/>
            </w:pPr>
            <w:r/>
            <w:r>
              <w:rPr>
                <w:b/>
                <w:sz w:val="19"/>
              </w:rPr>
              <w:t>Season</w:t>
            </w:r>
          </w:p>
        </w:tc>
        <w:tc>
          <w:tcPr>
            <w:tcW w:type="dxa" w:w="1728"/>
            <w:shd w:val="clear" w:fill="DCE7F7"/>
          </w:tcPr>
          <w:p>
            <w:pPr>
              <w:spacing w:after="40"/>
            </w:pPr>
            <w:r/>
            <w:r>
              <w:rPr>
                <w:b/>
                <w:sz w:val="19"/>
              </w:rPr>
              <w:t>MAE (₹)</w:t>
            </w:r>
          </w:p>
        </w:tc>
        <w:tc>
          <w:tcPr>
            <w:tcW w:type="dxa" w:w="1728"/>
            <w:shd w:val="clear" w:fill="DCE7F7"/>
          </w:tcPr>
          <w:p>
            <w:pPr>
              <w:spacing w:after="40"/>
            </w:pPr>
            <w:r/>
            <w:r>
              <w:rPr>
                <w:b/>
                <w:sz w:val="19"/>
              </w:rPr>
              <w:t>MAPE</w:t>
            </w:r>
          </w:p>
        </w:tc>
        <w:tc>
          <w:tcPr>
            <w:tcW w:type="dxa" w:w="1872"/>
            <w:shd w:val="clear" w:fill="DCE7F7"/>
          </w:tcPr>
          <w:p>
            <w:pPr>
              <w:spacing w:after="40"/>
            </w:pPr>
            <w:r/>
            <w:r>
              <w:rPr>
                <w:b/>
                <w:sz w:val="19"/>
              </w:rPr>
              <w:t>Within ±5%</w:t>
            </w:r>
          </w:p>
        </w:tc>
      </w:tr>
      <w:tr>
        <w:tc>
          <w:tcPr>
            <w:tcW w:type="dxa" w:w="2160"/>
          </w:tcPr>
          <w:p>
            <w:pPr>
              <w:spacing w:after="40"/>
            </w:pPr>
            <w:r/>
            <w:r>
              <w:rPr>
                <w:sz w:val="19"/>
              </w:rPr>
              <w:t>ARIMA(1,1,0)</w:t>
            </w:r>
          </w:p>
        </w:tc>
        <w:tc>
          <w:tcPr>
            <w:tcW w:type="dxa" w:w="1728"/>
          </w:tcPr>
          <w:p>
            <w:pPr>
              <w:spacing w:after="40"/>
            </w:pPr>
            <w:r/>
            <w:r>
              <w:rPr>
                <w:sz w:val="19"/>
              </w:rPr>
              <w:t>2022-23</w:t>
            </w:r>
          </w:p>
        </w:tc>
        <w:tc>
          <w:tcPr>
            <w:tcW w:type="dxa" w:w="1728"/>
          </w:tcPr>
          <w:p>
            <w:pPr>
              <w:spacing w:after="40"/>
            </w:pPr>
            <w:r/>
            <w:r>
              <w:rPr>
                <w:sz w:val="19"/>
              </w:rPr>
              <w:t>134</w:t>
            </w:r>
          </w:p>
        </w:tc>
        <w:tc>
          <w:tcPr>
            <w:tcW w:type="dxa" w:w="1728"/>
          </w:tcPr>
          <w:p>
            <w:pPr>
              <w:spacing w:after="40"/>
            </w:pPr>
            <w:r/>
            <w:r>
              <w:rPr>
                <w:sz w:val="19"/>
              </w:rPr>
              <w:t>2.75%</w:t>
            </w:r>
          </w:p>
        </w:tc>
        <w:tc>
          <w:tcPr>
            <w:tcW w:type="dxa" w:w="1872"/>
          </w:tcPr>
          <w:p>
            <w:pPr>
              <w:spacing w:after="40"/>
            </w:pPr>
            <w:r/>
            <w:r>
              <w:rPr>
                <w:sz w:val="19"/>
              </w:rPr>
              <w:t>86%</w:t>
            </w:r>
          </w:p>
        </w:tc>
      </w:tr>
      <w:tr>
        <w:tc>
          <w:tcPr>
            <w:tcW w:type="dxa" w:w="2160"/>
          </w:tcPr>
          <w:p>
            <w:pPr>
              <w:spacing w:after="40"/>
            </w:pPr>
            <w:r/>
            <w:r>
              <w:rPr>
                <w:sz w:val="19"/>
              </w:rPr>
              <w:t>ARIMA(1,1,0)</w:t>
            </w:r>
          </w:p>
        </w:tc>
        <w:tc>
          <w:tcPr>
            <w:tcW w:type="dxa" w:w="1728"/>
          </w:tcPr>
          <w:p>
            <w:pPr>
              <w:spacing w:after="40"/>
            </w:pPr>
            <w:r/>
            <w:r>
              <w:rPr>
                <w:sz w:val="19"/>
              </w:rPr>
              <w:t>2023-24</w:t>
            </w:r>
          </w:p>
        </w:tc>
        <w:tc>
          <w:tcPr>
            <w:tcW w:type="dxa" w:w="1728"/>
          </w:tcPr>
          <w:p>
            <w:pPr>
              <w:spacing w:after="40"/>
            </w:pPr>
            <w:r/>
            <w:r>
              <w:rPr>
                <w:sz w:val="19"/>
              </w:rPr>
              <w:t>378</w:t>
            </w:r>
          </w:p>
        </w:tc>
        <w:tc>
          <w:tcPr>
            <w:tcW w:type="dxa" w:w="1728"/>
          </w:tcPr>
          <w:p>
            <w:pPr>
              <w:spacing w:after="40"/>
            </w:pPr>
            <w:r/>
            <w:r>
              <w:rPr>
                <w:sz w:val="19"/>
              </w:rPr>
              <w:t>7.36%</w:t>
            </w:r>
          </w:p>
        </w:tc>
        <w:tc>
          <w:tcPr>
            <w:tcW w:type="dxa" w:w="1872"/>
          </w:tcPr>
          <w:p>
            <w:pPr>
              <w:spacing w:after="40"/>
            </w:pPr>
            <w:r/>
            <w:r>
              <w:rPr>
                <w:sz w:val="19"/>
              </w:rPr>
              <w:t>29%</w:t>
            </w:r>
          </w:p>
        </w:tc>
      </w:tr>
      <w:tr>
        <w:tc>
          <w:tcPr>
            <w:tcW w:type="dxa" w:w="2160"/>
          </w:tcPr>
          <w:p>
            <w:pPr>
              <w:spacing w:after="40"/>
            </w:pPr>
            <w:r/>
            <w:r>
              <w:rPr>
                <w:sz w:val="19"/>
              </w:rPr>
              <w:t>Naive</w:t>
            </w:r>
          </w:p>
        </w:tc>
        <w:tc>
          <w:tcPr>
            <w:tcW w:type="dxa" w:w="1728"/>
          </w:tcPr>
          <w:p>
            <w:pPr>
              <w:spacing w:after="40"/>
            </w:pPr>
            <w:r/>
            <w:r>
              <w:rPr>
                <w:sz w:val="19"/>
              </w:rPr>
              <w:t>2022-23</w:t>
            </w:r>
          </w:p>
        </w:tc>
        <w:tc>
          <w:tcPr>
            <w:tcW w:type="dxa" w:w="1728"/>
          </w:tcPr>
          <w:p>
            <w:pPr>
              <w:spacing w:after="40"/>
            </w:pPr>
            <w:r/>
            <w:r>
              <w:rPr>
                <w:sz w:val="19"/>
              </w:rPr>
              <w:t>263</w:t>
            </w:r>
          </w:p>
        </w:tc>
        <w:tc>
          <w:tcPr>
            <w:tcW w:type="dxa" w:w="1728"/>
          </w:tcPr>
          <w:p>
            <w:pPr>
              <w:spacing w:after="40"/>
            </w:pPr>
            <w:r/>
            <w:r>
              <w:rPr>
                <w:sz w:val="19"/>
              </w:rPr>
              <w:t>5.28%</w:t>
            </w:r>
          </w:p>
        </w:tc>
        <w:tc>
          <w:tcPr>
            <w:tcW w:type="dxa" w:w="1872"/>
          </w:tcPr>
          <w:p>
            <w:pPr>
              <w:spacing w:after="40"/>
            </w:pPr>
            <w:r/>
            <w:r>
              <w:rPr>
                <w:sz w:val="19"/>
              </w:rPr>
              <w:t>48%</w:t>
            </w:r>
          </w:p>
        </w:tc>
      </w:tr>
      <w:tr>
        <w:tc>
          <w:tcPr>
            <w:tcW w:type="dxa" w:w="2160"/>
          </w:tcPr>
          <w:p>
            <w:pPr>
              <w:spacing w:after="40"/>
            </w:pPr>
            <w:r/>
            <w:r>
              <w:rPr>
                <w:sz w:val="19"/>
              </w:rPr>
              <w:t>Naive</w:t>
            </w:r>
          </w:p>
        </w:tc>
        <w:tc>
          <w:tcPr>
            <w:tcW w:type="dxa" w:w="1728"/>
          </w:tcPr>
          <w:p>
            <w:pPr>
              <w:spacing w:after="40"/>
            </w:pPr>
            <w:r/>
            <w:r>
              <w:rPr>
                <w:sz w:val="19"/>
              </w:rPr>
              <w:t>2023-24</w:t>
            </w:r>
          </w:p>
        </w:tc>
        <w:tc>
          <w:tcPr>
            <w:tcW w:type="dxa" w:w="1728"/>
          </w:tcPr>
          <w:p>
            <w:pPr>
              <w:spacing w:after="40"/>
            </w:pPr>
            <w:r/>
            <w:r>
              <w:rPr>
                <w:sz w:val="19"/>
              </w:rPr>
              <w:t>605</w:t>
            </w:r>
          </w:p>
        </w:tc>
        <w:tc>
          <w:tcPr>
            <w:tcW w:type="dxa" w:w="1728"/>
          </w:tcPr>
          <w:p>
            <w:pPr>
              <w:spacing w:after="40"/>
            </w:pPr>
            <w:r/>
            <w:r>
              <w:rPr>
                <w:sz w:val="19"/>
              </w:rPr>
              <w:t>11.59%</w:t>
            </w:r>
          </w:p>
        </w:tc>
        <w:tc>
          <w:tcPr>
            <w:tcW w:type="dxa" w:w="1872"/>
          </w:tcPr>
          <w:p>
            <w:pPr>
              <w:spacing w:after="40"/>
            </w:pPr>
            <w:r/>
            <w:r>
              <w:rPr>
                <w:sz w:val="19"/>
              </w:rPr>
              <w:t>5%</w:t>
            </w:r>
          </w:p>
        </w:tc>
      </w:tr>
      <w:tr>
        <w:tc>
          <w:tcPr>
            <w:tcW w:type="dxa" w:w="2160"/>
          </w:tcPr>
          <w:p>
            <w:pPr>
              <w:spacing w:after="40"/>
            </w:pPr>
            <w:r/>
            <w:r>
              <w:rPr>
                <w:sz w:val="19"/>
              </w:rPr>
              <w:t>RidgePoly2</w:t>
            </w:r>
          </w:p>
        </w:tc>
        <w:tc>
          <w:tcPr>
            <w:tcW w:type="dxa" w:w="1728"/>
          </w:tcPr>
          <w:p>
            <w:pPr>
              <w:spacing w:after="40"/>
            </w:pPr>
            <w:r/>
            <w:r>
              <w:rPr>
                <w:sz w:val="19"/>
              </w:rPr>
              <w:t>2022-23</w:t>
            </w:r>
          </w:p>
        </w:tc>
        <w:tc>
          <w:tcPr>
            <w:tcW w:type="dxa" w:w="1728"/>
          </w:tcPr>
          <w:p>
            <w:pPr>
              <w:spacing w:after="40"/>
            </w:pPr>
            <w:r/>
            <w:r>
              <w:rPr>
                <w:sz w:val="19"/>
              </w:rPr>
              <w:t>170</w:t>
            </w:r>
          </w:p>
        </w:tc>
        <w:tc>
          <w:tcPr>
            <w:tcW w:type="dxa" w:w="1728"/>
          </w:tcPr>
          <w:p>
            <w:pPr>
              <w:spacing w:after="40"/>
            </w:pPr>
            <w:r/>
            <w:r>
              <w:rPr>
                <w:sz w:val="19"/>
              </w:rPr>
              <w:t>2.39%</w:t>
            </w:r>
          </w:p>
        </w:tc>
        <w:tc>
          <w:tcPr>
            <w:tcW w:type="dxa" w:w="1872"/>
          </w:tcPr>
          <w:p>
            <w:pPr>
              <w:spacing w:after="40"/>
            </w:pPr>
            <w:r/>
            <w:r>
              <w:rPr>
                <w:sz w:val="19"/>
              </w:rPr>
              <w:t>86%</w:t>
            </w:r>
          </w:p>
        </w:tc>
      </w:tr>
      <w:tr>
        <w:tc>
          <w:tcPr>
            <w:tcW w:type="dxa" w:w="2160"/>
          </w:tcPr>
          <w:p>
            <w:pPr>
              <w:spacing w:after="40"/>
            </w:pPr>
            <w:r/>
            <w:r>
              <w:rPr>
                <w:sz w:val="19"/>
              </w:rPr>
              <w:t>RidgePoly2</w:t>
            </w:r>
          </w:p>
        </w:tc>
        <w:tc>
          <w:tcPr>
            <w:tcW w:type="dxa" w:w="1728"/>
          </w:tcPr>
          <w:p>
            <w:pPr>
              <w:spacing w:after="40"/>
            </w:pPr>
            <w:r/>
            <w:r>
              <w:rPr>
                <w:sz w:val="19"/>
              </w:rPr>
              <w:t>2023-24</w:t>
            </w:r>
          </w:p>
        </w:tc>
        <w:tc>
          <w:tcPr>
            <w:tcW w:type="dxa" w:w="1728"/>
          </w:tcPr>
          <w:p>
            <w:pPr>
              <w:spacing w:after="40"/>
            </w:pPr>
            <w:r/>
            <w:r>
              <w:rPr>
                <w:sz w:val="19"/>
              </w:rPr>
              <w:t>172</w:t>
            </w:r>
          </w:p>
        </w:tc>
        <w:tc>
          <w:tcPr>
            <w:tcW w:type="dxa" w:w="1728"/>
          </w:tcPr>
          <w:p>
            <w:pPr>
              <w:spacing w:after="40"/>
            </w:pPr>
            <w:r/>
            <w:r>
              <w:rPr>
                <w:sz w:val="19"/>
              </w:rPr>
              <w:t>3.14%</w:t>
            </w:r>
          </w:p>
        </w:tc>
        <w:tc>
          <w:tcPr>
            <w:tcW w:type="dxa" w:w="1872"/>
          </w:tcPr>
          <w:p>
            <w:pPr>
              <w:spacing w:after="40"/>
            </w:pPr>
            <w:r/>
            <w:r>
              <w:rPr>
                <w:sz w:val="19"/>
              </w:rPr>
              <w:t>71%</w:t>
            </w:r>
          </w:p>
        </w:tc>
      </w:tr>
    </w:tbl>
    <w:p>
      <w:pPr>
        <w:spacing w:after="80"/>
      </w:pPr>
    </w:p>
    <w:p>
      <w:pPr>
        <w:spacing w:after="160"/>
      </w:pPr>
      <w:r>
        <w:rPr>
          <w:b w:val="0"/>
          <w:i w:val="0"/>
          <w:color w:val="0B0B0B"/>
          <w:sz w:val="22"/>
        </w:rPr>
        <w:t>Every model degrades from the first hold-out season to the second — both are forecast from the same 2021-22 origin, so the second is one further revision away. How gracefully they degrade is what separates them: the naive baseline roughly doubles its error and ARIMA nearly triples, while RidgePoly2 moves only from 2.39% to 3.14%. Robustness at the longer horizon is where the trend models earn their place.</w:t>
      </w:r>
    </w:p>
    <w:p>
      <w:pPr>
        <w:spacing w:after="80"/>
        <w:jc w:val="center"/>
      </w:pPr>
      <w:r>
        <w:drawing>
          <wp:inline xmlns:a="http://schemas.openxmlformats.org/drawingml/2006/main" xmlns:pic="http://schemas.openxmlformats.org/drawingml/2006/picture">
            <wp:extent cx="5760720" cy="4008844"/>
            <wp:docPr id="6" name="Picture 6"/>
            <wp:cNvGraphicFramePr>
              <a:graphicFrameLocks noChangeAspect="1"/>
            </wp:cNvGraphicFramePr>
            <a:graphic>
              <a:graphicData uri="http://schemas.openxmlformats.org/drawingml/2006/picture">
                <pic:pic>
                  <pic:nvPicPr>
                    <pic:cNvPr id="0" name="fig5_forecast_panels.png"/>
                    <pic:cNvPicPr/>
                  </pic:nvPicPr>
                  <pic:blipFill>
                    <a:blip r:embed="rId15"/>
                    <a:stretch>
                      <a:fillRect/>
                    </a:stretch>
                  </pic:blipFill>
                  <pic:spPr>
                    <a:xfrm>
                      <a:off x="0" y="0"/>
                      <a:ext cx="5760720" cy="4008844"/>
                    </a:xfrm>
                    <a:prstGeom prst="rect"/>
                  </pic:spPr>
                </pic:pic>
              </a:graphicData>
            </a:graphic>
          </wp:inline>
        </w:drawing>
      </w:r>
    </w:p>
    <w:p>
      <w:pPr>
        <w:spacing w:after="240"/>
        <w:jc w:val="center"/>
      </w:pPr>
      <w:r>
        <w:rPr>
          <w:b w:val="0"/>
          <w:i/>
          <w:color w:val="52514E"/>
          <w:sz w:val="18"/>
        </w:rPr>
        <w:t>Figure 6 — History, forecast and announced MSP for four headline crops.</w:t>
      </w:r>
    </w:p>
    <w:p>
      <w:pPr>
        <w:pStyle w:val="Heading2"/>
        <w:keepNext/>
      </w:pPr>
      <w:r>
        <w:t>6.9 Where the forecasts went wrong</w:t>
      </w:r>
    </w:p>
    <w:tbl>
      <w:tblPr>
        <w:tblStyle w:val="TableGrid"/>
        <w:tblW w:type="auto" w:w="0"/>
        <w:jc w:val="center"/>
        <w:tblLook w:firstColumn="1" w:firstRow="1" w:lastColumn="0" w:lastRow="0" w:noHBand="0" w:noVBand="1" w:val="04A0"/>
      </w:tblPr>
      <w:tblGrid>
        <w:gridCol w:w="1806"/>
        <w:gridCol w:w="1806"/>
        <w:gridCol w:w="1806"/>
        <w:gridCol w:w="1806"/>
        <w:gridCol w:w="1806"/>
      </w:tblGrid>
      <w:tr>
        <w:tc>
          <w:tcPr>
            <w:tcW w:type="dxa" w:w="2304"/>
            <w:shd w:val="clear" w:fill="DCE7F7"/>
          </w:tcPr>
          <w:p>
            <w:pPr>
              <w:spacing w:after="40"/>
            </w:pPr>
            <w:r/>
            <w:r>
              <w:rPr>
                <w:b/>
                <w:sz w:val="19"/>
              </w:rPr>
              <w:t>Series</w:t>
            </w:r>
          </w:p>
        </w:tc>
        <w:tc>
          <w:tcPr>
            <w:tcW w:type="dxa" w:w="2016"/>
            <w:shd w:val="clear" w:fill="DCE7F7"/>
          </w:tcPr>
          <w:p>
            <w:pPr>
              <w:spacing w:after="40"/>
            </w:pPr>
            <w:r/>
            <w:r>
              <w:rPr>
                <w:b/>
                <w:sz w:val="19"/>
              </w:rPr>
              <w:t>Season</w:t>
            </w:r>
          </w:p>
        </w:tc>
        <w:tc>
          <w:tcPr>
            <w:tcW w:type="dxa" w:w="1728"/>
            <w:shd w:val="clear" w:fill="DCE7F7"/>
          </w:tcPr>
          <w:p>
            <w:pPr>
              <w:spacing w:after="40"/>
            </w:pPr>
            <w:r/>
            <w:r>
              <w:rPr>
                <w:b/>
                <w:sz w:val="19"/>
              </w:rPr>
              <w:t>Forecast (₹)</w:t>
            </w:r>
          </w:p>
        </w:tc>
        <w:tc>
          <w:tcPr>
            <w:tcW w:type="dxa" w:w="1728"/>
            <w:shd w:val="clear" w:fill="DCE7F7"/>
          </w:tcPr>
          <w:p>
            <w:pPr>
              <w:spacing w:after="40"/>
            </w:pPr>
            <w:r/>
            <w:r>
              <w:rPr>
                <w:b/>
                <w:sz w:val="19"/>
              </w:rPr>
              <w:t>Announced (₹)</w:t>
            </w:r>
          </w:p>
        </w:tc>
        <w:tc>
          <w:tcPr>
            <w:tcW w:type="dxa" w:w="1440"/>
            <w:shd w:val="clear" w:fill="DCE7F7"/>
          </w:tcPr>
          <w:p>
            <w:pPr>
              <w:spacing w:after="40"/>
            </w:pPr>
            <w:r/>
            <w:r>
              <w:rPr>
                <w:b/>
                <w:sz w:val="19"/>
              </w:rPr>
              <w:t>Error</w:t>
            </w:r>
          </w:p>
        </w:tc>
      </w:tr>
      <w:tr>
        <w:tc>
          <w:tcPr>
            <w:tcW w:type="dxa" w:w="2304"/>
          </w:tcPr>
          <w:p>
            <w:pPr>
              <w:spacing w:after="40"/>
            </w:pPr>
            <w:r/>
            <w:r>
              <w:rPr>
                <w:sz w:val="19"/>
              </w:rPr>
              <w:t>Copra (Milling)</w:t>
            </w:r>
          </w:p>
        </w:tc>
        <w:tc>
          <w:tcPr>
            <w:tcW w:type="dxa" w:w="2016"/>
          </w:tcPr>
          <w:p>
            <w:pPr>
              <w:spacing w:after="40"/>
            </w:pPr>
            <w:r/>
            <w:r>
              <w:rPr>
                <w:sz w:val="19"/>
              </w:rPr>
              <w:t>Copra season 2022</w:t>
            </w:r>
          </w:p>
        </w:tc>
        <w:tc>
          <w:tcPr>
            <w:tcW w:type="dxa" w:w="1728"/>
          </w:tcPr>
          <w:p>
            <w:pPr>
              <w:spacing w:after="40"/>
            </w:pPr>
            <w:r/>
            <w:r>
              <w:rPr>
                <w:sz w:val="19"/>
              </w:rPr>
              <w:t>11,761</w:t>
            </w:r>
          </w:p>
        </w:tc>
        <w:tc>
          <w:tcPr>
            <w:tcW w:type="dxa" w:w="1728"/>
          </w:tcPr>
          <w:p>
            <w:pPr>
              <w:spacing w:after="40"/>
            </w:pPr>
            <w:r/>
            <w:r>
              <w:rPr>
                <w:sz w:val="19"/>
              </w:rPr>
              <w:t>10,590</w:t>
            </w:r>
          </w:p>
        </w:tc>
        <w:tc>
          <w:tcPr>
            <w:tcW w:type="dxa" w:w="1440"/>
          </w:tcPr>
          <w:p>
            <w:pPr>
              <w:spacing w:after="40"/>
            </w:pPr>
            <w:r/>
            <w:r>
              <w:rPr>
                <w:sz w:val="19"/>
              </w:rPr>
              <w:t>11.1%</w:t>
            </w:r>
          </w:p>
        </w:tc>
      </w:tr>
      <w:tr>
        <w:tc>
          <w:tcPr>
            <w:tcW w:type="dxa" w:w="2304"/>
          </w:tcPr>
          <w:p>
            <w:pPr>
              <w:spacing w:after="40"/>
            </w:pPr>
            <w:r/>
            <w:r>
              <w:rPr>
                <w:sz w:val="19"/>
              </w:rPr>
              <w:t>Nigerseed</w:t>
            </w:r>
          </w:p>
        </w:tc>
        <w:tc>
          <w:tcPr>
            <w:tcW w:type="dxa" w:w="2016"/>
          </w:tcPr>
          <w:p>
            <w:pPr>
              <w:spacing w:after="40"/>
            </w:pPr>
            <w:r/>
            <w:r>
              <w:rPr>
                <w:sz w:val="19"/>
              </w:rPr>
              <w:t>KMS 2023-24</w:t>
            </w:r>
          </w:p>
        </w:tc>
        <w:tc>
          <w:tcPr>
            <w:tcW w:type="dxa" w:w="1728"/>
          </w:tcPr>
          <w:p>
            <w:pPr>
              <w:spacing w:after="40"/>
            </w:pPr>
            <w:r/>
            <w:r>
              <w:rPr>
                <w:sz w:val="19"/>
              </w:rPr>
              <w:t>8,509</w:t>
            </w:r>
          </w:p>
        </w:tc>
        <w:tc>
          <w:tcPr>
            <w:tcW w:type="dxa" w:w="1728"/>
          </w:tcPr>
          <w:p>
            <w:pPr>
              <w:spacing w:after="40"/>
            </w:pPr>
            <w:r/>
            <w:r>
              <w:rPr>
                <w:sz w:val="19"/>
              </w:rPr>
              <w:t>7,734</w:t>
            </w:r>
          </w:p>
        </w:tc>
        <w:tc>
          <w:tcPr>
            <w:tcW w:type="dxa" w:w="1440"/>
          </w:tcPr>
          <w:p>
            <w:pPr>
              <w:spacing w:after="40"/>
            </w:pPr>
            <w:r/>
            <w:r>
              <w:rPr>
                <w:sz w:val="19"/>
              </w:rPr>
              <w:t>10.0%</w:t>
            </w:r>
          </w:p>
        </w:tc>
      </w:tr>
      <w:tr>
        <w:tc>
          <w:tcPr>
            <w:tcW w:type="dxa" w:w="2304"/>
          </w:tcPr>
          <w:p>
            <w:pPr>
              <w:spacing w:after="40"/>
            </w:pPr>
            <w:r/>
            <w:r>
              <w:rPr>
                <w:sz w:val="19"/>
              </w:rPr>
              <w:t>Copra (Ball)</w:t>
            </w:r>
          </w:p>
        </w:tc>
        <w:tc>
          <w:tcPr>
            <w:tcW w:type="dxa" w:w="2016"/>
          </w:tcPr>
          <w:p>
            <w:pPr>
              <w:spacing w:after="40"/>
            </w:pPr>
            <w:r/>
            <w:r>
              <w:rPr>
                <w:sz w:val="19"/>
              </w:rPr>
              <w:t>Copra season 2022</w:t>
            </w:r>
          </w:p>
        </w:tc>
        <w:tc>
          <w:tcPr>
            <w:tcW w:type="dxa" w:w="1728"/>
          </w:tcPr>
          <w:p>
            <w:pPr>
              <w:spacing w:after="40"/>
            </w:pPr>
            <w:r/>
            <w:r>
              <w:rPr>
                <w:sz w:val="19"/>
              </w:rPr>
              <w:t>12,053</w:t>
            </w:r>
          </w:p>
        </w:tc>
        <w:tc>
          <w:tcPr>
            <w:tcW w:type="dxa" w:w="1728"/>
          </w:tcPr>
          <w:p>
            <w:pPr>
              <w:spacing w:after="40"/>
            </w:pPr>
            <w:r/>
            <w:r>
              <w:rPr>
                <w:sz w:val="19"/>
              </w:rPr>
              <w:t>11,000</w:t>
            </w:r>
          </w:p>
        </w:tc>
        <w:tc>
          <w:tcPr>
            <w:tcW w:type="dxa" w:w="1440"/>
          </w:tcPr>
          <w:p>
            <w:pPr>
              <w:spacing w:after="40"/>
            </w:pPr>
            <w:r/>
            <w:r>
              <w:rPr>
                <w:sz w:val="19"/>
              </w:rPr>
              <w:t>9.6%</w:t>
            </w:r>
          </w:p>
        </w:tc>
      </w:tr>
      <w:tr>
        <w:tc>
          <w:tcPr>
            <w:tcW w:type="dxa" w:w="2304"/>
          </w:tcPr>
          <w:p>
            <w:pPr>
              <w:spacing w:after="40"/>
            </w:pPr>
            <w:r/>
            <w:r>
              <w:rPr>
                <w:sz w:val="19"/>
              </w:rPr>
              <w:t>Bajra</w:t>
            </w:r>
          </w:p>
        </w:tc>
        <w:tc>
          <w:tcPr>
            <w:tcW w:type="dxa" w:w="2016"/>
          </w:tcPr>
          <w:p>
            <w:pPr>
              <w:spacing w:after="40"/>
            </w:pPr>
            <w:r/>
            <w:r>
              <w:rPr>
                <w:sz w:val="19"/>
              </w:rPr>
              <w:t>KMS 2023-24</w:t>
            </w:r>
          </w:p>
        </w:tc>
        <w:tc>
          <w:tcPr>
            <w:tcW w:type="dxa" w:w="1728"/>
          </w:tcPr>
          <w:p>
            <w:pPr>
              <w:spacing w:after="40"/>
            </w:pPr>
            <w:r/>
            <w:r>
              <w:rPr>
                <w:sz w:val="19"/>
              </w:rPr>
              <w:t>2,678</w:t>
            </w:r>
          </w:p>
        </w:tc>
        <w:tc>
          <w:tcPr>
            <w:tcW w:type="dxa" w:w="1728"/>
          </w:tcPr>
          <w:p>
            <w:pPr>
              <w:spacing w:after="40"/>
            </w:pPr>
            <w:r/>
            <w:r>
              <w:rPr>
                <w:sz w:val="19"/>
              </w:rPr>
              <w:t>2,500</w:t>
            </w:r>
          </w:p>
        </w:tc>
        <w:tc>
          <w:tcPr>
            <w:tcW w:type="dxa" w:w="1440"/>
          </w:tcPr>
          <w:p>
            <w:pPr>
              <w:spacing w:after="40"/>
            </w:pPr>
            <w:r/>
            <w:r>
              <w:rPr>
                <w:sz w:val="19"/>
              </w:rPr>
              <w:t>7.1%</w:t>
            </w:r>
          </w:p>
        </w:tc>
      </w:tr>
      <w:tr>
        <w:tc>
          <w:tcPr>
            <w:tcW w:type="dxa" w:w="2304"/>
          </w:tcPr>
          <w:p>
            <w:pPr>
              <w:spacing w:after="40"/>
            </w:pPr>
            <w:r/>
            <w:r>
              <w:rPr>
                <w:sz w:val="19"/>
              </w:rPr>
              <w:t>Gram</w:t>
            </w:r>
          </w:p>
        </w:tc>
        <w:tc>
          <w:tcPr>
            <w:tcW w:type="dxa" w:w="2016"/>
          </w:tcPr>
          <w:p>
            <w:pPr>
              <w:spacing w:after="40"/>
            </w:pPr>
            <w:r/>
            <w:r>
              <w:rPr>
                <w:sz w:val="19"/>
              </w:rPr>
              <w:t>RMS 2024-25</w:t>
            </w:r>
          </w:p>
        </w:tc>
        <w:tc>
          <w:tcPr>
            <w:tcW w:type="dxa" w:w="1728"/>
          </w:tcPr>
          <w:p>
            <w:pPr>
              <w:spacing w:after="40"/>
            </w:pPr>
            <w:r/>
            <w:r>
              <w:rPr>
                <w:sz w:val="19"/>
              </w:rPr>
              <w:t>5,827</w:t>
            </w:r>
          </w:p>
        </w:tc>
        <w:tc>
          <w:tcPr>
            <w:tcW w:type="dxa" w:w="1728"/>
          </w:tcPr>
          <w:p>
            <w:pPr>
              <w:spacing w:after="40"/>
            </w:pPr>
            <w:r/>
            <w:r>
              <w:rPr>
                <w:sz w:val="19"/>
              </w:rPr>
              <w:t>5,440</w:t>
            </w:r>
          </w:p>
        </w:tc>
        <w:tc>
          <w:tcPr>
            <w:tcW w:type="dxa" w:w="1440"/>
          </w:tcPr>
          <w:p>
            <w:pPr>
              <w:spacing w:after="40"/>
            </w:pPr>
            <w:r/>
            <w:r>
              <w:rPr>
                <w:sz w:val="19"/>
              </w:rPr>
              <w:t>7.1%</w:t>
            </w:r>
          </w:p>
        </w:tc>
      </w:tr>
      <w:tr>
        <w:tc>
          <w:tcPr>
            <w:tcW w:type="dxa" w:w="2304"/>
          </w:tcPr>
          <w:p>
            <w:pPr>
              <w:spacing w:after="40"/>
            </w:pPr>
            <w:r/>
            <w:r>
              <w:rPr>
                <w:sz w:val="19"/>
              </w:rPr>
              <w:t>Ragi</w:t>
            </w:r>
          </w:p>
        </w:tc>
        <w:tc>
          <w:tcPr>
            <w:tcW w:type="dxa" w:w="2016"/>
          </w:tcPr>
          <w:p>
            <w:pPr>
              <w:spacing w:after="40"/>
            </w:pPr>
            <w:r/>
            <w:r>
              <w:rPr>
                <w:sz w:val="19"/>
              </w:rPr>
              <w:t>KMS 2023-24</w:t>
            </w:r>
          </w:p>
        </w:tc>
        <w:tc>
          <w:tcPr>
            <w:tcW w:type="dxa" w:w="1728"/>
          </w:tcPr>
          <w:p>
            <w:pPr>
              <w:spacing w:after="40"/>
            </w:pPr>
            <w:r/>
            <w:r>
              <w:rPr>
                <w:sz w:val="19"/>
              </w:rPr>
              <w:t>4,107</w:t>
            </w:r>
          </w:p>
        </w:tc>
        <w:tc>
          <w:tcPr>
            <w:tcW w:type="dxa" w:w="1728"/>
          </w:tcPr>
          <w:p>
            <w:pPr>
              <w:spacing w:after="40"/>
            </w:pPr>
            <w:r/>
            <w:r>
              <w:rPr>
                <w:sz w:val="19"/>
              </w:rPr>
              <w:t>3,846</w:t>
            </w:r>
          </w:p>
        </w:tc>
        <w:tc>
          <w:tcPr>
            <w:tcW w:type="dxa" w:w="1440"/>
          </w:tcPr>
          <w:p>
            <w:pPr>
              <w:spacing w:after="40"/>
            </w:pPr>
            <w:r/>
            <w:r>
              <w:rPr>
                <w:sz w:val="19"/>
              </w:rPr>
              <w:t>6.8%</w:t>
            </w:r>
          </w:p>
        </w:tc>
      </w:tr>
    </w:tbl>
    <w:p>
      <w:pPr>
        <w:spacing w:after="80"/>
      </w:pPr>
    </w:p>
    <w:p>
      <w:pPr>
        <w:spacing w:after="160"/>
      </w:pPr>
      <w:r>
        <w:rPr>
          <w:b w:val="0"/>
          <w:i w:val="0"/>
          <w:color w:val="0B0B0B"/>
          <w:sz w:val="22"/>
        </w:rPr>
        <w:t>The largest misses share a cause: commodities whose MSP was deliberately re-based by policy rather than allowed to drift upward. Copra and Nigerseed saw outsized revisions tied to the ‘1.5× cost of production’ commitment and to import-substitution pressure in edible oils. No price-only model can anticipate a Cabinet decision. This is a limit of the data, not of the fitting.</w:t>
      </w:r>
    </w:p>
    <w:p>
      <w:pPr>
        <w:pStyle w:val="Heading2"/>
        <w:keepNext/>
      </w:pPr>
      <w:r>
        <w:t>6.10 Challenges faced and what I learned</w:t>
      </w:r>
    </w:p>
    <w:p>
      <w:pPr>
        <w:pStyle w:val="ListBullet"/>
        <w:spacing w:after="80"/>
      </w:pPr>
      <w:r>
        <w:rPr>
          <w:b/>
          <w:sz w:val="22"/>
        </w:rPr>
        <w:t xml:space="preserve">Five points per series. </w:t>
      </w:r>
      <w:r>
        <w:rPr>
          <w:sz w:val="22"/>
        </w:rPr>
        <w:t>This is the binding constraint and no method escapes it. It drove the decision to build a rolling-origin backtest instead of a train/test split — with five observations, a single split wastes too much of the data to be informative.</w:t>
      </w:r>
    </w:p>
    <w:p>
      <w:pPr>
        <w:pStyle w:val="ListBullet"/>
        <w:spacing w:after="80"/>
      </w:pPr>
      <w:r>
        <w:rPr>
          <w:b/>
          <w:sz w:val="22"/>
        </w:rPr>
        <w:t xml:space="preserve">Discovering the label offset. </w:t>
      </w:r>
      <w:r>
        <w:rPr>
          <w:sz w:val="22"/>
        </w:rPr>
        <w:t>Early Rabi results were consistently wrong by about ₹100. Tracing that to the crop-year versus marketing-season distinction, rather than assuming it was model error, produced more accuracy than any modelling change. The lesson is that domain semantics deserve as much scrutiny as hyperparameters.</w:t>
      </w:r>
    </w:p>
    <w:p>
      <w:pPr>
        <w:pStyle w:val="ListBullet"/>
        <w:spacing w:after="80"/>
      </w:pPr>
      <w:r>
        <w:rPr>
          <w:b/>
          <w:sz w:val="22"/>
        </w:rPr>
        <w:t xml:space="preserve">Resisting a flattering result. </w:t>
      </w:r>
      <w:r>
        <w:rPr>
          <w:sz w:val="22"/>
        </w:rPr>
        <w:t>The backtest handed a clean story: ARIMA wins by a wide margin. Building the hold-out test risked destroying that story, and it did. The project is stronger for it, and the experience of watching a confident conclusion fail an honest test was the most valuable part of the work.</w:t>
      </w:r>
    </w:p>
    <w:p>
      <w:pPr>
        <w:pStyle w:val="ListBullet"/>
        <w:spacing w:after="80"/>
      </w:pPr>
      <w:r>
        <w:rPr>
          <w:b/>
          <w:sz w:val="22"/>
        </w:rPr>
        <w:t xml:space="preserve">Sourcing verifiable ground truth. </w:t>
      </w:r>
      <w:r>
        <w:rPr>
          <w:sz w:val="22"/>
        </w:rPr>
        <w:t>Hold-out actuals were collected only where the announcement could be independently confirmed and cited. Three series were left out rather than filled in with plausible numbers — a smaller, trustworthy test set is worth more than a complete, partly-invented one.</w:t>
      </w:r>
    </w:p>
    <w:p>
      <w:r>
        <w:br w:type="page"/>
      </w:r>
    </w:p>
    <w:p>
      <w:pPr>
        <w:pStyle w:val="Heading1"/>
        <w:keepNext/>
      </w:pPr>
      <w:r>
        <w:t>7. Conclusion</w:t>
      </w:r>
    </w:p>
    <w:p>
      <w:pPr>
        <w:spacing w:after="160"/>
      </w:pPr>
      <w:r>
        <w:rPr>
          <w:b w:val="0"/>
          <w:sz w:val="22"/>
        </w:rPr>
        <w:t xml:space="preserve">This project built a reproducible forecasting pipeline for Indian Minimum Support Prices covering 28 commodity-variety series, compared ten models under one identical rolling-origin protocol, and — unusually for a five-point time series — validated the result against </w:t>
      </w:r>
      <w:r>
        <w:rPr>
          <w:b/>
          <w:sz w:val="22"/>
        </w:rPr>
        <w:t>42 MSP values the Government of India actually announced afterwards</w:t>
      </w:r>
      <w:r>
        <w:rPr>
          <w:b w:val="0"/>
          <w:sz w:val="22"/>
        </w:rPr>
        <w:t>.</w:t>
      </w:r>
    </w:p>
    <w:p>
      <w:pPr>
        <w:spacing w:after="120"/>
      </w:pPr>
      <w:r>
        <w:rPr>
          <w:b w:val="0"/>
          <w:i w:val="0"/>
          <w:color w:val="0B0B0B"/>
          <w:sz w:val="22"/>
        </w:rPr>
        <w:t>Five findings stand out:</w:t>
      </w:r>
    </w:p>
    <w:p>
      <w:pPr>
        <w:pStyle w:val="ListBullet"/>
        <w:spacing w:after="80"/>
      </w:pPr>
      <w:r>
        <w:rPr>
          <w:b/>
          <w:sz w:val="22"/>
        </w:rPr>
        <w:t xml:space="preserve">Trend-following models win. </w:t>
      </w:r>
      <w:r>
        <w:rPr>
          <w:sz w:val="22"/>
        </w:rPr>
        <w:t>RidgePoly2 forecasts real announced MSP to 2.77% mean error, with 79% of forecasts inside a ±5% band and MASE 0.39 — roughly 61% better than assuming no change.</w:t>
      </w:r>
    </w:p>
    <w:p>
      <w:pPr>
        <w:pStyle w:val="ListBullet"/>
        <w:spacing w:after="80"/>
      </w:pPr>
      <w:r>
        <w:rPr>
          <w:b/>
          <w:sz w:val="22"/>
        </w:rPr>
        <w:t xml:space="preserve">Backtest rank is not hold-out rank. </w:t>
      </w:r>
      <w:r>
        <w:rPr>
          <w:sz w:val="22"/>
        </w:rPr>
        <w:t>ARIMA(1,1,0) topped the internal backtest and slipped to mid-table against reality. On five points, the backtest is itself a small sample, and treating it as the final word would have selected the wrong model.</w:t>
      </w:r>
    </w:p>
    <w:p>
      <w:pPr>
        <w:pStyle w:val="ListBullet"/>
        <w:spacing w:after="80"/>
      </w:pPr>
      <w:r>
        <w:rPr>
          <w:b/>
          <w:sz w:val="22"/>
        </w:rPr>
        <w:t xml:space="preserve">Tree ensembles cannot extrapolate. </w:t>
      </w:r>
      <w:r>
        <w:rPr>
          <w:sz w:val="22"/>
        </w:rPr>
        <w:t>Random Forest and Gradient Boosting match or lose to the naive baseline and under-forecast by ₹430-500 per quintal. Algorithm popularity is not a reason to use one.</w:t>
      </w:r>
    </w:p>
    <w:p>
      <w:pPr>
        <w:pStyle w:val="ListBullet"/>
        <w:spacing w:after="80"/>
      </w:pPr>
      <w:r>
        <w:rPr>
          <w:b/>
          <w:sz w:val="22"/>
        </w:rPr>
        <w:t xml:space="preserve">Per-crop model selection did not pay. </w:t>
      </w:r>
      <w:r>
        <w:rPr>
          <w:sz w:val="22"/>
        </w:rPr>
        <w:t>One robust model applied uniformly beat picking each series’ backtest winner.</w:t>
      </w:r>
    </w:p>
    <w:p>
      <w:pPr>
        <w:pStyle w:val="ListBullet"/>
        <w:spacing w:after="80"/>
      </w:pPr>
      <w:r>
        <w:rPr>
          <w:b/>
          <w:sz w:val="22"/>
        </w:rPr>
        <w:t xml:space="preserve">Domain semantics mattered most. </w:t>
      </w:r>
      <w:r>
        <w:rPr>
          <w:sz w:val="22"/>
        </w:rPr>
        <w:t>Correcting the Rabi crop-year to marketing-season offset improved accuracy more than any change of model.</w:t>
      </w:r>
    </w:p>
    <w:p>
      <w:pPr>
        <w:pStyle w:val="Heading2"/>
        <w:keepNext/>
      </w:pPr>
      <w:r>
        <w:t>Practical implications</w:t>
      </w:r>
    </w:p>
    <w:p>
      <w:pPr>
        <w:spacing w:after="160"/>
      </w:pPr>
      <w:r>
        <w:rPr>
          <w:b w:val="0"/>
          <w:i w:val="0"/>
          <w:color w:val="0B0B0B"/>
          <w:sz w:val="22"/>
        </w:rPr>
        <w:t>For a farmer, a pre-sowing estimate accurate to within roughly 3% is decision-grade: it supports a real comparison between two candidate crops months before the official announcement. For a state procurement agency, forecasts across all 28 series translate directly into budget provisioning. For a policy analyst, the residuals are the interesting part — the crops where the announced MSP departs sharply from its own trend are precisely the crops where policy actively intervened, which makes this pipeline a way of detecting policy shifts rather than merely predicting prices.</w:t>
      </w:r>
    </w:p>
    <w:p>
      <w:pPr>
        <w:pStyle w:val="Heading2"/>
        <w:keepNext/>
      </w:pPr>
      <w:r>
        <w:t>Limitations and future work</w:t>
      </w:r>
    </w:p>
    <w:p>
      <w:pPr>
        <w:spacing w:after="160"/>
      </w:pPr>
      <w:r>
        <w:rPr>
          <w:b w:val="0"/>
          <w:i w:val="0"/>
          <w:color w:val="0B0B0B"/>
          <w:sz w:val="22"/>
        </w:rPr>
        <w:t>Five observations per series is the binding constraint. The dataset carries no input-cost inflation, no global commodity prices and no procurement volumes, all of which feed the CACP’s actual recommendation. MSP is set by a committee, so a price-only model can track policy momentum but never anticipate policy decisions. The natural extensions are a longer history (MSP series run back to the 1960s), CACP cost-of-production data as an exogenous regressor, and prediction intervals rather than point forecasts — a farmer is better served by ‘₹2,180 to ₹2,260’ than by a single number carrying false precision.</w:t>
      </w:r>
    </w:p>
    <w:p>
      <w:r>
        <w:br w:type="page"/>
      </w:r>
    </w:p>
    <w:p>
      <w:pPr>
        <w:pStyle w:val="Heading1"/>
        <w:keepNext/>
      </w:pPr>
      <w:r>
        <w:t>8. References</w:t>
      </w:r>
    </w:p>
    <w:p>
      <w:pPr>
        <w:spacing w:after="120"/>
        <w:ind w:left="504" w:hanging="504"/>
      </w:pPr>
      <w:r>
        <w:rPr>
          <w:sz w:val="20"/>
        </w:rPr>
        <w:t>[1]  Ministry of Agriculture &amp; Farmers Welfare, Government of India. Minimum Support Prices for Agricultural Crops. Rajya Sabha Session 255, Unstarred Question AU-1460. data.gov.in, Open Government Data Licence – India.</w:t>
      </w:r>
    </w:p>
    <w:p>
      <w:pPr>
        <w:spacing w:after="120"/>
        <w:ind w:left="504" w:hanging="504"/>
      </w:pPr>
      <w:r>
        <w:rPr>
          <w:sz w:val="20"/>
        </w:rPr>
        <w:t>[2]  Press Information Bureau, Government of India. Cabinet approves Minimum Support Prices for Kharif Crops, Marketing Season 2022-23 and 2023-24 (PRID 1930443).</w:t>
      </w:r>
    </w:p>
    <w:p>
      <w:pPr>
        <w:spacing w:after="120"/>
        <w:ind w:left="504" w:hanging="504"/>
      </w:pPr>
      <w:r>
        <w:rPr>
          <w:sz w:val="20"/>
        </w:rPr>
        <w:t>[3]  Press Information Bureau, Government of India. Cabinet approves Minimum Support Prices for Rabi Crops, Marketing Seasons 2023-24 (PRID 1868760) and 2024-25 (PRID 1968729).</w:t>
      </w:r>
    </w:p>
    <w:p>
      <w:pPr>
        <w:spacing w:after="120"/>
        <w:ind w:left="504" w:hanging="504"/>
      </w:pPr>
      <w:r>
        <w:rPr>
          <w:sz w:val="20"/>
        </w:rPr>
        <w:t>[4]  Commission for Agricultural Costs and Prices (CACP). Price Policy Reports for Kharif and Rabi Crops, 2017-18 to 2023-24. Ministry of Agriculture, New Delhi.</w:t>
      </w:r>
    </w:p>
    <w:p>
      <w:pPr>
        <w:spacing w:after="120"/>
        <w:ind w:left="504" w:hanging="504"/>
      </w:pPr>
      <w:r>
        <w:rPr>
          <w:sz w:val="20"/>
        </w:rPr>
        <w:t>[5]  Hyndman, R. J. &amp; Koehler, A. B. (2006). Another look at measures of forecast accuracy. International Journal of Forecasting, 22(4), 679-688.</w:t>
      </w:r>
    </w:p>
    <w:p>
      <w:pPr>
        <w:spacing w:after="120"/>
        <w:ind w:left="504" w:hanging="504"/>
      </w:pPr>
      <w:r>
        <w:rPr>
          <w:sz w:val="20"/>
        </w:rPr>
        <w:t>[6]  Hyndman, R. J. &amp; Athanasopoulos, G. (2021). Forecasting: Principles and Practice, 3rd edition. OTexts, Melbourne.</w:t>
      </w:r>
    </w:p>
    <w:p>
      <w:pPr>
        <w:spacing w:after="120"/>
        <w:ind w:left="504" w:hanging="504"/>
      </w:pPr>
      <w:r>
        <w:rPr>
          <w:sz w:val="20"/>
        </w:rPr>
        <w:t>[7]  Box, G. E. P., Jenkins, G. M., Reinsel, G. C. &amp; Ljung, G. M. (2015). Time Series Analysis: Forecasting and Control, 5th edition. Wiley.</w:t>
      </w:r>
    </w:p>
    <w:p>
      <w:pPr>
        <w:spacing w:after="120"/>
        <w:ind w:left="504" w:hanging="504"/>
      </w:pPr>
      <w:r>
        <w:rPr>
          <w:sz w:val="20"/>
        </w:rPr>
        <w:t>[8]  Pedregosa, F. et al. (2011). Scikit-learn: Machine Learning in Python. Journal of Machine Learning Research, 12, 2825-2830.</w:t>
      </w:r>
    </w:p>
    <w:p>
      <w:pPr>
        <w:spacing w:after="120"/>
        <w:ind w:left="504" w:hanging="504"/>
      </w:pPr>
      <w:r>
        <w:rPr>
          <w:sz w:val="20"/>
        </w:rPr>
        <w:t>[9]  Breiman, L. (2001). Random Forests. Machine Learning, 45(1), 5-32.</w:t>
      </w:r>
    </w:p>
    <w:p>
      <w:pPr>
        <w:spacing w:after="120"/>
        <w:ind w:left="504" w:hanging="504"/>
      </w:pPr>
      <w:r>
        <w:rPr>
          <w:sz w:val="20"/>
        </w:rPr>
        <w:t>[10]  Seabold, S. &amp; Perktold, J. (2010). statsmodels: Econometric and statistical modeling with Python. Proceedings of the 9th Python in Science Conference.</w:t>
      </w:r>
    </w:p>
    <w:p>
      <w:r>
        <w:br w:type="page"/>
      </w:r>
    </w:p>
    <w:p>
      <w:pPr>
        <w:pStyle w:val="Heading1"/>
        <w:keepNext/>
      </w:pPr>
      <w:r>
        <w:t>Appendix</w:t>
      </w:r>
    </w:p>
    <w:p>
      <w:pPr>
        <w:pStyle w:val="Heading2"/>
        <w:keepNext/>
      </w:pPr>
      <w:r>
        <w:t>A. Forecasts for all 28 series</w:t>
      </w:r>
    </w:p>
    <w:p>
      <w:pPr>
        <w:spacing w:after="120"/>
      </w:pPr>
      <w:r>
        <w:rPr>
          <w:b w:val="0"/>
          <w:i w:val="0"/>
          <w:color w:val="0B0B0B"/>
          <w:sz w:val="22"/>
        </w:rPr>
        <w:t>Produced by each series’ backtest-selected model, in ₹ per quintal.</w:t>
      </w:r>
    </w:p>
    <w:tbl>
      <w:tblPr>
        <w:tblStyle w:val="TableGrid"/>
        <w:tblW w:type="auto" w:w="0"/>
        <w:jc w:val="center"/>
        <w:tblLook w:firstColumn="1" w:firstRow="1" w:lastColumn="0" w:lastRow="0" w:noHBand="0" w:noVBand="1" w:val="04A0"/>
      </w:tblPr>
      <w:tblGrid>
        <w:gridCol w:w="1806"/>
        <w:gridCol w:w="1806"/>
        <w:gridCol w:w="1806"/>
        <w:gridCol w:w="1806"/>
        <w:gridCol w:w="1806"/>
      </w:tblGrid>
      <w:tr>
        <w:tc>
          <w:tcPr>
            <w:tcW w:type="dxa" w:w="3024"/>
            <w:shd w:val="clear" w:fill="DCE7F7"/>
          </w:tcPr>
          <w:p>
            <w:pPr>
              <w:spacing w:after="40"/>
            </w:pPr>
            <w:r/>
            <w:r>
              <w:rPr>
                <w:b/>
                <w:sz w:val="17"/>
              </w:rPr>
              <w:t>Commodity (variety)</w:t>
            </w:r>
          </w:p>
        </w:tc>
        <w:tc>
          <w:tcPr>
            <w:tcW w:type="dxa" w:w="1728"/>
            <w:shd w:val="clear" w:fill="DCE7F7"/>
          </w:tcPr>
          <w:p>
            <w:pPr>
              <w:spacing w:after="40"/>
            </w:pPr>
            <w:r/>
            <w:r>
              <w:rPr>
                <w:b/>
                <w:sz w:val="17"/>
              </w:rPr>
              <w:t>Model</w:t>
            </w:r>
          </w:p>
        </w:tc>
        <w:tc>
          <w:tcPr>
            <w:tcW w:type="dxa" w:w="1512"/>
            <w:shd w:val="clear" w:fill="DCE7F7"/>
          </w:tcPr>
          <w:p>
            <w:pPr>
              <w:spacing w:after="40"/>
            </w:pPr>
            <w:r/>
            <w:r>
              <w:rPr>
                <w:b/>
                <w:sz w:val="17"/>
              </w:rPr>
              <w:t>2022-23</w:t>
            </w:r>
          </w:p>
        </w:tc>
        <w:tc>
          <w:tcPr>
            <w:tcW w:type="dxa" w:w="1512"/>
            <w:shd w:val="clear" w:fill="DCE7F7"/>
          </w:tcPr>
          <w:p>
            <w:pPr>
              <w:spacing w:after="40"/>
            </w:pPr>
            <w:r/>
            <w:r>
              <w:rPr>
                <w:b/>
                <w:sz w:val="17"/>
              </w:rPr>
              <w:t>2023-24</w:t>
            </w:r>
          </w:p>
        </w:tc>
        <w:tc>
          <w:tcPr>
            <w:tcW w:type="dxa" w:w="1440"/>
            <w:shd w:val="clear" w:fill="DCE7F7"/>
          </w:tcPr>
          <w:p>
            <w:pPr>
              <w:spacing w:after="40"/>
            </w:pPr>
            <w:r/>
            <w:r>
              <w:rPr>
                <w:b/>
                <w:sz w:val="17"/>
              </w:rPr>
              <w:t>2024-25</w:t>
            </w:r>
          </w:p>
        </w:tc>
      </w:tr>
      <w:tr>
        <w:tc>
          <w:tcPr>
            <w:tcW w:type="dxa" w:w="3024"/>
          </w:tcPr>
          <w:p>
            <w:pPr>
              <w:spacing w:after="40"/>
            </w:pPr>
            <w:r/>
            <w:r>
              <w:rPr>
                <w:sz w:val="17"/>
              </w:rPr>
              <w:t>Arhar(Tur)</w:t>
            </w:r>
          </w:p>
        </w:tc>
        <w:tc>
          <w:tcPr>
            <w:tcW w:type="dxa" w:w="1728"/>
          </w:tcPr>
          <w:p>
            <w:pPr>
              <w:spacing w:after="40"/>
            </w:pPr>
            <w:r/>
            <w:r>
              <w:rPr>
                <w:sz w:val="17"/>
              </w:rPr>
              <w:t>RidgePoly2</w:t>
            </w:r>
          </w:p>
        </w:tc>
        <w:tc>
          <w:tcPr>
            <w:tcW w:type="dxa" w:w="1512"/>
          </w:tcPr>
          <w:p>
            <w:pPr>
              <w:spacing w:after="40"/>
            </w:pPr>
            <w:r/>
            <w:r>
              <w:rPr>
                <w:sz w:val="17"/>
              </w:rPr>
              <w:t>6,539</w:t>
            </w:r>
          </w:p>
        </w:tc>
        <w:tc>
          <w:tcPr>
            <w:tcW w:type="dxa" w:w="1512"/>
          </w:tcPr>
          <w:p>
            <w:pPr>
              <w:spacing w:after="40"/>
            </w:pPr>
            <w:r/>
            <w:r>
              <w:rPr>
                <w:sz w:val="17"/>
              </w:rPr>
              <w:t>6,868</w:t>
            </w:r>
          </w:p>
        </w:tc>
        <w:tc>
          <w:tcPr>
            <w:tcW w:type="dxa" w:w="1440"/>
          </w:tcPr>
          <w:p>
            <w:pPr>
              <w:spacing w:after="40"/>
            </w:pPr>
            <w:r/>
            <w:r>
              <w:rPr>
                <w:sz w:val="17"/>
              </w:rPr>
              <w:t>7,238</w:t>
            </w:r>
          </w:p>
        </w:tc>
      </w:tr>
      <w:tr>
        <w:tc>
          <w:tcPr>
            <w:tcW w:type="dxa" w:w="3024"/>
          </w:tcPr>
          <w:p>
            <w:pPr>
              <w:spacing w:after="40"/>
            </w:pPr>
            <w:r/>
            <w:r>
              <w:rPr>
                <w:sz w:val="17"/>
              </w:rPr>
              <w:t>Bajra</w:t>
            </w:r>
          </w:p>
        </w:tc>
        <w:tc>
          <w:tcPr>
            <w:tcW w:type="dxa" w:w="1728"/>
          </w:tcPr>
          <w:p>
            <w:pPr>
              <w:spacing w:after="40"/>
            </w:pPr>
            <w:r/>
            <w:r>
              <w:rPr>
                <w:sz w:val="17"/>
              </w:rPr>
              <w:t>ARIMA(1,1,0)</w:t>
            </w:r>
          </w:p>
        </w:tc>
        <w:tc>
          <w:tcPr>
            <w:tcW w:type="dxa" w:w="1512"/>
          </w:tcPr>
          <w:p>
            <w:pPr>
              <w:spacing w:after="40"/>
            </w:pPr>
            <w:r/>
            <w:r>
              <w:rPr>
                <w:sz w:val="17"/>
              </w:rPr>
              <w:t>2,312</w:t>
            </w:r>
          </w:p>
        </w:tc>
        <w:tc>
          <w:tcPr>
            <w:tcW w:type="dxa" w:w="1512"/>
          </w:tcPr>
          <w:p>
            <w:pPr>
              <w:spacing w:after="40"/>
            </w:pPr>
            <w:r/>
            <w:r>
              <w:rPr>
                <w:sz w:val="17"/>
              </w:rPr>
              <w:t>2,349</w:t>
            </w:r>
          </w:p>
        </w:tc>
        <w:tc>
          <w:tcPr>
            <w:tcW w:type="dxa" w:w="1440"/>
          </w:tcPr>
          <w:p>
            <w:pPr>
              <w:spacing w:after="40"/>
            </w:pPr>
            <w:r/>
            <w:r>
              <w:rPr>
                <w:sz w:val="17"/>
              </w:rPr>
              <w:t>2,372</w:t>
            </w:r>
          </w:p>
        </w:tc>
      </w:tr>
      <w:tr>
        <w:tc>
          <w:tcPr>
            <w:tcW w:type="dxa" w:w="3024"/>
          </w:tcPr>
          <w:p>
            <w:pPr>
              <w:spacing w:after="40"/>
            </w:pPr>
            <w:r/>
            <w:r>
              <w:rPr>
                <w:sz w:val="17"/>
              </w:rPr>
              <w:t>Barley</w:t>
            </w:r>
          </w:p>
        </w:tc>
        <w:tc>
          <w:tcPr>
            <w:tcW w:type="dxa" w:w="1728"/>
          </w:tcPr>
          <w:p>
            <w:pPr>
              <w:spacing w:after="40"/>
            </w:pPr>
            <w:r/>
            <w:r>
              <w:rPr>
                <w:sz w:val="17"/>
              </w:rPr>
              <w:t>Drift</w:t>
            </w:r>
          </w:p>
        </w:tc>
        <w:tc>
          <w:tcPr>
            <w:tcW w:type="dxa" w:w="1512"/>
          </w:tcPr>
          <w:p>
            <w:pPr>
              <w:spacing w:after="40"/>
            </w:pPr>
            <w:r/>
            <w:r>
              <w:rPr>
                <w:sz w:val="17"/>
              </w:rPr>
              <w:t>1,691</w:t>
            </w:r>
          </w:p>
        </w:tc>
        <w:tc>
          <w:tcPr>
            <w:tcW w:type="dxa" w:w="1512"/>
          </w:tcPr>
          <w:p>
            <w:pPr>
              <w:spacing w:after="40"/>
            </w:pPr>
            <w:r/>
            <w:r>
              <w:rPr>
                <w:sz w:val="17"/>
              </w:rPr>
              <w:t>1,748</w:t>
            </w:r>
          </w:p>
        </w:tc>
        <w:tc>
          <w:tcPr>
            <w:tcW w:type="dxa" w:w="1440"/>
          </w:tcPr>
          <w:p>
            <w:pPr>
              <w:spacing w:after="40"/>
            </w:pPr>
            <w:r/>
            <w:r>
              <w:rPr>
                <w:sz w:val="17"/>
              </w:rPr>
              <w:t>1,804</w:t>
            </w:r>
          </w:p>
        </w:tc>
      </w:tr>
      <w:tr>
        <w:tc>
          <w:tcPr>
            <w:tcW w:type="dxa" w:w="3024"/>
          </w:tcPr>
          <w:p>
            <w:pPr>
              <w:spacing w:after="40"/>
            </w:pPr>
            <w:r/>
            <w:r>
              <w:rPr>
                <w:sz w:val="17"/>
              </w:rPr>
              <w:t>Copra (Ball)</w:t>
            </w:r>
          </w:p>
        </w:tc>
        <w:tc>
          <w:tcPr>
            <w:tcW w:type="dxa" w:w="1728"/>
          </w:tcPr>
          <w:p>
            <w:pPr>
              <w:spacing w:after="40"/>
            </w:pPr>
            <w:r/>
            <w:r>
              <w:rPr>
                <w:sz w:val="17"/>
              </w:rPr>
              <w:t>ARIMA(1,1,0)</w:t>
            </w:r>
          </w:p>
        </w:tc>
        <w:tc>
          <w:tcPr>
            <w:tcW w:type="dxa" w:w="1512"/>
          </w:tcPr>
          <w:p>
            <w:pPr>
              <w:spacing w:after="40"/>
            </w:pPr>
            <w:r/>
            <w:r>
              <w:rPr>
                <w:sz w:val="17"/>
              </w:rPr>
              <w:t>10,697</w:t>
            </w:r>
          </w:p>
        </w:tc>
        <w:tc>
          <w:tcPr>
            <w:tcW w:type="dxa" w:w="1512"/>
          </w:tcPr>
          <w:p>
            <w:pPr>
              <w:spacing w:after="40"/>
            </w:pPr>
            <w:r/>
            <w:r>
              <w:rPr>
                <w:sz w:val="17"/>
              </w:rPr>
              <w:t>10,728</w:t>
            </w:r>
          </w:p>
        </w:tc>
        <w:tc>
          <w:tcPr>
            <w:tcW w:type="dxa" w:w="1440"/>
          </w:tcPr>
          <w:p>
            <w:pPr>
              <w:spacing w:after="40"/>
            </w:pPr>
            <w:r/>
            <w:r>
              <w:rPr>
                <w:sz w:val="17"/>
              </w:rPr>
              <w:t>10,738</w:t>
            </w:r>
          </w:p>
        </w:tc>
      </w:tr>
      <w:tr>
        <w:tc>
          <w:tcPr>
            <w:tcW w:type="dxa" w:w="3024"/>
          </w:tcPr>
          <w:p>
            <w:pPr>
              <w:spacing w:after="40"/>
            </w:pPr>
            <w:r/>
            <w:r>
              <w:rPr>
                <w:sz w:val="17"/>
              </w:rPr>
              <w:t>Copra (Milling)</w:t>
            </w:r>
          </w:p>
        </w:tc>
        <w:tc>
          <w:tcPr>
            <w:tcW w:type="dxa" w:w="1728"/>
          </w:tcPr>
          <w:p>
            <w:pPr>
              <w:spacing w:after="40"/>
            </w:pPr>
            <w:r/>
            <w:r>
              <w:rPr>
                <w:sz w:val="17"/>
              </w:rPr>
              <w:t>ARIMA(1,1,0)</w:t>
            </w:r>
          </w:p>
        </w:tc>
        <w:tc>
          <w:tcPr>
            <w:tcW w:type="dxa" w:w="1512"/>
          </w:tcPr>
          <w:p>
            <w:pPr>
              <w:spacing w:after="40"/>
            </w:pPr>
            <w:r/>
            <w:r>
              <w:rPr>
                <w:sz w:val="17"/>
              </w:rPr>
              <w:t>10,496</w:t>
            </w:r>
          </w:p>
        </w:tc>
        <w:tc>
          <w:tcPr>
            <w:tcW w:type="dxa" w:w="1512"/>
          </w:tcPr>
          <w:p>
            <w:pPr>
              <w:spacing w:after="40"/>
            </w:pPr>
            <w:r/>
            <w:r>
              <w:rPr>
                <w:sz w:val="17"/>
              </w:rPr>
              <w:t>10,565</w:t>
            </w:r>
          </w:p>
        </w:tc>
        <w:tc>
          <w:tcPr>
            <w:tcW w:type="dxa" w:w="1440"/>
          </w:tcPr>
          <w:p>
            <w:pPr>
              <w:spacing w:after="40"/>
            </w:pPr>
            <w:r/>
            <w:r>
              <w:rPr>
                <w:sz w:val="17"/>
              </w:rPr>
              <w:t>10,595</w:t>
            </w:r>
          </w:p>
        </w:tc>
      </w:tr>
      <w:tr>
        <w:tc>
          <w:tcPr>
            <w:tcW w:type="dxa" w:w="3024"/>
          </w:tcPr>
          <w:p>
            <w:pPr>
              <w:spacing w:after="40"/>
            </w:pPr>
            <w:r/>
            <w:r>
              <w:rPr>
                <w:sz w:val="17"/>
              </w:rPr>
              <w:t>Cotton (Long Staple)</w:t>
            </w:r>
          </w:p>
        </w:tc>
        <w:tc>
          <w:tcPr>
            <w:tcW w:type="dxa" w:w="1728"/>
          </w:tcPr>
          <w:p>
            <w:pPr>
              <w:spacing w:after="40"/>
            </w:pPr>
            <w:r/>
            <w:r>
              <w:rPr>
                <w:sz w:val="17"/>
              </w:rPr>
              <w:t>ARIMA(1,1,0)</w:t>
            </w:r>
          </w:p>
        </w:tc>
        <w:tc>
          <w:tcPr>
            <w:tcW w:type="dxa" w:w="1512"/>
          </w:tcPr>
          <w:p>
            <w:pPr>
              <w:spacing w:after="40"/>
            </w:pPr>
            <w:r/>
            <w:r>
              <w:rPr>
                <w:sz w:val="17"/>
              </w:rPr>
              <w:t>6,145</w:t>
            </w:r>
          </w:p>
        </w:tc>
        <w:tc>
          <w:tcPr>
            <w:tcW w:type="dxa" w:w="1512"/>
          </w:tcPr>
          <w:p>
            <w:pPr>
              <w:spacing w:after="40"/>
            </w:pPr>
            <w:r/>
            <w:r>
              <w:rPr>
                <w:sz w:val="17"/>
              </w:rPr>
              <w:t>6,218</w:t>
            </w:r>
          </w:p>
        </w:tc>
        <w:tc>
          <w:tcPr>
            <w:tcW w:type="dxa" w:w="1440"/>
          </w:tcPr>
          <w:p>
            <w:pPr>
              <w:spacing w:after="40"/>
            </w:pPr>
            <w:r/>
            <w:r>
              <w:rPr>
                <w:sz w:val="17"/>
              </w:rPr>
              <w:t>6,262</w:t>
            </w:r>
          </w:p>
        </w:tc>
      </w:tr>
      <w:tr>
        <w:tc>
          <w:tcPr>
            <w:tcW w:type="dxa" w:w="3024"/>
          </w:tcPr>
          <w:p>
            <w:pPr>
              <w:spacing w:after="40"/>
            </w:pPr>
            <w:r/>
            <w:r>
              <w:rPr>
                <w:sz w:val="17"/>
              </w:rPr>
              <w:t>Cotton (Medium Staple)</w:t>
            </w:r>
          </w:p>
        </w:tc>
        <w:tc>
          <w:tcPr>
            <w:tcW w:type="dxa" w:w="1728"/>
          </w:tcPr>
          <w:p>
            <w:pPr>
              <w:spacing w:after="40"/>
            </w:pPr>
            <w:r/>
            <w:r>
              <w:rPr>
                <w:sz w:val="17"/>
              </w:rPr>
              <w:t>ARIMA(1,1,0)</w:t>
            </w:r>
          </w:p>
        </w:tc>
        <w:tc>
          <w:tcPr>
            <w:tcW w:type="dxa" w:w="1512"/>
          </w:tcPr>
          <w:p>
            <w:pPr>
              <w:spacing w:after="40"/>
            </w:pPr>
            <w:r/>
            <w:r>
              <w:rPr>
                <w:sz w:val="17"/>
              </w:rPr>
              <w:t>5,855</w:t>
            </w:r>
          </w:p>
        </w:tc>
        <w:tc>
          <w:tcPr>
            <w:tcW w:type="dxa" w:w="1512"/>
          </w:tcPr>
          <w:p>
            <w:pPr>
              <w:spacing w:after="40"/>
            </w:pPr>
            <w:r/>
            <w:r>
              <w:rPr>
                <w:sz w:val="17"/>
              </w:rPr>
              <w:t>5,935</w:t>
            </w:r>
          </w:p>
        </w:tc>
        <w:tc>
          <w:tcPr>
            <w:tcW w:type="dxa" w:w="1440"/>
          </w:tcPr>
          <w:p>
            <w:pPr>
              <w:spacing w:after="40"/>
            </w:pPr>
            <w:r/>
            <w:r>
              <w:rPr>
                <w:sz w:val="17"/>
              </w:rPr>
              <w:t>5,983</w:t>
            </w:r>
          </w:p>
        </w:tc>
      </w:tr>
      <w:tr>
        <w:tc>
          <w:tcPr>
            <w:tcW w:type="dxa" w:w="3024"/>
          </w:tcPr>
          <w:p>
            <w:pPr>
              <w:spacing w:after="40"/>
            </w:pPr>
            <w:r/>
            <w:r>
              <w:rPr>
                <w:sz w:val="17"/>
              </w:rPr>
              <w:t>De-Husked Coconut</w:t>
            </w:r>
          </w:p>
        </w:tc>
        <w:tc>
          <w:tcPr>
            <w:tcW w:type="dxa" w:w="1728"/>
          </w:tcPr>
          <w:p>
            <w:pPr>
              <w:spacing w:after="40"/>
            </w:pPr>
            <w:r/>
            <w:r>
              <w:rPr>
                <w:sz w:val="17"/>
              </w:rPr>
              <w:t>Naive</w:t>
            </w:r>
          </w:p>
        </w:tc>
        <w:tc>
          <w:tcPr>
            <w:tcW w:type="dxa" w:w="1512"/>
          </w:tcPr>
          <w:p>
            <w:pPr>
              <w:spacing w:after="40"/>
            </w:pPr>
            <w:r/>
            <w:r>
              <w:rPr>
                <w:sz w:val="17"/>
              </w:rPr>
              <w:t>2,800</w:t>
            </w:r>
          </w:p>
        </w:tc>
        <w:tc>
          <w:tcPr>
            <w:tcW w:type="dxa" w:w="1512"/>
          </w:tcPr>
          <w:p>
            <w:pPr>
              <w:spacing w:after="40"/>
            </w:pPr>
            <w:r/>
            <w:r>
              <w:rPr>
                <w:sz w:val="17"/>
              </w:rPr>
              <w:t>2,800</w:t>
            </w:r>
          </w:p>
        </w:tc>
        <w:tc>
          <w:tcPr>
            <w:tcW w:type="dxa" w:w="1440"/>
          </w:tcPr>
          <w:p>
            <w:pPr>
              <w:spacing w:after="40"/>
            </w:pPr>
            <w:r/>
            <w:r>
              <w:rPr>
                <w:sz w:val="17"/>
              </w:rPr>
              <w:t>2,800</w:t>
            </w:r>
          </w:p>
        </w:tc>
      </w:tr>
      <w:tr>
        <w:tc>
          <w:tcPr>
            <w:tcW w:type="dxa" w:w="3024"/>
          </w:tcPr>
          <w:p>
            <w:pPr>
              <w:spacing w:after="40"/>
            </w:pPr>
            <w:r/>
            <w:r>
              <w:rPr>
                <w:sz w:val="17"/>
              </w:rPr>
              <w:t>Gram</w:t>
            </w:r>
          </w:p>
        </w:tc>
        <w:tc>
          <w:tcPr>
            <w:tcW w:type="dxa" w:w="1728"/>
          </w:tcPr>
          <w:p>
            <w:pPr>
              <w:spacing w:after="40"/>
            </w:pPr>
            <w:r/>
            <w:r>
              <w:rPr>
                <w:sz w:val="17"/>
              </w:rPr>
              <w:t>Linear</w:t>
            </w:r>
          </w:p>
        </w:tc>
        <w:tc>
          <w:tcPr>
            <w:tcW w:type="dxa" w:w="1512"/>
          </w:tcPr>
          <w:p>
            <w:pPr>
              <w:spacing w:after="40"/>
            </w:pPr>
            <w:r/>
            <w:r>
              <w:rPr>
                <w:sz w:val="17"/>
              </w:rPr>
              <w:t>5,487</w:t>
            </w:r>
          </w:p>
        </w:tc>
        <w:tc>
          <w:tcPr>
            <w:tcW w:type="dxa" w:w="1512"/>
          </w:tcPr>
          <w:p>
            <w:pPr>
              <w:spacing w:after="40"/>
            </w:pPr>
            <w:r/>
            <w:r>
              <w:rPr>
                <w:sz w:val="17"/>
              </w:rPr>
              <w:t>5,701</w:t>
            </w:r>
          </w:p>
        </w:tc>
        <w:tc>
          <w:tcPr>
            <w:tcW w:type="dxa" w:w="1440"/>
          </w:tcPr>
          <w:p>
            <w:pPr>
              <w:spacing w:after="40"/>
            </w:pPr>
            <w:r/>
            <w:r>
              <w:rPr>
                <w:sz w:val="17"/>
              </w:rPr>
              <w:t>5,915</w:t>
            </w:r>
          </w:p>
        </w:tc>
      </w:tr>
      <w:tr>
        <w:tc>
          <w:tcPr>
            <w:tcW w:type="dxa" w:w="3024"/>
          </w:tcPr>
          <w:p>
            <w:pPr>
              <w:spacing w:after="40"/>
            </w:pPr>
            <w:r/>
            <w:r>
              <w:rPr>
                <w:sz w:val="17"/>
              </w:rPr>
              <w:t>Groundnut</w:t>
            </w:r>
          </w:p>
        </w:tc>
        <w:tc>
          <w:tcPr>
            <w:tcW w:type="dxa" w:w="1728"/>
          </w:tcPr>
          <w:p>
            <w:pPr>
              <w:spacing w:after="40"/>
            </w:pPr>
            <w:r/>
            <w:r>
              <w:rPr>
                <w:sz w:val="17"/>
              </w:rPr>
              <w:t>Drift</w:t>
            </w:r>
          </w:p>
        </w:tc>
        <w:tc>
          <w:tcPr>
            <w:tcW w:type="dxa" w:w="1512"/>
          </w:tcPr>
          <w:p>
            <w:pPr>
              <w:spacing w:after="40"/>
            </w:pPr>
            <w:r/>
            <w:r>
              <w:rPr>
                <w:sz w:val="17"/>
              </w:rPr>
              <w:t>5,825</w:t>
            </w:r>
          </w:p>
        </w:tc>
        <w:tc>
          <w:tcPr>
            <w:tcW w:type="dxa" w:w="1512"/>
          </w:tcPr>
          <w:p>
            <w:pPr>
              <w:spacing w:after="40"/>
            </w:pPr>
            <w:r/>
            <w:r>
              <w:rPr>
                <w:sz w:val="17"/>
              </w:rPr>
              <w:t>6,100</w:t>
            </w:r>
          </w:p>
        </w:tc>
        <w:tc>
          <w:tcPr>
            <w:tcW w:type="dxa" w:w="1440"/>
          </w:tcPr>
          <w:p>
            <w:pPr>
              <w:spacing w:after="40"/>
            </w:pPr>
            <w:r/>
            <w:r>
              <w:rPr>
                <w:sz w:val="17"/>
              </w:rPr>
              <w:t>6,375</w:t>
            </w:r>
          </w:p>
        </w:tc>
      </w:tr>
      <w:tr>
        <w:tc>
          <w:tcPr>
            <w:tcW w:type="dxa" w:w="3024"/>
          </w:tcPr>
          <w:p>
            <w:pPr>
              <w:spacing w:after="40"/>
            </w:pPr>
            <w:r/>
            <w:r>
              <w:rPr>
                <w:sz w:val="17"/>
              </w:rPr>
              <w:t>Jowar (Hybrid)</w:t>
            </w:r>
          </w:p>
        </w:tc>
        <w:tc>
          <w:tcPr>
            <w:tcW w:type="dxa" w:w="1728"/>
          </w:tcPr>
          <w:p>
            <w:pPr>
              <w:spacing w:after="40"/>
            </w:pPr>
            <w:r/>
            <w:r>
              <w:rPr>
                <w:sz w:val="17"/>
              </w:rPr>
              <w:t>ARIMA(1,1,0)</w:t>
            </w:r>
          </w:p>
        </w:tc>
        <w:tc>
          <w:tcPr>
            <w:tcW w:type="dxa" w:w="1512"/>
          </w:tcPr>
          <w:p>
            <w:pPr>
              <w:spacing w:after="40"/>
            </w:pPr>
            <w:r/>
            <w:r>
              <w:rPr>
                <w:sz w:val="17"/>
              </w:rPr>
              <w:t>2,820</w:t>
            </w:r>
          </w:p>
        </w:tc>
        <w:tc>
          <w:tcPr>
            <w:tcW w:type="dxa" w:w="1512"/>
          </w:tcPr>
          <w:p>
            <w:pPr>
              <w:spacing w:after="40"/>
            </w:pPr>
            <w:r/>
            <w:r>
              <w:rPr>
                <w:sz w:val="17"/>
              </w:rPr>
              <w:t>2,878</w:t>
            </w:r>
          </w:p>
        </w:tc>
        <w:tc>
          <w:tcPr>
            <w:tcW w:type="dxa" w:w="1440"/>
          </w:tcPr>
          <w:p>
            <w:pPr>
              <w:spacing w:after="40"/>
            </w:pPr>
            <w:r/>
            <w:r>
              <w:rPr>
                <w:sz w:val="17"/>
              </w:rPr>
              <w:t>2,918</w:t>
            </w:r>
          </w:p>
        </w:tc>
      </w:tr>
      <w:tr>
        <w:tc>
          <w:tcPr>
            <w:tcW w:type="dxa" w:w="3024"/>
          </w:tcPr>
          <w:p>
            <w:pPr>
              <w:spacing w:after="40"/>
            </w:pPr>
            <w:r/>
            <w:r>
              <w:rPr>
                <w:sz w:val="17"/>
              </w:rPr>
              <w:t>Jowar (Maldandi)</w:t>
            </w:r>
          </w:p>
        </w:tc>
        <w:tc>
          <w:tcPr>
            <w:tcW w:type="dxa" w:w="1728"/>
          </w:tcPr>
          <w:p>
            <w:pPr>
              <w:spacing w:after="40"/>
            </w:pPr>
            <w:r/>
            <w:r>
              <w:rPr>
                <w:sz w:val="17"/>
              </w:rPr>
              <w:t>ARIMA(1,1,0)</w:t>
            </w:r>
          </w:p>
        </w:tc>
        <w:tc>
          <w:tcPr>
            <w:tcW w:type="dxa" w:w="1512"/>
          </w:tcPr>
          <w:p>
            <w:pPr>
              <w:spacing w:after="40"/>
            </w:pPr>
            <w:r/>
            <w:r>
              <w:rPr>
                <w:sz w:val="17"/>
              </w:rPr>
              <w:t>2,840</w:t>
            </w:r>
          </w:p>
        </w:tc>
        <w:tc>
          <w:tcPr>
            <w:tcW w:type="dxa" w:w="1512"/>
          </w:tcPr>
          <w:p>
            <w:pPr>
              <w:spacing w:after="40"/>
            </w:pPr>
            <w:r/>
            <w:r>
              <w:rPr>
                <w:sz w:val="17"/>
              </w:rPr>
              <w:t>2,898</w:t>
            </w:r>
          </w:p>
        </w:tc>
        <w:tc>
          <w:tcPr>
            <w:tcW w:type="dxa" w:w="1440"/>
          </w:tcPr>
          <w:p>
            <w:pPr>
              <w:spacing w:after="40"/>
            </w:pPr>
            <w:r/>
            <w:r>
              <w:rPr>
                <w:sz w:val="17"/>
              </w:rPr>
              <w:t>2,938</w:t>
            </w:r>
          </w:p>
        </w:tc>
      </w:tr>
      <w:tr>
        <w:tc>
          <w:tcPr>
            <w:tcW w:type="dxa" w:w="3024"/>
          </w:tcPr>
          <w:p>
            <w:pPr>
              <w:spacing w:after="40"/>
            </w:pPr>
            <w:r/>
            <w:r>
              <w:rPr>
                <w:sz w:val="17"/>
              </w:rPr>
              <w:t>Jute</w:t>
            </w:r>
          </w:p>
        </w:tc>
        <w:tc>
          <w:tcPr>
            <w:tcW w:type="dxa" w:w="1728"/>
          </w:tcPr>
          <w:p>
            <w:pPr>
              <w:spacing w:after="40"/>
            </w:pPr>
            <w:r/>
            <w:r>
              <w:rPr>
                <w:sz w:val="17"/>
              </w:rPr>
              <w:t>CAGR</w:t>
            </w:r>
          </w:p>
        </w:tc>
        <w:tc>
          <w:tcPr>
            <w:tcW w:type="dxa" w:w="1512"/>
          </w:tcPr>
          <w:p>
            <w:pPr>
              <w:spacing w:after="40"/>
            </w:pPr>
            <w:r/>
            <w:r>
              <w:rPr>
                <w:sz w:val="17"/>
              </w:rPr>
              <w:t>4,790</w:t>
            </w:r>
          </w:p>
        </w:tc>
        <w:tc>
          <w:tcPr>
            <w:tcW w:type="dxa" w:w="1512"/>
          </w:tcPr>
          <w:p>
            <w:pPr>
              <w:spacing w:after="40"/>
            </w:pPr>
            <w:r/>
            <w:r>
              <w:rPr>
                <w:sz w:val="17"/>
              </w:rPr>
              <w:t>5,104</w:t>
            </w:r>
          </w:p>
        </w:tc>
        <w:tc>
          <w:tcPr>
            <w:tcW w:type="dxa" w:w="1440"/>
          </w:tcPr>
          <w:p>
            <w:pPr>
              <w:spacing w:after="40"/>
            </w:pPr>
            <w:r/>
            <w:r>
              <w:rPr>
                <w:sz w:val="17"/>
              </w:rPr>
              <w:t>5,439</w:t>
            </w:r>
          </w:p>
        </w:tc>
      </w:tr>
      <w:tr>
        <w:tc>
          <w:tcPr>
            <w:tcW w:type="dxa" w:w="3024"/>
          </w:tcPr>
          <w:p>
            <w:pPr>
              <w:spacing w:after="40"/>
            </w:pPr>
            <w:r/>
            <w:r>
              <w:rPr>
                <w:sz w:val="17"/>
              </w:rPr>
              <w:t>Maize</w:t>
            </w:r>
          </w:p>
        </w:tc>
        <w:tc>
          <w:tcPr>
            <w:tcW w:type="dxa" w:w="1728"/>
          </w:tcPr>
          <w:p>
            <w:pPr>
              <w:spacing w:after="40"/>
            </w:pPr>
            <w:r/>
            <w:r>
              <w:rPr>
                <w:sz w:val="17"/>
              </w:rPr>
              <w:t>ARIMA(1,1,0)</w:t>
            </w:r>
          </w:p>
        </w:tc>
        <w:tc>
          <w:tcPr>
            <w:tcW w:type="dxa" w:w="1512"/>
          </w:tcPr>
          <w:p>
            <w:pPr>
              <w:spacing w:after="40"/>
            </w:pPr>
            <w:r/>
            <w:r>
              <w:rPr>
                <w:sz w:val="17"/>
              </w:rPr>
              <w:t>1,884</w:t>
            </w:r>
          </w:p>
        </w:tc>
        <w:tc>
          <w:tcPr>
            <w:tcW w:type="dxa" w:w="1512"/>
          </w:tcPr>
          <w:p>
            <w:pPr>
              <w:spacing w:after="40"/>
            </w:pPr>
            <w:r/>
            <w:r>
              <w:rPr>
                <w:sz w:val="17"/>
              </w:rPr>
              <w:t>1,894</w:t>
            </w:r>
          </w:p>
        </w:tc>
        <w:tc>
          <w:tcPr>
            <w:tcW w:type="dxa" w:w="1440"/>
          </w:tcPr>
          <w:p>
            <w:pPr>
              <w:spacing w:after="40"/>
            </w:pPr>
            <w:r/>
            <w:r>
              <w:rPr>
                <w:sz w:val="17"/>
              </w:rPr>
              <w:t>1,900</w:t>
            </w:r>
          </w:p>
        </w:tc>
      </w:tr>
      <w:tr>
        <w:tc>
          <w:tcPr>
            <w:tcW w:type="dxa" w:w="3024"/>
          </w:tcPr>
          <w:p>
            <w:pPr>
              <w:spacing w:after="40"/>
            </w:pPr>
            <w:r/>
            <w:r>
              <w:rPr>
                <w:sz w:val="17"/>
              </w:rPr>
              <w:t>Masur (Lentil)</w:t>
            </w:r>
          </w:p>
        </w:tc>
        <w:tc>
          <w:tcPr>
            <w:tcW w:type="dxa" w:w="1728"/>
          </w:tcPr>
          <w:p>
            <w:pPr>
              <w:spacing w:after="40"/>
            </w:pPr>
            <w:r/>
            <w:r>
              <w:rPr>
                <w:sz w:val="17"/>
              </w:rPr>
              <w:t>CAGR</w:t>
            </w:r>
          </w:p>
        </w:tc>
        <w:tc>
          <w:tcPr>
            <w:tcW w:type="dxa" w:w="1512"/>
          </w:tcPr>
          <w:p>
            <w:pPr>
              <w:spacing w:after="40"/>
            </w:pPr>
            <w:r/>
            <w:r>
              <w:rPr>
                <w:sz w:val="17"/>
              </w:rPr>
              <w:t>5,833</w:t>
            </w:r>
          </w:p>
        </w:tc>
        <w:tc>
          <w:tcPr>
            <w:tcW w:type="dxa" w:w="1512"/>
          </w:tcPr>
          <w:p>
            <w:pPr>
              <w:spacing w:after="40"/>
            </w:pPr>
            <w:r/>
            <w:r>
              <w:rPr>
                <w:sz w:val="17"/>
              </w:rPr>
              <w:t>6,222</w:t>
            </w:r>
          </w:p>
        </w:tc>
        <w:tc>
          <w:tcPr>
            <w:tcW w:type="dxa" w:w="1440"/>
          </w:tcPr>
          <w:p>
            <w:pPr>
              <w:spacing w:after="40"/>
            </w:pPr>
            <w:r/>
            <w:r>
              <w:rPr>
                <w:sz w:val="17"/>
              </w:rPr>
              <w:t>6,638</w:t>
            </w:r>
          </w:p>
        </w:tc>
      </w:tr>
      <w:tr>
        <w:tc>
          <w:tcPr>
            <w:tcW w:type="dxa" w:w="3024"/>
          </w:tcPr>
          <w:p>
            <w:pPr>
              <w:spacing w:after="40"/>
            </w:pPr>
            <w:r/>
            <w:r>
              <w:rPr>
                <w:sz w:val="17"/>
              </w:rPr>
              <w:t>Moong</w:t>
            </w:r>
          </w:p>
        </w:tc>
        <w:tc>
          <w:tcPr>
            <w:tcW w:type="dxa" w:w="1728"/>
          </w:tcPr>
          <w:p>
            <w:pPr>
              <w:spacing w:after="40"/>
            </w:pPr>
            <w:r/>
            <w:r>
              <w:rPr>
                <w:sz w:val="17"/>
              </w:rPr>
              <w:t>ARIMA(1,1,0)</w:t>
            </w:r>
          </w:p>
        </w:tc>
        <w:tc>
          <w:tcPr>
            <w:tcW w:type="dxa" w:w="1512"/>
          </w:tcPr>
          <w:p>
            <w:pPr>
              <w:spacing w:after="40"/>
            </w:pPr>
            <w:r/>
            <w:r>
              <w:rPr>
                <w:sz w:val="17"/>
              </w:rPr>
              <w:t>7,318</w:t>
            </w:r>
          </w:p>
        </w:tc>
        <w:tc>
          <w:tcPr>
            <w:tcW w:type="dxa" w:w="1512"/>
          </w:tcPr>
          <w:p>
            <w:pPr>
              <w:spacing w:after="40"/>
            </w:pPr>
            <w:r/>
            <w:r>
              <w:rPr>
                <w:sz w:val="17"/>
              </w:rPr>
              <w:t>7,342</w:t>
            </w:r>
          </w:p>
        </w:tc>
        <w:tc>
          <w:tcPr>
            <w:tcW w:type="dxa" w:w="1440"/>
          </w:tcPr>
          <w:p>
            <w:pPr>
              <w:spacing w:after="40"/>
            </w:pPr>
            <w:r/>
            <w:r>
              <w:rPr>
                <w:sz w:val="17"/>
              </w:rPr>
              <w:t>7,355</w:t>
            </w:r>
          </w:p>
        </w:tc>
      </w:tr>
      <w:tr>
        <w:tc>
          <w:tcPr>
            <w:tcW w:type="dxa" w:w="3024"/>
          </w:tcPr>
          <w:p>
            <w:pPr>
              <w:spacing w:after="40"/>
            </w:pPr>
            <w:r/>
            <w:r>
              <w:rPr>
                <w:sz w:val="17"/>
              </w:rPr>
              <w:t>Nigerseed</w:t>
            </w:r>
          </w:p>
        </w:tc>
        <w:tc>
          <w:tcPr>
            <w:tcW w:type="dxa" w:w="1728"/>
          </w:tcPr>
          <w:p>
            <w:pPr>
              <w:spacing w:after="40"/>
            </w:pPr>
            <w:r/>
            <w:r>
              <w:rPr>
                <w:sz w:val="17"/>
              </w:rPr>
              <w:t>Drift</w:t>
            </w:r>
          </w:p>
        </w:tc>
        <w:tc>
          <w:tcPr>
            <w:tcW w:type="dxa" w:w="1512"/>
          </w:tcPr>
          <w:p>
            <w:pPr>
              <w:spacing w:after="40"/>
            </w:pPr>
            <w:r/>
            <w:r>
              <w:rPr>
                <w:sz w:val="17"/>
              </w:rPr>
              <w:t>7,650</w:t>
            </w:r>
          </w:p>
        </w:tc>
        <w:tc>
          <w:tcPr>
            <w:tcW w:type="dxa" w:w="1512"/>
          </w:tcPr>
          <w:p>
            <w:pPr>
              <w:spacing w:after="40"/>
            </w:pPr>
            <w:r/>
            <w:r>
              <w:rPr>
                <w:sz w:val="17"/>
              </w:rPr>
              <w:t>8,370</w:t>
            </w:r>
          </w:p>
        </w:tc>
        <w:tc>
          <w:tcPr>
            <w:tcW w:type="dxa" w:w="1440"/>
          </w:tcPr>
          <w:p>
            <w:pPr>
              <w:spacing w:after="40"/>
            </w:pPr>
            <w:r/>
            <w:r>
              <w:rPr>
                <w:sz w:val="17"/>
              </w:rPr>
              <w:t>9,090</w:t>
            </w:r>
          </w:p>
        </w:tc>
      </w:tr>
      <w:tr>
        <w:tc>
          <w:tcPr>
            <w:tcW w:type="dxa" w:w="3024"/>
          </w:tcPr>
          <w:p>
            <w:pPr>
              <w:spacing w:after="40"/>
            </w:pPr>
            <w:r/>
            <w:r>
              <w:rPr>
                <w:sz w:val="17"/>
              </w:rPr>
              <w:t>Paddy (Common)</w:t>
            </w:r>
          </w:p>
        </w:tc>
        <w:tc>
          <w:tcPr>
            <w:tcW w:type="dxa" w:w="1728"/>
          </w:tcPr>
          <w:p>
            <w:pPr>
              <w:spacing w:after="40"/>
            </w:pPr>
            <w:r/>
            <w:r>
              <w:rPr>
                <w:sz w:val="17"/>
              </w:rPr>
              <w:t>ARIMA(1,1,0)</w:t>
            </w:r>
          </w:p>
        </w:tc>
        <w:tc>
          <w:tcPr>
            <w:tcW w:type="dxa" w:w="1512"/>
          </w:tcPr>
          <w:p>
            <w:pPr>
              <w:spacing w:after="40"/>
            </w:pPr>
            <w:r/>
            <w:r>
              <w:rPr>
                <w:sz w:val="17"/>
              </w:rPr>
              <w:t>2,000</w:t>
            </w:r>
          </w:p>
        </w:tc>
        <w:tc>
          <w:tcPr>
            <w:tcW w:type="dxa" w:w="1512"/>
          </w:tcPr>
          <w:p>
            <w:pPr>
              <w:spacing w:after="40"/>
            </w:pPr>
            <w:r/>
            <w:r>
              <w:rPr>
                <w:sz w:val="17"/>
              </w:rPr>
              <w:t>2,050</w:t>
            </w:r>
          </w:p>
        </w:tc>
        <w:tc>
          <w:tcPr>
            <w:tcW w:type="dxa" w:w="1440"/>
          </w:tcPr>
          <w:p>
            <w:pPr>
              <w:spacing w:after="40"/>
            </w:pPr>
            <w:r/>
            <w:r>
              <w:rPr>
                <w:sz w:val="17"/>
              </w:rPr>
              <w:t>2,091</w:t>
            </w:r>
          </w:p>
        </w:tc>
      </w:tr>
      <w:tr>
        <w:tc>
          <w:tcPr>
            <w:tcW w:type="dxa" w:w="3024"/>
          </w:tcPr>
          <w:p>
            <w:pPr>
              <w:spacing w:after="40"/>
            </w:pPr>
            <w:r/>
            <w:r>
              <w:rPr>
                <w:sz w:val="17"/>
              </w:rPr>
              <w:t>Paddy (Grade 'A')</w:t>
            </w:r>
          </w:p>
        </w:tc>
        <w:tc>
          <w:tcPr>
            <w:tcW w:type="dxa" w:w="1728"/>
          </w:tcPr>
          <w:p>
            <w:pPr>
              <w:spacing w:after="40"/>
            </w:pPr>
            <w:r/>
            <w:r>
              <w:rPr>
                <w:sz w:val="17"/>
              </w:rPr>
              <w:t>ARIMA(1,1,0)</w:t>
            </w:r>
          </w:p>
        </w:tc>
        <w:tc>
          <w:tcPr>
            <w:tcW w:type="dxa" w:w="1512"/>
          </w:tcPr>
          <w:p>
            <w:pPr>
              <w:spacing w:after="40"/>
            </w:pPr>
            <w:r/>
            <w:r>
              <w:rPr>
                <w:sz w:val="17"/>
              </w:rPr>
              <w:t>2,022</w:t>
            </w:r>
          </w:p>
        </w:tc>
        <w:tc>
          <w:tcPr>
            <w:tcW w:type="dxa" w:w="1512"/>
          </w:tcPr>
          <w:p>
            <w:pPr>
              <w:spacing w:after="40"/>
            </w:pPr>
            <w:r/>
            <w:r>
              <w:rPr>
                <w:sz w:val="17"/>
              </w:rPr>
              <w:t>2,074</w:t>
            </w:r>
          </w:p>
        </w:tc>
        <w:tc>
          <w:tcPr>
            <w:tcW w:type="dxa" w:w="1440"/>
          </w:tcPr>
          <w:p>
            <w:pPr>
              <w:spacing w:after="40"/>
            </w:pPr>
            <w:r/>
            <w:r>
              <w:rPr>
                <w:sz w:val="17"/>
              </w:rPr>
              <w:t>2,119</w:t>
            </w:r>
          </w:p>
        </w:tc>
      </w:tr>
      <w:tr>
        <w:tc>
          <w:tcPr>
            <w:tcW w:type="dxa" w:w="3024"/>
          </w:tcPr>
          <w:p>
            <w:pPr>
              <w:spacing w:after="40"/>
            </w:pPr>
            <w:r/>
            <w:r>
              <w:rPr>
                <w:sz w:val="17"/>
              </w:rPr>
              <w:t>Ragi</w:t>
            </w:r>
          </w:p>
        </w:tc>
        <w:tc>
          <w:tcPr>
            <w:tcW w:type="dxa" w:w="1728"/>
          </w:tcPr>
          <w:p>
            <w:pPr>
              <w:spacing w:after="40"/>
            </w:pPr>
            <w:r/>
            <w:r>
              <w:rPr>
                <w:sz w:val="17"/>
              </w:rPr>
              <w:t>ARIMA(1,1,0)</w:t>
            </w:r>
          </w:p>
        </w:tc>
        <w:tc>
          <w:tcPr>
            <w:tcW w:type="dxa" w:w="1512"/>
          </w:tcPr>
          <w:p>
            <w:pPr>
              <w:spacing w:after="40"/>
            </w:pPr>
            <w:r/>
            <w:r>
              <w:rPr>
                <w:sz w:val="17"/>
              </w:rPr>
              <w:t>3,459</w:t>
            </w:r>
          </w:p>
        </w:tc>
        <w:tc>
          <w:tcPr>
            <w:tcW w:type="dxa" w:w="1512"/>
          </w:tcPr>
          <w:p>
            <w:pPr>
              <w:spacing w:after="40"/>
            </w:pPr>
            <w:r/>
            <w:r>
              <w:rPr>
                <w:sz w:val="17"/>
              </w:rPr>
              <w:t>3,541</w:t>
            </w:r>
          </w:p>
        </w:tc>
        <w:tc>
          <w:tcPr>
            <w:tcW w:type="dxa" w:w="1440"/>
          </w:tcPr>
          <w:p>
            <w:pPr>
              <w:spacing w:after="40"/>
            </w:pPr>
            <w:r/>
            <w:r>
              <w:rPr>
                <w:sz w:val="17"/>
              </w:rPr>
              <w:t>3,623</w:t>
            </w:r>
          </w:p>
        </w:tc>
      </w:tr>
      <w:tr>
        <w:tc>
          <w:tcPr>
            <w:tcW w:type="dxa" w:w="3024"/>
          </w:tcPr>
          <w:p>
            <w:pPr>
              <w:spacing w:after="40"/>
            </w:pPr>
            <w:r/>
            <w:r>
              <w:rPr>
                <w:sz w:val="17"/>
              </w:rPr>
              <w:t>Rapeseed/Mustard</w:t>
            </w:r>
          </w:p>
        </w:tc>
        <w:tc>
          <w:tcPr>
            <w:tcW w:type="dxa" w:w="1728"/>
          </w:tcPr>
          <w:p>
            <w:pPr>
              <w:spacing w:after="40"/>
            </w:pPr>
            <w:r/>
            <w:r>
              <w:rPr>
                <w:sz w:val="17"/>
              </w:rPr>
              <w:t>RidgePoly2</w:t>
            </w:r>
          </w:p>
        </w:tc>
        <w:tc>
          <w:tcPr>
            <w:tcW w:type="dxa" w:w="1512"/>
          </w:tcPr>
          <w:p>
            <w:pPr>
              <w:spacing w:after="40"/>
            </w:pPr>
            <w:r/>
            <w:r>
              <w:rPr>
                <w:sz w:val="17"/>
              </w:rPr>
              <w:t>5,353</w:t>
            </w:r>
          </w:p>
        </w:tc>
        <w:tc>
          <w:tcPr>
            <w:tcW w:type="dxa" w:w="1512"/>
          </w:tcPr>
          <w:p>
            <w:pPr>
              <w:spacing w:after="40"/>
            </w:pPr>
            <w:r/>
            <w:r>
              <w:rPr>
                <w:sz w:val="17"/>
              </w:rPr>
              <w:t>5,779</w:t>
            </w:r>
          </w:p>
        </w:tc>
        <w:tc>
          <w:tcPr>
            <w:tcW w:type="dxa" w:w="1440"/>
          </w:tcPr>
          <w:p>
            <w:pPr>
              <w:spacing w:after="40"/>
            </w:pPr>
            <w:r/>
            <w:r>
              <w:rPr>
                <w:sz w:val="17"/>
              </w:rPr>
              <w:t>6,260</w:t>
            </w:r>
          </w:p>
        </w:tc>
      </w:tr>
      <w:tr>
        <w:tc>
          <w:tcPr>
            <w:tcW w:type="dxa" w:w="3024"/>
          </w:tcPr>
          <w:p>
            <w:pPr>
              <w:spacing w:after="40"/>
            </w:pPr>
            <w:r/>
            <w:r>
              <w:rPr>
                <w:sz w:val="17"/>
              </w:rPr>
              <w:t>Safflower</w:t>
            </w:r>
          </w:p>
        </w:tc>
        <w:tc>
          <w:tcPr>
            <w:tcW w:type="dxa" w:w="1728"/>
          </w:tcPr>
          <w:p>
            <w:pPr>
              <w:spacing w:after="40"/>
            </w:pPr>
            <w:r/>
            <w:r>
              <w:rPr>
                <w:sz w:val="17"/>
              </w:rPr>
              <w:t>ARIMA(1,1,0)</w:t>
            </w:r>
          </w:p>
        </w:tc>
        <w:tc>
          <w:tcPr>
            <w:tcW w:type="dxa" w:w="1512"/>
          </w:tcPr>
          <w:p>
            <w:pPr>
              <w:spacing w:after="40"/>
            </w:pPr>
            <w:r/>
            <w:r>
              <w:rPr>
                <w:sz w:val="17"/>
              </w:rPr>
              <w:t>5,526</w:t>
            </w:r>
          </w:p>
        </w:tc>
        <w:tc>
          <w:tcPr>
            <w:tcW w:type="dxa" w:w="1512"/>
          </w:tcPr>
          <w:p>
            <w:pPr>
              <w:spacing w:after="40"/>
            </w:pPr>
            <w:r/>
            <w:r>
              <w:rPr>
                <w:sz w:val="17"/>
              </w:rPr>
              <w:t>5,588</w:t>
            </w:r>
          </w:p>
        </w:tc>
        <w:tc>
          <w:tcPr>
            <w:tcW w:type="dxa" w:w="1440"/>
          </w:tcPr>
          <w:p>
            <w:pPr>
              <w:spacing w:after="40"/>
            </w:pPr>
            <w:r/>
            <w:r>
              <w:rPr>
                <w:sz w:val="17"/>
              </w:rPr>
              <w:t>5,635</w:t>
            </w:r>
          </w:p>
        </w:tc>
      </w:tr>
      <w:tr>
        <w:tc>
          <w:tcPr>
            <w:tcW w:type="dxa" w:w="3024"/>
          </w:tcPr>
          <w:p>
            <w:pPr>
              <w:spacing w:after="40"/>
            </w:pPr>
            <w:r/>
            <w:r>
              <w:rPr>
                <w:sz w:val="17"/>
              </w:rPr>
              <w:t>Sesamum</w:t>
            </w:r>
          </w:p>
        </w:tc>
        <w:tc>
          <w:tcPr>
            <w:tcW w:type="dxa" w:w="1728"/>
          </w:tcPr>
          <w:p>
            <w:pPr>
              <w:spacing w:after="40"/>
            </w:pPr>
            <w:r/>
            <w:r>
              <w:rPr>
                <w:sz w:val="17"/>
              </w:rPr>
              <w:t>Drift</w:t>
            </w:r>
          </w:p>
        </w:tc>
        <w:tc>
          <w:tcPr>
            <w:tcW w:type="dxa" w:w="1512"/>
          </w:tcPr>
          <w:p>
            <w:pPr>
              <w:spacing w:after="40"/>
            </w:pPr>
            <w:r/>
            <w:r>
              <w:rPr>
                <w:sz w:val="17"/>
              </w:rPr>
              <w:t>7,809</w:t>
            </w:r>
          </w:p>
        </w:tc>
        <w:tc>
          <w:tcPr>
            <w:tcW w:type="dxa" w:w="1512"/>
          </w:tcPr>
          <w:p>
            <w:pPr>
              <w:spacing w:after="40"/>
            </w:pPr>
            <w:r/>
            <w:r>
              <w:rPr>
                <w:sz w:val="17"/>
              </w:rPr>
              <w:t>8,310</w:t>
            </w:r>
          </w:p>
        </w:tc>
        <w:tc>
          <w:tcPr>
            <w:tcW w:type="dxa" w:w="1440"/>
          </w:tcPr>
          <w:p>
            <w:pPr>
              <w:spacing w:after="40"/>
            </w:pPr>
            <w:r/>
            <w:r>
              <w:rPr>
                <w:sz w:val="17"/>
              </w:rPr>
              <w:t>8,812</w:t>
            </w:r>
          </w:p>
        </w:tc>
      </w:tr>
      <w:tr>
        <w:tc>
          <w:tcPr>
            <w:tcW w:type="dxa" w:w="3024"/>
          </w:tcPr>
          <w:p>
            <w:pPr>
              <w:spacing w:after="40"/>
            </w:pPr>
            <w:r/>
            <w:r>
              <w:rPr>
                <w:sz w:val="17"/>
              </w:rPr>
              <w:t>Soyabean (Yellow)</w:t>
            </w:r>
          </w:p>
        </w:tc>
        <w:tc>
          <w:tcPr>
            <w:tcW w:type="dxa" w:w="1728"/>
          </w:tcPr>
          <w:p>
            <w:pPr>
              <w:spacing w:after="40"/>
            </w:pPr>
            <w:r/>
            <w:r>
              <w:rPr>
                <w:sz w:val="17"/>
              </w:rPr>
              <w:t>Naive</w:t>
            </w:r>
          </w:p>
        </w:tc>
        <w:tc>
          <w:tcPr>
            <w:tcW w:type="dxa" w:w="1512"/>
          </w:tcPr>
          <w:p>
            <w:pPr>
              <w:spacing w:after="40"/>
            </w:pPr>
            <w:r/>
            <w:r>
              <w:rPr>
                <w:sz w:val="17"/>
              </w:rPr>
              <w:t>3,950</w:t>
            </w:r>
          </w:p>
        </w:tc>
        <w:tc>
          <w:tcPr>
            <w:tcW w:type="dxa" w:w="1512"/>
          </w:tcPr>
          <w:p>
            <w:pPr>
              <w:spacing w:after="40"/>
            </w:pPr>
            <w:r/>
            <w:r>
              <w:rPr>
                <w:sz w:val="17"/>
              </w:rPr>
              <w:t>3,950</w:t>
            </w:r>
          </w:p>
        </w:tc>
        <w:tc>
          <w:tcPr>
            <w:tcW w:type="dxa" w:w="1440"/>
          </w:tcPr>
          <w:p>
            <w:pPr>
              <w:spacing w:after="40"/>
            </w:pPr>
            <w:r/>
            <w:r>
              <w:rPr>
                <w:sz w:val="17"/>
              </w:rPr>
              <w:t>3,950</w:t>
            </w:r>
          </w:p>
        </w:tc>
      </w:tr>
      <w:tr>
        <w:tc>
          <w:tcPr>
            <w:tcW w:type="dxa" w:w="3024"/>
          </w:tcPr>
          <w:p>
            <w:pPr>
              <w:spacing w:after="40"/>
            </w:pPr>
            <w:r/>
            <w:r>
              <w:rPr>
                <w:sz w:val="17"/>
              </w:rPr>
              <w:t>Sunflower Seed</w:t>
            </w:r>
          </w:p>
        </w:tc>
        <w:tc>
          <w:tcPr>
            <w:tcW w:type="dxa" w:w="1728"/>
          </w:tcPr>
          <w:p>
            <w:pPr>
              <w:spacing w:after="40"/>
            </w:pPr>
            <w:r/>
            <w:r>
              <w:rPr>
                <w:sz w:val="17"/>
              </w:rPr>
              <w:t>ARIMA(1,1,0)</w:t>
            </w:r>
          </w:p>
        </w:tc>
        <w:tc>
          <w:tcPr>
            <w:tcW w:type="dxa" w:w="1512"/>
          </w:tcPr>
          <w:p>
            <w:pPr>
              <w:spacing w:after="40"/>
            </w:pPr>
            <w:r/>
            <w:r>
              <w:rPr>
                <w:sz w:val="17"/>
              </w:rPr>
              <w:t>6,102</w:t>
            </w:r>
          </w:p>
        </w:tc>
        <w:tc>
          <w:tcPr>
            <w:tcW w:type="dxa" w:w="1512"/>
          </w:tcPr>
          <w:p>
            <w:pPr>
              <w:spacing w:after="40"/>
            </w:pPr>
            <w:r/>
            <w:r>
              <w:rPr>
                <w:sz w:val="17"/>
              </w:rPr>
              <w:t>6,160</w:t>
            </w:r>
          </w:p>
        </w:tc>
        <w:tc>
          <w:tcPr>
            <w:tcW w:type="dxa" w:w="1440"/>
          </w:tcPr>
          <w:p>
            <w:pPr>
              <w:spacing w:after="40"/>
            </w:pPr>
            <w:r/>
            <w:r>
              <w:rPr>
                <w:sz w:val="17"/>
              </w:rPr>
              <w:t>6,198</w:t>
            </w:r>
          </w:p>
        </w:tc>
      </w:tr>
      <w:tr>
        <w:tc>
          <w:tcPr>
            <w:tcW w:type="dxa" w:w="3024"/>
          </w:tcPr>
          <w:p>
            <w:pPr>
              <w:spacing w:after="40"/>
            </w:pPr>
            <w:r/>
            <w:r>
              <w:rPr>
                <w:sz w:val="17"/>
              </w:rPr>
              <w:t>Toria</w:t>
            </w:r>
          </w:p>
        </w:tc>
        <w:tc>
          <w:tcPr>
            <w:tcW w:type="dxa" w:w="1728"/>
          </w:tcPr>
          <w:p>
            <w:pPr>
              <w:spacing w:after="40"/>
            </w:pPr>
            <w:r/>
            <w:r>
              <w:rPr>
                <w:sz w:val="17"/>
              </w:rPr>
              <w:t>CAGR</w:t>
            </w:r>
          </w:p>
        </w:tc>
        <w:tc>
          <w:tcPr>
            <w:tcW w:type="dxa" w:w="1512"/>
          </w:tcPr>
          <w:p>
            <w:pPr>
              <w:spacing w:after="40"/>
            </w:pPr>
            <w:r/>
            <w:r>
              <w:rPr>
                <w:sz w:val="17"/>
              </w:rPr>
              <w:t>5,332</w:t>
            </w:r>
          </w:p>
        </w:tc>
        <w:tc>
          <w:tcPr>
            <w:tcW w:type="dxa" w:w="1512"/>
          </w:tcPr>
          <w:p>
            <w:pPr>
              <w:spacing w:after="40"/>
            </w:pPr>
            <w:r/>
            <w:r>
              <w:rPr>
                <w:sz w:val="17"/>
              </w:rPr>
              <w:t>5,674</w:t>
            </w:r>
          </w:p>
        </w:tc>
        <w:tc>
          <w:tcPr>
            <w:tcW w:type="dxa" w:w="1440"/>
          </w:tcPr>
          <w:p>
            <w:pPr>
              <w:spacing w:after="40"/>
            </w:pPr>
            <w:r/>
            <w:r>
              <w:rPr>
                <w:sz w:val="17"/>
              </w:rPr>
              <w:t>6,037</w:t>
            </w:r>
          </w:p>
        </w:tc>
      </w:tr>
      <w:tr>
        <w:tc>
          <w:tcPr>
            <w:tcW w:type="dxa" w:w="3024"/>
          </w:tcPr>
          <w:p>
            <w:pPr>
              <w:spacing w:after="40"/>
            </w:pPr>
            <w:r/>
            <w:r>
              <w:rPr>
                <w:sz w:val="17"/>
              </w:rPr>
              <w:t>Urad</w:t>
            </w:r>
          </w:p>
        </w:tc>
        <w:tc>
          <w:tcPr>
            <w:tcW w:type="dxa" w:w="1728"/>
          </w:tcPr>
          <w:p>
            <w:pPr>
              <w:spacing w:after="40"/>
            </w:pPr>
            <w:r/>
            <w:r>
              <w:rPr>
                <w:sz w:val="17"/>
              </w:rPr>
              <w:t>RidgePoly2</w:t>
            </w:r>
          </w:p>
        </w:tc>
        <w:tc>
          <w:tcPr>
            <w:tcW w:type="dxa" w:w="1512"/>
          </w:tcPr>
          <w:p>
            <w:pPr>
              <w:spacing w:after="40"/>
            </w:pPr>
            <w:r/>
            <w:r>
              <w:rPr>
                <w:sz w:val="17"/>
              </w:rPr>
              <w:t>6,573</w:t>
            </w:r>
          </w:p>
        </w:tc>
        <w:tc>
          <w:tcPr>
            <w:tcW w:type="dxa" w:w="1512"/>
          </w:tcPr>
          <w:p>
            <w:pPr>
              <w:spacing w:after="40"/>
            </w:pPr>
            <w:r/>
            <w:r>
              <w:rPr>
                <w:sz w:val="17"/>
              </w:rPr>
              <w:t>6,946</w:t>
            </w:r>
          </w:p>
        </w:tc>
        <w:tc>
          <w:tcPr>
            <w:tcW w:type="dxa" w:w="1440"/>
          </w:tcPr>
          <w:p>
            <w:pPr>
              <w:spacing w:after="40"/>
            </w:pPr>
            <w:r/>
            <w:r>
              <w:rPr>
                <w:sz w:val="17"/>
              </w:rPr>
              <w:t>7,368</w:t>
            </w:r>
          </w:p>
        </w:tc>
      </w:tr>
      <w:tr>
        <w:tc>
          <w:tcPr>
            <w:tcW w:type="dxa" w:w="3024"/>
          </w:tcPr>
          <w:p>
            <w:pPr>
              <w:spacing w:after="40"/>
            </w:pPr>
            <w:r/>
            <w:r>
              <w:rPr>
                <w:sz w:val="17"/>
              </w:rPr>
              <w:t>Wheat</w:t>
            </w:r>
          </w:p>
        </w:tc>
        <w:tc>
          <w:tcPr>
            <w:tcW w:type="dxa" w:w="1728"/>
          </w:tcPr>
          <w:p>
            <w:pPr>
              <w:spacing w:after="40"/>
            </w:pPr>
            <w:r/>
            <w:r>
              <w:rPr>
                <w:sz w:val="17"/>
              </w:rPr>
              <w:t>ARIMA(1,1,0)</w:t>
            </w:r>
          </w:p>
        </w:tc>
        <w:tc>
          <w:tcPr>
            <w:tcW w:type="dxa" w:w="1512"/>
          </w:tcPr>
          <w:p>
            <w:pPr>
              <w:spacing w:after="40"/>
            </w:pPr>
            <w:r/>
            <w:r>
              <w:rPr>
                <w:sz w:val="17"/>
              </w:rPr>
              <w:t>2,053</w:t>
            </w:r>
          </w:p>
        </w:tc>
        <w:tc>
          <w:tcPr>
            <w:tcW w:type="dxa" w:w="1512"/>
          </w:tcPr>
          <w:p>
            <w:pPr>
              <w:spacing w:after="40"/>
            </w:pPr>
            <w:r/>
            <w:r>
              <w:rPr>
                <w:sz w:val="17"/>
              </w:rPr>
              <w:t>2,090</w:t>
            </w:r>
          </w:p>
        </w:tc>
        <w:tc>
          <w:tcPr>
            <w:tcW w:type="dxa" w:w="1440"/>
          </w:tcPr>
          <w:p>
            <w:pPr>
              <w:spacing w:after="40"/>
            </w:pPr>
            <w:r/>
            <w:r>
              <w:rPr>
                <w:sz w:val="17"/>
              </w:rPr>
              <w:t>2,124</w:t>
            </w:r>
          </w:p>
        </w:tc>
      </w:tr>
    </w:tbl>
    <w:p>
      <w:pPr>
        <w:spacing w:after="80"/>
      </w:pPr>
    </w:p>
    <w:p>
      <w:pPr>
        <w:pStyle w:val="Heading2"/>
        <w:keepNext/>
      </w:pPr>
      <w:r>
        <w:t>B. Hold-out ground truth and provenance</w:t>
      </w:r>
    </w:p>
    <w:p>
      <w:pPr>
        <w:spacing w:after="160"/>
      </w:pPr>
      <w:r>
        <w:rPr>
          <w:b w:val="0"/>
          <w:i w:val="0"/>
          <w:color w:val="0B0B0B"/>
          <w:sz w:val="22"/>
        </w:rPr>
        <w:t>The 42 hold-out values live in data/external/msp_actuals_holdout.csv. Each row records the commodity, variety, crop-year label, the true marketing season, the announced MSP and the announcement it was taken from. Coverage is 21 values for 2022-23 and 21 for 2023-24. Jute, De-Husked Coconut and Toria are excluded because their announcements could not be independently verified; they are forecast but not scored.</w:t>
      </w:r>
    </w:p>
    <w:p>
      <w:pPr>
        <w:pStyle w:val="Heading2"/>
        <w:keepNext/>
      </w:pPr>
      <w:r>
        <w:t>C. Error growth with horizon</w:t>
      </w:r>
    </w:p>
    <w:p>
      <w:pPr>
        <w:spacing w:after="80"/>
        <w:jc w:val="center"/>
      </w:pPr>
      <w:r>
        <w:drawing>
          <wp:inline xmlns:a="http://schemas.openxmlformats.org/drawingml/2006/main" xmlns:pic="http://schemas.openxmlformats.org/drawingml/2006/picture">
            <wp:extent cx="4937760" cy="3229860"/>
            <wp:docPr id="7" name="Picture 7"/>
            <wp:cNvGraphicFramePr>
              <a:graphicFrameLocks noChangeAspect="1"/>
            </wp:cNvGraphicFramePr>
            <a:graphic>
              <a:graphicData uri="http://schemas.openxmlformats.org/drawingml/2006/picture">
                <pic:pic>
                  <pic:nvPicPr>
                    <pic:cNvPr id="0" name="fig7_horizon_error.png"/>
                    <pic:cNvPicPr/>
                  </pic:nvPicPr>
                  <pic:blipFill>
                    <a:blip r:embed="rId16"/>
                    <a:stretch>
                      <a:fillRect/>
                    </a:stretch>
                  </pic:blipFill>
                  <pic:spPr>
                    <a:xfrm>
                      <a:off x="0" y="0"/>
                      <a:ext cx="4937760" cy="3229860"/>
                    </a:xfrm>
                    <a:prstGeom prst="rect"/>
                  </pic:spPr>
                </pic:pic>
              </a:graphicData>
            </a:graphic>
          </wp:inline>
        </w:drawing>
      </w:r>
    </w:p>
    <w:p>
      <w:pPr>
        <w:spacing w:after="240"/>
        <w:jc w:val="center"/>
      </w:pPr>
      <w:r>
        <w:rPr>
          <w:b w:val="0"/>
          <w:i/>
          <w:color w:val="52514E"/>
          <w:sz w:val="18"/>
        </w:rPr>
        <w:t>Figure 7 — Backtest MAPE by forecast horizon for the five best models.</w:t>
      </w:r>
    </w:p>
    <w:p>
      <w:pPr>
        <w:pStyle w:val="Heading2"/>
        <w:keepNext/>
      </w:pPr>
      <w:r>
        <w:t>D. Representative code — the shared model interface</w:t>
      </w:r>
    </w:p>
    <w:p>
      <w:pPr>
        <w:spacing w:after="0"/>
        <w:ind w:left="432"/>
      </w:pPr>
      <w:r>
        <w:rPr>
          <w:rFonts w:ascii="Consolas" w:hAnsi="Consolas"/>
          <w:color w:val="52514E"/>
          <w:sz w:val="17"/>
        </w:rPr>
        <w:t># Every model is one callable with the same signature, so no model</w:t>
      </w:r>
    </w:p>
    <w:p>
      <w:pPr>
        <w:spacing w:after="0"/>
        <w:ind w:left="432"/>
      </w:pPr>
      <w:r>
        <w:rPr>
          <w:rFonts w:ascii="Consolas" w:hAnsi="Consolas"/>
          <w:color w:val="52514E"/>
          <w:sz w:val="17"/>
        </w:rPr>
        <w:t># can receive a gentler evaluation than another.</w:t>
      </w:r>
    </w:p>
    <w:p>
      <w:pPr>
        <w:spacing w:after="0"/>
        <w:ind w:left="432"/>
      </w:pPr>
      <w:r>
        <w:rPr>
          <w:rFonts w:ascii="Consolas" w:hAnsi="Consolas"/>
          <w:color w:val="52514E"/>
          <w:sz w:val="17"/>
        </w:rPr>
        <w:t xml:space="preserve"> </w:t>
      </w:r>
    </w:p>
    <w:p>
      <w:pPr>
        <w:spacing w:after="0"/>
        <w:ind w:left="432"/>
      </w:pPr>
      <w:r>
        <w:rPr>
          <w:rFonts w:ascii="Consolas" w:hAnsi="Consolas"/>
          <w:color w:val="52514E"/>
          <w:sz w:val="17"/>
        </w:rPr>
        <w:t>def drift(years, values, future_years):</w:t>
      </w:r>
    </w:p>
    <w:p>
      <w:pPr>
        <w:spacing w:after="0"/>
        <w:ind w:left="432"/>
      </w:pPr>
      <w:r>
        <w:rPr>
          <w:rFonts w:ascii="Consolas" w:hAnsi="Consolas"/>
          <w:color w:val="52514E"/>
          <w:sz w:val="17"/>
        </w:rPr>
        <w:t xml:space="preserve">    """Random walk with drift: last value + average historical step."""</w:t>
      </w:r>
    </w:p>
    <w:p>
      <w:pPr>
        <w:spacing w:after="0"/>
        <w:ind w:left="432"/>
      </w:pPr>
      <w:r>
        <w:rPr>
          <w:rFonts w:ascii="Consolas" w:hAnsi="Consolas"/>
          <w:color w:val="52514E"/>
          <w:sz w:val="17"/>
        </w:rPr>
        <w:t xml:space="preserve">    n = len(values)</w:t>
      </w:r>
    </w:p>
    <w:p>
      <w:pPr>
        <w:spacing w:after="0"/>
        <w:ind w:left="432"/>
      </w:pPr>
      <w:r>
        <w:rPr>
          <w:rFonts w:ascii="Consolas" w:hAnsi="Consolas"/>
          <w:color w:val="52514E"/>
          <w:sz w:val="17"/>
        </w:rPr>
        <w:t xml:space="preserve">    step = (values[-1] - values[0]) / (n - 1) if n &gt; 1 else 0.0</w:t>
      </w:r>
    </w:p>
    <w:p>
      <w:pPr>
        <w:spacing w:after="0"/>
        <w:ind w:left="432"/>
      </w:pPr>
      <w:r>
        <w:rPr>
          <w:rFonts w:ascii="Consolas" w:hAnsi="Consolas"/>
          <w:color w:val="52514E"/>
          <w:sz w:val="17"/>
        </w:rPr>
        <w:t xml:space="preserve">    h = np.asarray(future_years, dtype=float) - float(years[-1])</w:t>
      </w:r>
    </w:p>
    <w:p>
      <w:pPr>
        <w:spacing w:after="0"/>
        <w:ind w:left="432"/>
      </w:pPr>
      <w:r>
        <w:rPr>
          <w:rFonts w:ascii="Consolas" w:hAnsi="Consolas"/>
          <w:color w:val="52514E"/>
          <w:sz w:val="17"/>
        </w:rPr>
        <w:t xml:space="preserve">    return values[-1] + step * h</w:t>
      </w:r>
    </w:p>
    <w:p>
      <w:pPr>
        <w:spacing w:after="0"/>
        <w:ind w:left="432"/>
      </w:pPr>
      <w:r>
        <w:rPr>
          <w:rFonts w:ascii="Consolas" w:hAnsi="Consolas"/>
          <w:color w:val="52514E"/>
          <w:sz w:val="17"/>
        </w:rPr>
        <w:t xml:space="preserve"> </w:t>
      </w:r>
    </w:p>
    <w:p>
      <w:pPr>
        <w:spacing w:after="0"/>
        <w:ind w:left="432"/>
      </w:pPr>
      <w:r>
        <w:rPr>
          <w:rFonts w:ascii="Consolas" w:hAnsi="Consolas"/>
          <w:color w:val="52514E"/>
          <w:sz w:val="17"/>
        </w:rPr>
        <w:t>REGISTRY = {'Naive': naive, 'Drift': drift, 'Linear': linear, ...}</w:t>
      </w:r>
    </w:p>
    <w:p>
      <w:pPr>
        <w:spacing w:after="0"/>
        <w:ind w:left="432"/>
      </w:pPr>
      <w:r>
        <w:rPr>
          <w:rFonts w:ascii="Consolas" w:hAnsi="Consolas"/>
          <w:color w:val="52514E"/>
          <w:sz w:val="17"/>
        </w:rPr>
        <w:t xml:space="preserve"> </w:t>
      </w:r>
    </w:p>
    <w:p>
      <w:pPr>
        <w:spacing w:after="0"/>
        <w:ind w:left="432"/>
      </w:pPr>
      <w:r>
        <w:rPr>
          <w:rFonts w:ascii="Consolas" w:hAnsi="Consolas"/>
          <w:color w:val="52514E"/>
          <w:sz w:val="17"/>
        </w:rPr>
        <w:t># Rolling origin: nothing after the origin is visible at fit time.</w:t>
      </w:r>
    </w:p>
    <w:p>
      <w:pPr>
        <w:spacing w:after="0"/>
        <w:ind w:left="432"/>
      </w:pPr>
      <w:r>
        <w:rPr>
          <w:rFonts w:ascii="Consolas" w:hAnsi="Consolas"/>
          <w:color w:val="52514E"/>
          <w:sz w:val="17"/>
        </w:rPr>
        <w:t>for origin in range(MIN_TRAIN_POINTS, len(years)):</w:t>
      </w:r>
    </w:p>
    <w:p>
      <w:pPr>
        <w:spacing w:after="0"/>
        <w:ind w:left="432"/>
      </w:pPr>
      <w:r>
        <w:rPr>
          <w:rFonts w:ascii="Consolas" w:hAnsi="Consolas"/>
          <w:color w:val="52514E"/>
          <w:sz w:val="17"/>
        </w:rPr>
        <w:t xml:space="preserve">    train_years, train_values = years[:origin], values[:origin]</w:t>
      </w:r>
    </w:p>
    <w:p>
      <w:pPr>
        <w:spacing w:after="0"/>
        <w:ind w:left="432"/>
      </w:pPr>
      <w:r>
        <w:rPr>
          <w:rFonts w:ascii="Consolas" w:hAnsi="Consolas"/>
          <w:color w:val="52514E"/>
          <w:sz w:val="17"/>
        </w:rPr>
        <w:t xml:space="preserve">    test_years = years[origin:origin + max_horizon]</w:t>
      </w:r>
    </w:p>
    <w:p>
      <w:pPr>
        <w:spacing w:after="0"/>
        <w:ind w:left="432"/>
      </w:pPr>
      <w:r>
        <w:rPr>
          <w:rFonts w:ascii="Consolas" w:hAnsi="Consolas"/>
          <w:color w:val="52514E"/>
          <w:sz w:val="17"/>
        </w:rPr>
        <w:t xml:space="preserve">    for name, fn in REGISTRY.items():</w:t>
      </w:r>
    </w:p>
    <w:p>
      <w:pPr>
        <w:spacing w:after="0"/>
        <w:ind w:left="432"/>
      </w:pPr>
      <w:r>
        <w:rPr>
          <w:rFonts w:ascii="Consolas" w:hAnsi="Consolas"/>
          <w:color w:val="52514E"/>
          <w:sz w:val="17"/>
        </w:rPr>
        <w:t xml:space="preserve">        preds = fn(train_years, train_values, test_years)</w:t>
      </w:r>
    </w:p>
    <w:p>
      <w:pPr>
        <w:spacing w:after="200"/>
      </w:pPr>
    </w:p>
    <w:p>
      <w:pPr>
        <w:pStyle w:val="Heading2"/>
        <w:keepNext/>
      </w:pPr>
      <w:r>
        <w:t>E. Project artefacts</w:t>
      </w:r>
    </w:p>
    <w:tbl>
      <w:tblPr>
        <w:tblStyle w:val="TableGrid"/>
        <w:tblW w:type="auto" w:w="0"/>
        <w:jc w:val="center"/>
        <w:tblLook w:firstColumn="1" w:firstRow="1" w:lastColumn="0" w:lastRow="0" w:noHBand="0" w:noVBand="1" w:val="04A0"/>
      </w:tblPr>
      <w:tblGrid>
        <w:gridCol w:w="4514"/>
        <w:gridCol w:w="4514"/>
      </w:tblGrid>
      <w:tr>
        <w:tc>
          <w:tcPr>
            <w:tcW w:type="dxa" w:w="3456"/>
            <w:shd w:val="clear" w:fill="DCE7F7"/>
          </w:tcPr>
          <w:p>
            <w:pPr>
              <w:spacing w:after="40"/>
            </w:pPr>
            <w:r/>
            <w:r>
              <w:rPr>
                <w:b/>
                <w:sz w:val="19"/>
              </w:rPr>
              <w:t>Artefact</w:t>
            </w:r>
          </w:p>
        </w:tc>
        <w:tc>
          <w:tcPr>
            <w:tcW w:type="dxa" w:w="5760"/>
            <w:shd w:val="clear" w:fill="DCE7F7"/>
          </w:tcPr>
          <w:p>
            <w:pPr>
              <w:spacing w:after="40"/>
            </w:pPr>
            <w:r/>
            <w:r>
              <w:rPr>
                <w:b/>
                <w:sz w:val="19"/>
              </w:rPr>
              <w:t>Path</w:t>
            </w:r>
          </w:p>
        </w:tc>
      </w:tr>
      <w:tr>
        <w:tc>
          <w:tcPr>
            <w:tcW w:type="dxa" w:w="3456"/>
          </w:tcPr>
          <w:p>
            <w:pPr>
              <w:spacing w:after="40"/>
            </w:pPr>
            <w:r/>
            <w:r>
              <w:rPr>
                <w:sz w:val="19"/>
              </w:rPr>
              <w:t>Executed analysis notebook</w:t>
            </w:r>
          </w:p>
        </w:tc>
        <w:tc>
          <w:tcPr>
            <w:tcW w:type="dxa" w:w="5760"/>
          </w:tcPr>
          <w:p>
            <w:pPr>
              <w:spacing w:after="40"/>
            </w:pPr>
            <w:r/>
            <w:r>
              <w:rPr>
                <w:sz w:val="19"/>
              </w:rPr>
              <w:t>notebooks/MSP_Forecasting_Analysis.ipynb</w:t>
            </w:r>
          </w:p>
        </w:tc>
      </w:tr>
      <w:tr>
        <w:tc>
          <w:tcPr>
            <w:tcW w:type="dxa" w:w="3456"/>
          </w:tcPr>
          <w:p>
            <w:pPr>
              <w:spacing w:after="40"/>
            </w:pPr>
            <w:r/>
            <w:r>
              <w:rPr>
                <w:sz w:val="19"/>
              </w:rPr>
              <w:t>Interactive HTML dashboard</w:t>
            </w:r>
          </w:p>
        </w:tc>
        <w:tc>
          <w:tcPr>
            <w:tcW w:type="dxa" w:w="5760"/>
          </w:tcPr>
          <w:p>
            <w:pPr>
              <w:spacing w:after="40"/>
            </w:pPr>
            <w:r/>
            <w:r>
              <w:rPr>
                <w:sz w:val="19"/>
              </w:rPr>
              <w:t>outputs/dashboard.html</w:t>
            </w:r>
          </w:p>
        </w:tc>
      </w:tr>
      <w:tr>
        <w:tc>
          <w:tcPr>
            <w:tcW w:type="dxa" w:w="3456"/>
          </w:tcPr>
          <w:p>
            <w:pPr>
              <w:spacing w:after="40"/>
            </w:pPr>
            <w:r/>
            <w:r>
              <w:rPr>
                <w:sz w:val="19"/>
              </w:rPr>
              <w:t>Streamlit application</w:t>
            </w:r>
          </w:p>
        </w:tc>
        <w:tc>
          <w:tcPr>
            <w:tcW w:type="dxa" w:w="5760"/>
          </w:tcPr>
          <w:p>
            <w:pPr>
              <w:spacing w:after="40"/>
            </w:pPr>
            <w:r/>
            <w:r>
              <w:rPr>
                <w:sz w:val="19"/>
              </w:rPr>
              <w:t>app/streamlit_app.py</w:t>
            </w:r>
          </w:p>
        </w:tc>
      </w:tr>
      <w:tr>
        <w:tc>
          <w:tcPr>
            <w:tcW w:type="dxa" w:w="3456"/>
          </w:tcPr>
          <w:p>
            <w:pPr>
              <w:spacing w:after="40"/>
            </w:pPr>
            <w:r/>
            <w:r>
              <w:rPr>
                <w:sz w:val="19"/>
              </w:rPr>
              <w:t>Figures</w:t>
            </w:r>
          </w:p>
        </w:tc>
        <w:tc>
          <w:tcPr>
            <w:tcW w:type="dxa" w:w="5760"/>
          </w:tcPr>
          <w:p>
            <w:pPr>
              <w:spacing w:after="40"/>
            </w:pPr>
            <w:r/>
            <w:r>
              <w:rPr>
                <w:sz w:val="19"/>
              </w:rPr>
              <w:t>outputs/figures/ (7 files)</w:t>
            </w:r>
          </w:p>
        </w:tc>
      </w:tr>
      <w:tr>
        <w:tc>
          <w:tcPr>
            <w:tcW w:type="dxa" w:w="3456"/>
          </w:tcPr>
          <w:p>
            <w:pPr>
              <w:spacing w:after="40"/>
            </w:pPr>
            <w:r/>
            <w:r>
              <w:rPr>
                <w:sz w:val="19"/>
              </w:rPr>
              <w:t>Result tables</w:t>
            </w:r>
          </w:p>
        </w:tc>
        <w:tc>
          <w:tcPr>
            <w:tcW w:type="dxa" w:w="5760"/>
          </w:tcPr>
          <w:p>
            <w:pPr>
              <w:spacing w:after="40"/>
            </w:pPr>
            <w:r/>
            <w:r>
              <w:rPr>
                <w:sz w:val="19"/>
              </w:rPr>
              <w:t>outputs/tables/ (11 CSV files)</w:t>
            </w:r>
          </w:p>
        </w:tc>
      </w:tr>
      <w:tr>
        <w:tc>
          <w:tcPr>
            <w:tcW w:type="dxa" w:w="3456"/>
          </w:tcPr>
          <w:p>
            <w:pPr>
              <w:spacing w:after="40"/>
            </w:pPr>
            <w:r/>
            <w:r>
              <w:rPr>
                <w:sz w:val="19"/>
              </w:rPr>
              <w:t>Hold-out ground truth</w:t>
            </w:r>
          </w:p>
        </w:tc>
        <w:tc>
          <w:tcPr>
            <w:tcW w:type="dxa" w:w="5760"/>
          </w:tcPr>
          <w:p>
            <w:pPr>
              <w:spacing w:after="40"/>
            </w:pPr>
            <w:r/>
            <w:r>
              <w:rPr>
                <w:sz w:val="19"/>
              </w:rPr>
              <w:t>data/external/msp_actuals_holdout.csv</w:t>
            </w:r>
          </w:p>
        </w:tc>
      </w:tr>
      <w:tr>
        <w:tc>
          <w:tcPr>
            <w:tcW w:type="dxa" w:w="3456"/>
          </w:tcPr>
          <w:p>
            <w:pPr>
              <w:spacing w:after="40"/>
            </w:pPr>
            <w:r/>
            <w:r>
              <w:rPr>
                <w:sz w:val="19"/>
              </w:rPr>
              <w:t>Test suite</w:t>
            </w:r>
          </w:p>
        </w:tc>
        <w:tc>
          <w:tcPr>
            <w:tcW w:type="dxa" w:w="5760"/>
          </w:tcPr>
          <w:p>
            <w:pPr>
              <w:spacing w:after="40"/>
            </w:pPr>
            <w:r/>
            <w:r>
              <w:rPr>
                <w:sz w:val="19"/>
              </w:rPr>
              <w:t>tests/test_pipeline.py (25 tests)</w:t>
            </w:r>
          </w:p>
        </w:tc>
      </w:tr>
    </w:tbl>
    <w:p>
      <w:pPr>
        <w:spacing w:after="80"/>
      </w:pPr>
    </w:p>
    <w:sectPr w:rsidR="00FC693F" w:rsidRPr="0006063C" w:rsidSect="00034616">
      <w:footerReference w:type="default" r:id="rId9"/>
      <w:pgSz w:w="11909" w:h="16834"/>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color w:val="52514E"/>
        <w:sz w:val="18"/>
      </w:rPr>
      <w:t xml:space="preserve">Page | </w:t>
    </w:r>
    <w:fldSimple w:instr="PAGE">
      <w:r>
        <w:t>1</w:t>
      </w:r>
    </w:fldSimpl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60" w:line="276" w:lineRule="auto"/>
    </w:pPr>
    <w:rPr>
      <w:rFonts w:ascii="Calibri" w:hAnsi="Calibri"/>
      <w:color w:val="0B0B0B"/>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80" w:after="120"/>
      <w:outlineLvl w:val="0"/>
    </w:pPr>
    <w:rPr>
      <w:rFonts w:asciiTheme="majorHAnsi" w:eastAsiaTheme="majorEastAsia" w:hAnsiTheme="majorHAnsi" w:cstheme="majorBidi" w:ascii="Calibri" w:hAnsi="Calibri"/>
      <w:b/>
      <w:bCs/>
      <w:color w:val="1C5CAB"/>
      <w:sz w:val="32"/>
      <w:szCs w:val="28"/>
    </w:rPr>
  </w:style>
  <w:style w:type="paragraph" w:styleId="Heading2">
    <w:name w:val="heading 2"/>
    <w:basedOn w:val="Normal"/>
    <w:next w:val="Normal"/>
    <w:link w:val="Heading2Char"/>
    <w:uiPriority w:val="9"/>
    <w:unhideWhenUsed/>
    <w:qFormat/>
    <w:rsid w:val="00FC693F"/>
    <w:pPr>
      <w:keepNext/>
      <w:keepLines/>
      <w:spacing w:before="200" w:after="120"/>
      <w:outlineLvl w:val="1"/>
    </w:pPr>
    <w:rPr>
      <w:rFonts w:asciiTheme="majorHAnsi" w:eastAsiaTheme="majorEastAsia" w:hAnsiTheme="majorHAnsi" w:cstheme="majorBidi" w:ascii="Calibri" w:hAnsi="Calibri"/>
      <w:b/>
      <w:bCs/>
      <w:color w:val="0B0B0B"/>
      <w:sz w:val="26"/>
      <w:szCs w:val="26"/>
    </w:rPr>
  </w:style>
  <w:style w:type="paragraph" w:styleId="Heading3">
    <w:name w:val="heading 3"/>
    <w:basedOn w:val="Normal"/>
    <w:next w:val="Normal"/>
    <w:link w:val="Heading3Char"/>
    <w:uiPriority w:val="9"/>
    <w:unhideWhenUsed/>
    <w:qFormat/>
    <w:rsid w:val="00FC693F"/>
    <w:pPr>
      <w:keepNext/>
      <w:keepLines/>
      <w:spacing w:before="200" w:after="120"/>
      <w:outlineLvl w:val="2"/>
    </w:pPr>
    <w:rPr>
      <w:rFonts w:asciiTheme="majorHAnsi" w:eastAsiaTheme="majorEastAsia" w:hAnsiTheme="majorHAnsi" w:cstheme="majorBidi" w:ascii="Calibri" w:hAnsi="Calibri"/>
      <w:b/>
      <w:bCs/>
      <w:color w:val="0B0B0B"/>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 Id="rId11" Type="http://schemas.openxmlformats.org/officeDocument/2006/relationships/image" Target="media/image2.png"/><Relationship Id="rId12" Type="http://schemas.openxmlformats.org/officeDocument/2006/relationships/image" Target="media/image3.png"/><Relationship Id="rId13" Type="http://schemas.openxmlformats.org/officeDocument/2006/relationships/image" Target="media/image4.png"/><Relationship Id="rId14" Type="http://schemas.openxmlformats.org/officeDocument/2006/relationships/image" Target="media/image5.png"/><Relationship Id="rId15" Type="http://schemas.openxmlformats.org/officeDocument/2006/relationships/image" Target="media/image6.png"/><Relationship Id="rId16"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