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85"/>
        <w:gridCol w:w="5445"/>
      </w:tblGrid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Y. C. Lim, "Single-precision multiplier with reduced circuit complexity for signal processing applications," in IEEE Transactions on Computers, vol. 41, no. 10, pp. 1333-1336, Oct. 1992, doi: 10.1109/12.166611.</w:t>
            </w:r>
            <w:r>
              <w:rPr>
                <w:outline w:val="0"/>
                <w:color w:val="000000"/>
                <w:sz w:val="24"/>
                <w:szCs w:val="24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When two numbers are multiplied, a double-word length product is produced. </w:t>
            </w:r>
            <w:r>
              <w:rPr>
                <w:rtl w:val="0"/>
                <w:lang w:val="en-US"/>
              </w:rPr>
              <w:t>In applications where only single precision is required, the circuit introduces complexity.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>he least significant part of the product</w:t>
            </w:r>
            <w:r>
              <w:rPr>
                <w:rtl w:val="0"/>
                <w:lang w:val="en-US"/>
              </w:rPr>
              <w:t xml:space="preserve"> is not computed exactly. I</w:t>
            </w:r>
            <w:r>
              <w:rPr>
                <w:rtl w:val="0"/>
                <w:lang w:val="en-US"/>
              </w:rPr>
              <w:t>t is only necessary to estimate the carries generated in the computation of the least significant part that will ripple into the most significant part of the product.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  <w:r>
              <w:rPr>
                <w:rtl w:val="0"/>
              </w:rPr>
              <w:t xml:space="preserve"> 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Significantly reduced circuit complexity.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it-IT"/>
              </w:rPr>
              <w:t>Demerits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The estimation of Least significant part is not sufficiently accurate. Correction introduces complexity.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Lan-Da Van, Shuenn-Shyang Wang and Wu-Shiung Feng, "Design of the lower error fixed-width multiplier and its application," in IEEE Transactions on Circuits and Systems II: Analog and Digital Signal Processing, vol. 47, no. 10, pp. 1112-1118, Oct. 2000, doi: 10.1109/82.877155.</w:t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Truncation error in existing fixed width multipliers is high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A better error compensation bias is derived to reduce truncation error by properly choosing generalised index.</w:t>
            </w:r>
          </w:p>
        </w:tc>
      </w:tr>
      <w:tr>
        <w:tblPrEx>
          <w:shd w:val="clear" w:color="auto" w:fill="auto"/>
        </w:tblPrEx>
        <w:trPr>
          <w:trHeight w:val="156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1. A lower error fixed-width multiplier, for VLSI realisation is constructed.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2. FIR for filter for speech processing is designed using the proposed model. The performance for consonant part is better than that using other fixed-width multipliers. 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Demerits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Area requirement was higher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S. -J. Jou, Meng-Hung Tsai and Ya-Lan Tsao, "Low-error reduced-width Booth multipliers for DSP applications," in IEEE Transactions on Circuits and Systems I: Fundamental Theory and Applications, vol. 50, no. 11, pp. 1470-1474, Nov. 2003, doi: 10.1109/TCSI.2003.817779.</w:t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1.T</w:t>
            </w:r>
            <w:r>
              <w:rPr>
                <w:rtl w:val="0"/>
                <w:lang w:val="en-US"/>
              </w:rPr>
              <w:t xml:space="preserve">he post-truncation method wastes computation effort in terms of both computation time and hardware area. 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2.Number of partial products to be calculated is high in case of Baugh-Wooley multipliers. </w:t>
            </w:r>
          </w:p>
        </w:tc>
      </w:tr>
      <w:tr>
        <w:tblPrEx>
          <w:shd w:val="clear" w:color="auto" w:fill="auto"/>
        </w:tblPrEx>
        <w:trPr>
          <w:trHeight w:val="156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1.</w:t>
            </w:r>
            <w:r>
              <w:rPr>
                <w:rtl w:val="0"/>
                <w:lang w:val="en-US"/>
              </w:rPr>
              <w:t>A faster low-error reduced-width Booth multiplier</w:t>
            </w:r>
            <w:r>
              <w:rPr>
                <w:rtl w:val="0"/>
                <w:lang w:val="en-US"/>
              </w:rPr>
              <w:t xml:space="preserve"> using appropriate compensation vector</w:t>
            </w:r>
            <w:r>
              <w:rPr>
                <w:rtl w:val="0"/>
                <w:lang w:val="en-US"/>
              </w:rPr>
              <w:t xml:space="preserve"> is proposed to improve the limited performance of reduced-width array multipliers. 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2.The number of partial products on average is reduced.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The proposed reduced-width Booth multiplier has similar error performance as the array multiplier. However the operational speed is much faster 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it-IT"/>
              </w:rPr>
              <w:t>Demerits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The area of the proposed reduced-width Booth multiplier is 1.3 times that of the two</w:t>
            </w:r>
            <w:r>
              <w:rPr>
                <w:rtl w:val="1"/>
              </w:rPr>
              <w:t>’</w:t>
            </w:r>
            <w:r>
              <w:rPr>
                <w:rtl w:val="0"/>
                <w:lang w:val="en-US"/>
              </w:rPr>
              <w:t>s complement reduced-width array multiplier.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J. Wang, S. Kuang and S. Liang, "High-Accuracy Fixed-Width Modified Booth Multipliers for Lossy Applications," in IEEE Transactions on Very Large Scale Integration (VLSI) Systems, vol. 19, no. 1, pp. 52-60, Jan. 2011, doi: 10.1109/TVLSI.2009.2032289.</w:t>
            </w:r>
            <w:r>
              <w:rPr>
                <w:outline w:val="0"/>
                <w:color w:val="000000"/>
                <w:sz w:val="24"/>
                <w:szCs w:val="24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The mean error in truncation is not distributed symmetrically.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An effective error compensation function that makes the error distribution more symmetric and centralised in the error equal to zero, leading the fixed-width modified Booth multiplier to very small mean and mean-square errors.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 xml:space="preserve">he proposed error compensation circuits offer at least 12.3% and 6.3% reductions in mean-square error over the previous circuits, respectively 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J. Liang, J. Han and F. Lombardi, "New Metrics for the Reliability of Approximate and Probabilistic Adders," in IEEE Transactions on Computers, vol. 62, no. 9, pp. 1760-1771, Sept. 2013, doi: 10.1109/TC.2012.146.</w:t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>here has been a lack of appropriate metrics to evaluate the efficacy of various inexact designs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Reliability is </w:t>
            </w:r>
            <w:r>
              <w:rPr>
                <w:rtl w:val="0"/>
                <w:lang w:val="en-US"/>
              </w:rPr>
              <w:t>analysed</w:t>
            </w:r>
            <w:r>
              <w:rPr>
                <w:rtl w:val="0"/>
                <w:lang w:val="en-US"/>
              </w:rPr>
              <w:t xml:space="preserve"> using sequential probability transition matrices (SPTMs)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ew metrics are proposed for evaluating the reliability as well as the power efficiency of approximate and probabilistic adders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H. Jiang, J. Han, F. Qiao and F. Lombardi, "Approximate Radix-8 Booth Multipliers for Low-Power and High-Performance Operation," in IEEE Transactions on Computers, vol. 65, no. 8, pp. 2638-2644, 1 Aug. 2016, doi: 10.1109/TC.2015.2493547.</w:t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Power dissipation in multipliers is high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 xml:space="preserve">The error detection, compensation and recovery circuits of the approximate </w:t>
            </w:r>
            <w:r>
              <w:rPr>
                <w:rFonts w:ascii="Times Roman" w:hAnsi="Times Roman"/>
                <w:outline w:val="0"/>
                <w:color w:val="000000"/>
                <w:sz w:val="24"/>
                <w:szCs w:val="24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multiplier is simplified.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>T</w:t>
            </w: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>he proposed design outperform</w:t>
            </w: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>s</w:t>
            </w: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 xml:space="preserve"> the other approximate multipliers in the FIR filter operation, thus th</w:t>
            </w: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>is</w:t>
            </w: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 xml:space="preserve"> design may be useful for low-power and imprecise operations in error-resilient systems. 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it-IT"/>
              </w:rPr>
              <w:t>Demerits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>T</w:t>
            </w:r>
            <w:r>
              <w:rPr>
                <w:rFonts w:ascii="Times Roman" w:hAnsi="Times Roman"/>
                <w:outline w:val="0"/>
                <w:color w:val="231f20"/>
                <w:sz w:val="21"/>
                <w:szCs w:val="21"/>
                <w:rtl w:val="0"/>
                <w:lang w:val="en-US"/>
                <w14:textFill>
                  <w14:solidFill>
                    <w14:srgbClr w14:val="231F20"/>
                  </w14:solidFill>
                </w14:textFill>
              </w:rPr>
              <w:t xml:space="preserve">he error due to the recoding adder is more significant than the one caused by truncation </w:t>
            </w:r>
          </w:p>
        </w:tc>
      </w:tr>
      <w:tr>
        <w:tblPrEx>
          <w:shd w:val="clear" w:color="auto" w:fill="auto"/>
        </w:tblPrEx>
        <w:trPr>
          <w:trHeight w:val="879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sz w:val="24"/>
                <w:szCs w:val="24"/>
                <w:rtl w:val="0"/>
                <w:lang w:val="en-US"/>
              </w:rPr>
              <w:t>S. Venkatachalam, E. Adams, H. J. Lee and S. Ko, "Design and Analysis of Area and Power Efficient Approximate Booth Multipliers," in IEEE Transactions on Computers, vol. 68, no. 11, pp. 1697-1703, 1 Nov. 2019, doi: 10.1109/TC.2019.2926275.</w:t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The existing inexact multipliers have fixed accuracy. So the multipliers have to be designed specific to the needs.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Multiplication technique is mathematically modelled to allow various levels of approximation and performance trade-offs. 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 xml:space="preserve">An </w:t>
            </w:r>
            <w:r>
              <w:rPr>
                <w:rtl w:val="0"/>
                <w:lang w:val="en-US"/>
              </w:rPr>
              <w:t>accuracy-adjustment fixed-width Booth multiplier that compensates the truncation error using a multilevel conditional probability</w:t>
            </w:r>
            <w:r>
              <w:rPr>
                <w:rtl w:val="0"/>
                <w:lang w:val="en-US"/>
              </w:rPr>
              <w:t xml:space="preserve"> is proposed.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41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H. Waris, C. Wang, W. Liu and F. Lombardi, "AxBMs: Approximate Radix-8 Booth Multipliers for High-Performance FPGA-Based Accelerators," in IEEE Transactions on Circuits and Systems II: Express Briefs, vol. 68, no. 5, pp. 1566-1570, May 2021, doi: 10.1109/TCSII.2021.3065333.</w:t>
            </w:r>
          </w:p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Problem Considered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The focus of existing designs on approximate radix-8 Booth multipliers has been on ASIC-based platforms. So they cannot achieve comparable performance gains when used for FPGA-based hardware accelerators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Proposed Solution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Approximation is implemented such that the 6-input lookup table (LUT) and the associated carry chains of the FPGAs are fully utilised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41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</w:tcPr>
          <w:p/>
        </w:tc>
        <w:tc>
          <w:tcPr>
            <w:tcW w:type="dxa" w:w="54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Results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>he proposed multipliers are applied to the application of Sobel edge detection</w:t>
            </w:r>
            <w:r>
              <w:rPr>
                <w:rtl w:val="0"/>
                <w:lang w:val="en-US"/>
              </w:rPr>
              <w:t xml:space="preserve">. The proposed solution detected </w:t>
            </w:r>
            <w:r>
              <w:rPr>
                <w:rtl w:val="0"/>
                <w:lang w:val="en-US"/>
              </w:rPr>
              <w:t>98.45% edges with energy savings of 26.41%.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