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4"/>
        </w:rPr>
        <w:t>BATERÍA DE TESTS</w:t>
      </w:r>
    </w:p>
    <w:p>
      <w:pPr>
        <w:jc w:val="center"/>
      </w:pPr>
      <w:r>
        <w:rPr>
          <w:color w:val="2F75B5"/>
          <w:sz w:val="30"/>
        </w:rPr>
        <w:t>Valoración del movimiento, fuerza, capacidad funcional y rendimiento cardiovascular</w:t>
      </w:r>
    </w:p>
    <w:p>
      <w:pPr>
        <w:spacing w:before="400"/>
        <w:jc w:val="center"/>
      </w:pPr>
      <w:r>
        <w:rPr>
          <w:b/>
          <w:sz w:val="22"/>
        </w:rPr>
        <w:t>FMS · Handgrip · 30” Chair Stand · TUG · SMBT · AirBike 6 min · CMJ Chronojump</w:t>
      </w:r>
    </w:p>
    <w:p>
      <w:pPr>
        <w:spacing w:before="1600"/>
        <w:jc w:val="center"/>
      </w:pPr>
      <w:r>
        <w:rPr>
          <w:color w:val="5B6573"/>
          <w:sz w:val="20"/>
        </w:rPr>
        <w:t>Guía práctica para administración, registro e interpretación</w:t>
      </w:r>
    </w:p>
    <w:p>
      <w:r>
        <w:br w:type="page"/>
      </w:r>
    </w:p>
    <w:p>
      <w:pPr>
        <w:pStyle w:val="Heading1"/>
        <w:keepNext/>
        <w:spacing w:before="160" w:after="80"/>
      </w:pPr>
      <w:r>
        <w:t>1. Visión general de la batería</w:t>
      </w:r>
    </w:p>
    <w:p>
      <w:r>
        <w:t>Esta batería combina pruebas de calidad de movimiento, fuerza, potencia, movilidad funcional y capacidad aeróbica. El objetivo es obtener una fotografía inicial del perfil físico y disponer de medidas repetibles para el seguimiento. Para comparar resultados entre sesiones es esencial mantener el mismo protocolo, material, orden, calentamiento y criterios de ejecución.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417"/>
            <w:vAlign w:val="center"/>
            <w:shd w:fill="17365D"/>
            <w:tcMar>
              <w:top w:w="80" w:type="dxa"/>
              <w:left w:w="90" w:type="dxa"/>
              <w:bottom w:w="80" w:type="dxa"/>
              <w:right w:w="90" w:type="dxa"/>
            </w:tcMar>
          </w:tcPr>
          <w:p>
            <w:pPr>
              <w:jc w:val="center"/>
            </w:pPr>
            <w:r/>
            <w:r>
              <w:rPr>
                <w:rFonts w:ascii="Aptos" w:hAnsi="Aptos"/>
                <w:b/>
                <w:color w:val="FFFFFF"/>
                <w:sz w:val="16"/>
              </w:rPr>
              <w:t>Área</w:t>
            </w:r>
          </w:p>
        </w:tc>
        <w:tc>
          <w:tcPr>
            <w:tcW w:type="dxa" w:w="1814"/>
            <w:vAlign w:val="center"/>
            <w:shd w:fill="17365D"/>
            <w:tcMar>
              <w:top w:w="80" w:type="dxa"/>
              <w:left w:w="90" w:type="dxa"/>
              <w:bottom w:w="80" w:type="dxa"/>
              <w:right w:w="90" w:type="dxa"/>
            </w:tcMar>
          </w:tcPr>
          <w:p>
            <w:pPr>
              <w:jc w:val="center"/>
            </w:pPr>
            <w:r/>
            <w:r>
              <w:rPr>
                <w:rFonts w:ascii="Aptos" w:hAnsi="Aptos"/>
                <w:b/>
                <w:color w:val="FFFFFF"/>
                <w:sz w:val="16"/>
              </w:rPr>
              <w:t>Test</w:t>
            </w:r>
          </w:p>
        </w:tc>
        <w:tc>
          <w:tcPr>
            <w:tcW w:type="dxa" w:w="3402"/>
            <w:vAlign w:val="center"/>
            <w:shd w:fill="17365D"/>
            <w:tcMar>
              <w:top w:w="80" w:type="dxa"/>
              <w:left w:w="90" w:type="dxa"/>
              <w:bottom w:w="80" w:type="dxa"/>
              <w:right w:w="90" w:type="dxa"/>
            </w:tcMar>
          </w:tcPr>
          <w:p>
            <w:pPr>
              <w:jc w:val="center"/>
            </w:pPr>
            <w:r/>
            <w:r>
              <w:rPr>
                <w:rFonts w:ascii="Aptos" w:hAnsi="Aptos"/>
                <w:b/>
                <w:color w:val="FFFFFF"/>
                <w:sz w:val="16"/>
              </w:rPr>
              <w:t>Qué valora</w:t>
            </w:r>
          </w:p>
        </w:tc>
        <w:tc>
          <w:tcPr>
            <w:tcW w:type="dxa" w:w="2381"/>
            <w:vAlign w:val="center"/>
            <w:shd w:fill="17365D"/>
            <w:tcMar>
              <w:top w:w="80" w:type="dxa"/>
              <w:left w:w="90" w:type="dxa"/>
              <w:bottom w:w="80" w:type="dxa"/>
              <w:right w:w="90" w:type="dxa"/>
            </w:tcMar>
          </w:tcPr>
          <w:p>
            <w:pPr>
              <w:jc w:val="center"/>
            </w:pPr>
            <w:r/>
            <w:r>
              <w:rPr>
                <w:rFonts w:ascii="Aptos" w:hAnsi="Aptos"/>
                <w:b/>
                <w:color w:val="FFFFFF"/>
                <w:sz w:val="16"/>
              </w:rPr>
              <w:t>Resultado principal</w:t>
            </w:r>
          </w:p>
        </w:tc>
      </w:tr>
      <w:tr>
        <w:tc>
          <w:tcPr>
            <w:tcW w:type="dxa" w:w="1417"/>
            <w:vAlign w:val="center"/>
            <w:tcMar>
              <w:top w:w="80" w:type="dxa"/>
              <w:left w:w="90" w:type="dxa"/>
              <w:bottom w:w="80" w:type="dxa"/>
              <w:right w:w="90" w:type="dxa"/>
            </w:tcMar>
          </w:tcPr>
          <w:p>
            <w:r/>
            <w:r>
              <w:rPr>
                <w:rFonts w:ascii="Aptos" w:hAnsi="Aptos"/>
                <w:b w:val="0"/>
                <w:sz w:val="16"/>
              </w:rPr>
              <w:t>Movimiento</w:t>
            </w:r>
          </w:p>
        </w:tc>
        <w:tc>
          <w:tcPr>
            <w:tcW w:type="dxa" w:w="1814"/>
            <w:vAlign w:val="center"/>
            <w:tcMar>
              <w:top w:w="80" w:type="dxa"/>
              <w:left w:w="90" w:type="dxa"/>
              <w:bottom w:w="80" w:type="dxa"/>
              <w:right w:w="90" w:type="dxa"/>
            </w:tcMar>
          </w:tcPr>
          <w:p>
            <w:r/>
            <w:r>
              <w:rPr>
                <w:rFonts w:ascii="Aptos" w:hAnsi="Aptos"/>
                <w:b w:val="0"/>
                <w:sz w:val="16"/>
              </w:rPr>
              <w:t>FMS</w:t>
            </w:r>
          </w:p>
        </w:tc>
        <w:tc>
          <w:tcPr>
            <w:tcW w:type="dxa" w:w="3402"/>
            <w:vAlign w:val="center"/>
            <w:tcMar>
              <w:top w:w="80" w:type="dxa"/>
              <w:left w:w="90" w:type="dxa"/>
              <w:bottom w:w="80" w:type="dxa"/>
              <w:right w:w="90" w:type="dxa"/>
            </w:tcMar>
          </w:tcPr>
          <w:p>
            <w:r/>
            <w:r>
              <w:rPr>
                <w:rFonts w:ascii="Aptos" w:hAnsi="Aptos"/>
                <w:b w:val="0"/>
                <w:sz w:val="16"/>
              </w:rPr>
              <w:t>Calidad de 7 patrones fundamentales</w:t>
            </w:r>
          </w:p>
        </w:tc>
        <w:tc>
          <w:tcPr>
            <w:tcW w:type="dxa" w:w="2381"/>
            <w:vAlign w:val="center"/>
            <w:tcMar>
              <w:top w:w="80" w:type="dxa"/>
              <w:left w:w="90" w:type="dxa"/>
              <w:bottom w:w="80" w:type="dxa"/>
              <w:right w:w="90" w:type="dxa"/>
            </w:tcMar>
          </w:tcPr>
          <w:p>
            <w:r/>
            <w:r>
              <w:rPr>
                <w:rFonts w:ascii="Aptos" w:hAnsi="Aptos"/>
                <w:b w:val="0"/>
                <w:sz w:val="16"/>
              </w:rPr>
              <w:t>0–21 puntos + asimetrías/dolor</w:t>
            </w:r>
          </w:p>
        </w:tc>
      </w:tr>
      <w:tr>
        <w:tc>
          <w:tcPr>
            <w:tcW w:type="dxa" w:w="1417"/>
            <w:vAlign w:val="center"/>
            <w:shd w:fill="F3F6F9"/>
            <w:tcMar>
              <w:top w:w="80" w:type="dxa"/>
              <w:left w:w="90" w:type="dxa"/>
              <w:bottom w:w="80" w:type="dxa"/>
              <w:right w:w="90" w:type="dxa"/>
            </w:tcMar>
          </w:tcPr>
          <w:p>
            <w:r/>
            <w:r>
              <w:rPr>
                <w:rFonts w:ascii="Aptos" w:hAnsi="Aptos"/>
                <w:b w:val="0"/>
                <w:sz w:val="16"/>
              </w:rPr>
              <w:t>Fuerza</w:t>
            </w:r>
          </w:p>
        </w:tc>
        <w:tc>
          <w:tcPr>
            <w:tcW w:type="dxa" w:w="1814"/>
            <w:vAlign w:val="center"/>
            <w:shd w:fill="F3F6F9"/>
            <w:tcMar>
              <w:top w:w="80" w:type="dxa"/>
              <w:left w:w="90" w:type="dxa"/>
              <w:bottom w:w="80" w:type="dxa"/>
              <w:right w:w="90" w:type="dxa"/>
            </w:tcMar>
          </w:tcPr>
          <w:p>
            <w:r/>
            <w:r>
              <w:rPr>
                <w:rFonts w:ascii="Aptos" w:hAnsi="Aptos"/>
                <w:b w:val="0"/>
                <w:sz w:val="16"/>
              </w:rPr>
              <w:t>Agarre de mano</w:t>
            </w:r>
          </w:p>
        </w:tc>
        <w:tc>
          <w:tcPr>
            <w:tcW w:type="dxa" w:w="3402"/>
            <w:vAlign w:val="center"/>
            <w:shd w:fill="F3F6F9"/>
            <w:tcMar>
              <w:top w:w="80" w:type="dxa"/>
              <w:left w:w="90" w:type="dxa"/>
              <w:bottom w:w="80" w:type="dxa"/>
              <w:right w:w="90" w:type="dxa"/>
            </w:tcMar>
          </w:tcPr>
          <w:p>
            <w:r/>
            <w:r>
              <w:rPr>
                <w:rFonts w:ascii="Aptos" w:hAnsi="Aptos"/>
                <w:b w:val="0"/>
                <w:sz w:val="16"/>
              </w:rPr>
              <w:t>Fuerza isométrica de prensión</w:t>
            </w:r>
          </w:p>
        </w:tc>
        <w:tc>
          <w:tcPr>
            <w:tcW w:type="dxa" w:w="2381"/>
            <w:vAlign w:val="center"/>
            <w:shd w:fill="F3F6F9"/>
            <w:tcMar>
              <w:top w:w="80" w:type="dxa"/>
              <w:left w:w="90" w:type="dxa"/>
              <w:bottom w:w="80" w:type="dxa"/>
              <w:right w:w="90" w:type="dxa"/>
            </w:tcMar>
          </w:tcPr>
          <w:p>
            <w:r/>
            <w:r>
              <w:rPr>
                <w:rFonts w:ascii="Aptos" w:hAnsi="Aptos"/>
                <w:b w:val="0"/>
                <w:sz w:val="16"/>
              </w:rPr>
              <w:t>kg por mano; mejor intento</w:t>
            </w:r>
          </w:p>
        </w:tc>
      </w:tr>
      <w:tr>
        <w:tc>
          <w:tcPr>
            <w:tcW w:type="dxa" w:w="1417"/>
            <w:vAlign w:val="center"/>
            <w:tcMar>
              <w:top w:w="80" w:type="dxa"/>
              <w:left w:w="90" w:type="dxa"/>
              <w:bottom w:w="80" w:type="dxa"/>
              <w:right w:w="90" w:type="dxa"/>
            </w:tcMar>
          </w:tcPr>
          <w:p>
            <w:r/>
            <w:r>
              <w:rPr>
                <w:rFonts w:ascii="Aptos" w:hAnsi="Aptos"/>
                <w:b w:val="0"/>
                <w:sz w:val="16"/>
              </w:rPr>
              <w:t>Fuerza funcional</w:t>
            </w:r>
          </w:p>
        </w:tc>
        <w:tc>
          <w:tcPr>
            <w:tcW w:type="dxa" w:w="1814"/>
            <w:vAlign w:val="center"/>
            <w:tcMar>
              <w:top w:w="80" w:type="dxa"/>
              <w:left w:w="90" w:type="dxa"/>
              <w:bottom w:w="80" w:type="dxa"/>
              <w:right w:w="90" w:type="dxa"/>
            </w:tcMar>
          </w:tcPr>
          <w:p>
            <w:r/>
            <w:r>
              <w:rPr>
                <w:rFonts w:ascii="Aptos" w:hAnsi="Aptos"/>
                <w:b w:val="0"/>
                <w:sz w:val="16"/>
              </w:rPr>
              <w:t>30” Chair Stand</w:t>
            </w:r>
          </w:p>
        </w:tc>
        <w:tc>
          <w:tcPr>
            <w:tcW w:type="dxa" w:w="3402"/>
            <w:vAlign w:val="center"/>
            <w:tcMar>
              <w:top w:w="80" w:type="dxa"/>
              <w:left w:w="90" w:type="dxa"/>
              <w:bottom w:w="80" w:type="dxa"/>
              <w:right w:w="90" w:type="dxa"/>
            </w:tcMar>
          </w:tcPr>
          <w:p>
            <w:r/>
            <w:r>
              <w:rPr>
                <w:rFonts w:ascii="Aptos" w:hAnsi="Aptos"/>
                <w:b w:val="0"/>
                <w:sz w:val="16"/>
              </w:rPr>
              <w:t>Fuerza-resistencia de tren inferior</w:t>
            </w:r>
          </w:p>
        </w:tc>
        <w:tc>
          <w:tcPr>
            <w:tcW w:type="dxa" w:w="2381"/>
            <w:vAlign w:val="center"/>
            <w:tcMar>
              <w:top w:w="80" w:type="dxa"/>
              <w:left w:w="90" w:type="dxa"/>
              <w:bottom w:w="80" w:type="dxa"/>
              <w:right w:w="90" w:type="dxa"/>
            </w:tcMar>
          </w:tcPr>
          <w:p>
            <w:r/>
            <w:r>
              <w:rPr>
                <w:rFonts w:ascii="Aptos" w:hAnsi="Aptos"/>
                <w:b w:val="0"/>
                <w:sz w:val="16"/>
              </w:rPr>
              <w:t>nº de repeticiones</w:t>
            </w:r>
          </w:p>
        </w:tc>
      </w:tr>
      <w:tr>
        <w:tc>
          <w:tcPr>
            <w:tcW w:type="dxa" w:w="1417"/>
            <w:vAlign w:val="center"/>
            <w:shd w:fill="F3F6F9"/>
            <w:tcMar>
              <w:top w:w="80" w:type="dxa"/>
              <w:left w:w="90" w:type="dxa"/>
              <w:bottom w:w="80" w:type="dxa"/>
              <w:right w:w="90" w:type="dxa"/>
            </w:tcMar>
          </w:tcPr>
          <w:p>
            <w:r/>
            <w:r>
              <w:rPr>
                <w:rFonts w:ascii="Aptos" w:hAnsi="Aptos"/>
                <w:b w:val="0"/>
                <w:sz w:val="16"/>
              </w:rPr>
              <w:t>Movilidad funcional</w:t>
            </w:r>
          </w:p>
        </w:tc>
        <w:tc>
          <w:tcPr>
            <w:tcW w:type="dxa" w:w="1814"/>
            <w:vAlign w:val="center"/>
            <w:shd w:fill="F3F6F9"/>
            <w:tcMar>
              <w:top w:w="80" w:type="dxa"/>
              <w:left w:w="90" w:type="dxa"/>
              <w:bottom w:w="80" w:type="dxa"/>
              <w:right w:w="90" w:type="dxa"/>
            </w:tcMar>
          </w:tcPr>
          <w:p>
            <w:r/>
            <w:r>
              <w:rPr>
                <w:rFonts w:ascii="Aptos" w:hAnsi="Aptos"/>
                <w:b w:val="0"/>
                <w:sz w:val="16"/>
              </w:rPr>
              <w:t>TUG</w:t>
            </w:r>
          </w:p>
        </w:tc>
        <w:tc>
          <w:tcPr>
            <w:tcW w:type="dxa" w:w="3402"/>
            <w:vAlign w:val="center"/>
            <w:shd w:fill="F3F6F9"/>
            <w:tcMar>
              <w:top w:w="80" w:type="dxa"/>
              <w:left w:w="90" w:type="dxa"/>
              <w:bottom w:w="80" w:type="dxa"/>
              <w:right w:w="90" w:type="dxa"/>
            </w:tcMar>
          </w:tcPr>
          <w:p>
            <w:r/>
            <w:r>
              <w:rPr>
                <w:rFonts w:ascii="Aptos" w:hAnsi="Aptos"/>
                <w:b w:val="0"/>
                <w:sz w:val="16"/>
              </w:rPr>
              <w:t>Levantarse, caminar, girar y sentarse</w:t>
            </w:r>
          </w:p>
        </w:tc>
        <w:tc>
          <w:tcPr>
            <w:tcW w:type="dxa" w:w="2381"/>
            <w:vAlign w:val="center"/>
            <w:shd w:fill="F3F6F9"/>
            <w:tcMar>
              <w:top w:w="80" w:type="dxa"/>
              <w:left w:w="90" w:type="dxa"/>
              <w:bottom w:w="80" w:type="dxa"/>
              <w:right w:w="90" w:type="dxa"/>
            </w:tcMar>
          </w:tcPr>
          <w:p>
            <w:r/>
            <w:r>
              <w:rPr>
                <w:rFonts w:ascii="Aptos" w:hAnsi="Aptos"/>
                <w:b w:val="0"/>
                <w:sz w:val="16"/>
              </w:rPr>
              <w:t>segundos</w:t>
            </w:r>
          </w:p>
        </w:tc>
      </w:tr>
      <w:tr>
        <w:tc>
          <w:tcPr>
            <w:tcW w:type="dxa" w:w="1417"/>
            <w:vAlign w:val="center"/>
            <w:tcMar>
              <w:top w:w="80" w:type="dxa"/>
              <w:left w:w="90" w:type="dxa"/>
              <w:bottom w:w="80" w:type="dxa"/>
              <w:right w:w="90" w:type="dxa"/>
            </w:tcMar>
          </w:tcPr>
          <w:p>
            <w:r/>
            <w:r>
              <w:rPr>
                <w:rFonts w:ascii="Aptos" w:hAnsi="Aptos"/>
                <w:b w:val="0"/>
                <w:sz w:val="16"/>
              </w:rPr>
              <w:t>Potencia tren superior</w:t>
            </w:r>
          </w:p>
        </w:tc>
        <w:tc>
          <w:tcPr>
            <w:tcW w:type="dxa" w:w="1814"/>
            <w:vAlign w:val="center"/>
            <w:tcMar>
              <w:top w:w="80" w:type="dxa"/>
              <w:left w:w="90" w:type="dxa"/>
              <w:bottom w:w="80" w:type="dxa"/>
              <w:right w:w="90" w:type="dxa"/>
            </w:tcMar>
          </w:tcPr>
          <w:p>
            <w:r/>
            <w:r>
              <w:rPr>
                <w:rFonts w:ascii="Aptos" w:hAnsi="Aptos"/>
                <w:b w:val="0"/>
                <w:sz w:val="16"/>
              </w:rPr>
              <w:t>SMBT</w:t>
            </w:r>
          </w:p>
        </w:tc>
        <w:tc>
          <w:tcPr>
            <w:tcW w:type="dxa" w:w="3402"/>
            <w:vAlign w:val="center"/>
            <w:tcMar>
              <w:top w:w="80" w:type="dxa"/>
              <w:left w:w="90" w:type="dxa"/>
              <w:bottom w:w="80" w:type="dxa"/>
              <w:right w:w="90" w:type="dxa"/>
            </w:tcMar>
          </w:tcPr>
          <w:p>
            <w:r/>
            <w:r>
              <w:rPr>
                <w:rFonts w:ascii="Aptos" w:hAnsi="Aptos"/>
                <w:b w:val="0"/>
                <w:sz w:val="16"/>
              </w:rPr>
              <w:t>Potencia de empuje de tren superior</w:t>
            </w:r>
          </w:p>
        </w:tc>
        <w:tc>
          <w:tcPr>
            <w:tcW w:type="dxa" w:w="2381"/>
            <w:vAlign w:val="center"/>
            <w:tcMar>
              <w:top w:w="80" w:type="dxa"/>
              <w:left w:w="90" w:type="dxa"/>
              <w:bottom w:w="80" w:type="dxa"/>
              <w:right w:w="90" w:type="dxa"/>
            </w:tcMar>
          </w:tcPr>
          <w:p>
            <w:r/>
            <w:r>
              <w:rPr>
                <w:rFonts w:ascii="Aptos" w:hAnsi="Aptos"/>
                <w:b w:val="0"/>
                <w:sz w:val="16"/>
              </w:rPr>
              <w:t>distancia (m)</w:t>
            </w:r>
          </w:p>
        </w:tc>
      </w:tr>
      <w:tr>
        <w:tc>
          <w:tcPr>
            <w:tcW w:type="dxa" w:w="1417"/>
            <w:vAlign w:val="center"/>
            <w:shd w:fill="F3F6F9"/>
            <w:tcMar>
              <w:top w:w="80" w:type="dxa"/>
              <w:left w:w="90" w:type="dxa"/>
              <w:bottom w:w="80" w:type="dxa"/>
              <w:right w:w="90" w:type="dxa"/>
            </w:tcMar>
          </w:tcPr>
          <w:p>
            <w:r/>
            <w:r>
              <w:rPr>
                <w:rFonts w:ascii="Aptos" w:hAnsi="Aptos"/>
                <w:b w:val="0"/>
                <w:sz w:val="16"/>
              </w:rPr>
              <w:t>Cardiovascular</w:t>
            </w:r>
          </w:p>
        </w:tc>
        <w:tc>
          <w:tcPr>
            <w:tcW w:type="dxa" w:w="1814"/>
            <w:vAlign w:val="center"/>
            <w:shd w:fill="F3F6F9"/>
            <w:tcMar>
              <w:top w:w="80" w:type="dxa"/>
              <w:left w:w="90" w:type="dxa"/>
              <w:bottom w:w="80" w:type="dxa"/>
              <w:right w:w="90" w:type="dxa"/>
            </w:tcMar>
          </w:tcPr>
          <w:p>
            <w:r/>
            <w:r>
              <w:rPr>
                <w:rFonts w:ascii="Aptos" w:hAnsi="Aptos"/>
                <w:b w:val="0"/>
                <w:sz w:val="16"/>
              </w:rPr>
              <w:t>AirBike 6 min</w:t>
            </w:r>
          </w:p>
        </w:tc>
        <w:tc>
          <w:tcPr>
            <w:tcW w:type="dxa" w:w="3402"/>
            <w:vAlign w:val="center"/>
            <w:shd w:fill="F3F6F9"/>
            <w:tcMar>
              <w:top w:w="80" w:type="dxa"/>
              <w:left w:w="90" w:type="dxa"/>
              <w:bottom w:w="80" w:type="dxa"/>
              <w:right w:w="90" w:type="dxa"/>
            </w:tcMar>
          </w:tcPr>
          <w:p>
            <w:r/>
            <w:r>
              <w:rPr>
                <w:rFonts w:ascii="Aptos" w:hAnsi="Aptos"/>
                <w:b w:val="0"/>
                <w:sz w:val="16"/>
              </w:rPr>
              <w:t>Potencia media máxima sostenible / capacidad aeróbica de alta intensidad</w:t>
            </w:r>
          </w:p>
        </w:tc>
        <w:tc>
          <w:tcPr>
            <w:tcW w:type="dxa" w:w="2381"/>
            <w:vAlign w:val="center"/>
            <w:shd w:fill="F3F6F9"/>
            <w:tcMar>
              <w:top w:w="80" w:type="dxa"/>
              <w:left w:w="90" w:type="dxa"/>
              <w:bottom w:w="80" w:type="dxa"/>
              <w:right w:w="90" w:type="dxa"/>
            </w:tcMar>
          </w:tcPr>
          <w:p>
            <w:r/>
            <w:r>
              <w:rPr>
                <w:rFonts w:ascii="Aptos" w:hAnsi="Aptos"/>
                <w:b w:val="0"/>
                <w:sz w:val="16"/>
              </w:rPr>
              <w:t>W medios, W/kg, kcal, FC</w:t>
            </w:r>
          </w:p>
        </w:tc>
      </w:tr>
      <w:tr>
        <w:tc>
          <w:tcPr>
            <w:tcW w:type="dxa" w:w="1417"/>
            <w:vAlign w:val="center"/>
            <w:tcMar>
              <w:top w:w="80" w:type="dxa"/>
              <w:left w:w="90" w:type="dxa"/>
              <w:bottom w:w="80" w:type="dxa"/>
              <w:right w:w="90" w:type="dxa"/>
            </w:tcMar>
          </w:tcPr>
          <w:p>
            <w:r/>
            <w:r>
              <w:rPr>
                <w:rFonts w:ascii="Aptos" w:hAnsi="Aptos"/>
                <w:b w:val="0"/>
                <w:sz w:val="16"/>
              </w:rPr>
              <w:t>Potencia tren inferior</w:t>
            </w:r>
          </w:p>
        </w:tc>
        <w:tc>
          <w:tcPr>
            <w:tcW w:type="dxa" w:w="1814"/>
            <w:vAlign w:val="center"/>
            <w:tcMar>
              <w:top w:w="80" w:type="dxa"/>
              <w:left w:w="90" w:type="dxa"/>
              <w:bottom w:w="80" w:type="dxa"/>
              <w:right w:w="90" w:type="dxa"/>
            </w:tcMar>
          </w:tcPr>
          <w:p>
            <w:r/>
            <w:r>
              <w:rPr>
                <w:rFonts w:ascii="Aptos" w:hAnsi="Aptos"/>
                <w:b w:val="0"/>
                <w:sz w:val="16"/>
              </w:rPr>
              <w:t>CMJ (Chronojump)</w:t>
            </w:r>
          </w:p>
        </w:tc>
        <w:tc>
          <w:tcPr>
            <w:tcW w:type="dxa" w:w="3402"/>
            <w:vAlign w:val="center"/>
            <w:tcMar>
              <w:top w:w="80" w:type="dxa"/>
              <w:left w:w="90" w:type="dxa"/>
              <w:bottom w:w="80" w:type="dxa"/>
              <w:right w:w="90" w:type="dxa"/>
            </w:tcMar>
          </w:tcPr>
          <w:p>
            <w:r/>
            <w:r>
              <w:rPr>
                <w:rFonts w:ascii="Aptos" w:hAnsi="Aptos"/>
                <w:b w:val="0"/>
                <w:sz w:val="16"/>
              </w:rPr>
              <w:t>Capacidad explosiva del tren inferior</w:t>
            </w:r>
          </w:p>
        </w:tc>
        <w:tc>
          <w:tcPr>
            <w:tcW w:type="dxa" w:w="2381"/>
            <w:vAlign w:val="center"/>
            <w:tcMar>
              <w:top w:w="80" w:type="dxa"/>
              <w:left w:w="90" w:type="dxa"/>
              <w:bottom w:w="80" w:type="dxa"/>
              <w:right w:w="90" w:type="dxa"/>
            </w:tcMar>
          </w:tcPr>
          <w:p>
            <w:r/>
            <w:r>
              <w:rPr>
                <w:rFonts w:ascii="Aptos" w:hAnsi="Aptos"/>
                <w:b w:val="0"/>
                <w:sz w:val="16"/>
              </w:rPr>
              <w:t>altura (cm) y variables derivadas</w:t>
            </w:r>
          </w:p>
        </w:tc>
      </w:tr>
    </w:tbl>
    <w:p>
      <w:pPr>
        <w:spacing w:after="20"/>
      </w:pPr>
    </w:p>
    <w:tbl>
      <w:tblPr>
        <w:tblStyle w:val="TableGrid"/>
        <w:tblW w:type="auto" w:w="0"/>
        <w:jc w:val="center"/>
        <w:tblLook w:firstColumn="1" w:firstRow="1" w:lastColumn="0" w:lastRow="0" w:noHBand="0" w:noVBand="1" w:val="04A0"/>
      </w:tblPr>
      <w:tblGrid>
        <w:gridCol w:w="10200"/>
      </w:tblGrid>
      <w:tr>
        <w:tc>
          <w:tcPr>
            <w:tcW w:type="dxa" w:w="10200"/>
            <w:shd w:fill="EAF2F8"/>
            <w:tcMar>
              <w:top w:w="80" w:type="dxa"/>
              <w:left w:w="90" w:type="dxa"/>
              <w:bottom w:w="80" w:type="dxa"/>
              <w:right w:w="90" w:type="dxa"/>
            </w:tcMar>
          </w:tcPr>
          <w:p>
            <w:pPr>
              <w:spacing w:after="40"/>
            </w:pPr>
            <w:r>
              <w:rPr>
                <w:i/>
                <w:sz w:val="17"/>
              </w:rPr>
              <w:t>Principio de interpretación: los puntos de corte clínicos se aplican únicamente a la población y al protocolo para los que fueron validados. En SMBT, AirBike y CMJ la comparación más robusta suele ser con referencias específicas de edad/sexo/deporte y, sobre todo, con el propio historial del sujeto.</w:t>
            </w:r>
          </w:p>
        </w:tc>
      </w:tr>
    </w:tbl>
    <w:p>
      <w:pPr>
        <w:spacing w:after="20"/>
      </w:pPr>
    </w:p>
    <w:p>
      <w:pPr>
        <w:pStyle w:val="Heading2"/>
        <w:keepNext/>
        <w:spacing w:before="160" w:after="80"/>
      </w:pPr>
      <w:r>
        <w:t>Orden recomendado de evaluación</w:t>
      </w:r>
    </w:p>
    <w:p>
      <w:pPr>
        <w:pStyle w:val="ListBullet"/>
        <w:spacing w:after="40"/>
      </w:pPr>
      <w:r>
        <w:t>1) FMS, antes de fatigar al participante.</w:t>
      </w:r>
    </w:p>
    <w:p>
      <w:pPr>
        <w:pStyle w:val="ListBullet"/>
        <w:spacing w:after="40"/>
      </w:pPr>
      <w:r>
        <w:t>2) CMJ y SMBT, tras calentamiento específico y con descansos completos.</w:t>
      </w:r>
    </w:p>
    <w:p>
      <w:pPr>
        <w:pStyle w:val="ListBullet"/>
        <w:spacing w:after="40"/>
      </w:pPr>
      <w:r>
        <w:t>3) Handgrip, 30” Chair Stand y TUG, manteniendo instrucciones estandarizadas.</w:t>
      </w:r>
    </w:p>
    <w:p>
      <w:pPr>
        <w:pStyle w:val="ListBullet"/>
        <w:spacing w:after="40"/>
      </w:pPr>
      <w:r>
        <w:t>4) AirBike 6 min al final, por ser la prueba con mayor carga metabólica.</w:t>
      </w:r>
    </w:p>
    <w:p>
      <w:r>
        <w:br w:type="page"/>
      </w:r>
    </w:p>
    <w:p>
      <w:pPr>
        <w:pStyle w:val="Heading1"/>
        <w:keepNext/>
        <w:spacing w:before="160" w:after="80"/>
      </w:pPr>
      <w:r>
        <w:t>2. FMS · Functional Movement Screen</w:t>
      </w:r>
    </w:p>
    <w:p>
      <w:r>
        <w:t>El FMS es un cribado de siete patrones fundamentales. No es una prueba diagnóstica ni una medición directa de fuerza; sirve para identificar limitaciones de movilidad, estabilidad, control motor, compensaciones y asimetrías que pueden orientar la intervención y la selección de ejercicios. [1]</w:t>
      </w:r>
    </w:p>
    <w:p>
      <w:pPr>
        <w:pStyle w:val="Heading2"/>
        <w:keepNext/>
        <w:spacing w:before="160" w:after="80"/>
      </w:pPr>
      <w:r>
        <w:t>Patrones evaluados</w:t>
      </w:r>
    </w:p>
    <w:tbl>
      <w:tblPr>
        <w:tblStyle w:val="TableGrid"/>
        <w:tblW w:type="auto" w:w="0"/>
        <w:jc w:val="center"/>
        <w:tblLook w:firstColumn="1" w:firstRow="1" w:lastColumn="0" w:lastRow="0" w:noHBand="0" w:noVBand="1" w:val="04A0"/>
      </w:tblPr>
      <w:tblGrid>
        <w:gridCol w:w="3400"/>
        <w:gridCol w:w="3400"/>
        <w:gridCol w:w="3400"/>
      </w:tblGrid>
      <w:tr>
        <w:tc>
          <w:tcPr>
            <w:tcW w:type="dxa" w:w="397"/>
            <w:vAlign w:val="center"/>
            <w:shd w:fill="17365D"/>
            <w:tcMar>
              <w:top w:w="80" w:type="dxa"/>
              <w:left w:w="90" w:type="dxa"/>
              <w:bottom w:w="80" w:type="dxa"/>
              <w:right w:w="90" w:type="dxa"/>
            </w:tcMar>
          </w:tcPr>
          <w:p>
            <w:pPr>
              <w:jc w:val="center"/>
            </w:pPr>
            <w:r/>
            <w:r>
              <w:rPr>
                <w:rFonts w:ascii="Aptos" w:hAnsi="Aptos"/>
                <w:b/>
                <w:color w:val="FFFFFF"/>
                <w:sz w:val="16"/>
              </w:rPr>
              <w:t>#</w:t>
            </w:r>
          </w:p>
        </w:tc>
        <w:tc>
          <w:tcPr>
            <w:tcW w:type="dxa" w:w="2268"/>
            <w:vAlign w:val="center"/>
            <w:shd w:fill="17365D"/>
            <w:tcMar>
              <w:top w:w="80" w:type="dxa"/>
              <w:left w:w="90" w:type="dxa"/>
              <w:bottom w:w="80" w:type="dxa"/>
              <w:right w:w="90" w:type="dxa"/>
            </w:tcMar>
          </w:tcPr>
          <w:p>
            <w:pPr>
              <w:jc w:val="center"/>
            </w:pPr>
            <w:r/>
            <w:r>
              <w:rPr>
                <w:rFonts w:ascii="Aptos" w:hAnsi="Aptos"/>
                <w:b/>
                <w:color w:val="FFFFFF"/>
                <w:sz w:val="16"/>
              </w:rPr>
              <w:t>Patrón</w:t>
            </w:r>
          </w:p>
        </w:tc>
        <w:tc>
          <w:tcPr>
            <w:tcW w:type="dxa" w:w="6123"/>
            <w:vAlign w:val="center"/>
            <w:shd w:fill="17365D"/>
            <w:tcMar>
              <w:top w:w="80" w:type="dxa"/>
              <w:left w:w="90" w:type="dxa"/>
              <w:bottom w:w="80" w:type="dxa"/>
              <w:right w:w="90" w:type="dxa"/>
            </w:tcMar>
          </w:tcPr>
          <w:p>
            <w:pPr>
              <w:jc w:val="center"/>
            </w:pPr>
            <w:r/>
            <w:r>
              <w:rPr>
                <w:rFonts w:ascii="Aptos" w:hAnsi="Aptos"/>
                <w:b/>
                <w:color w:val="FFFFFF"/>
                <w:sz w:val="16"/>
              </w:rPr>
              <w:t>Foco principal</w:t>
            </w:r>
          </w:p>
        </w:tc>
      </w:tr>
      <w:tr>
        <w:tc>
          <w:tcPr>
            <w:tcW w:type="dxa" w:w="397"/>
            <w:vAlign w:val="center"/>
            <w:tcMar>
              <w:top w:w="80" w:type="dxa"/>
              <w:left w:w="90" w:type="dxa"/>
              <w:bottom w:w="80" w:type="dxa"/>
              <w:right w:w="90" w:type="dxa"/>
            </w:tcMar>
          </w:tcPr>
          <w:p>
            <w:r/>
            <w:r>
              <w:rPr>
                <w:rFonts w:ascii="Aptos" w:hAnsi="Aptos"/>
                <w:b w:val="0"/>
                <w:sz w:val="16"/>
              </w:rPr>
              <w:t>1</w:t>
            </w:r>
          </w:p>
        </w:tc>
        <w:tc>
          <w:tcPr>
            <w:tcW w:type="dxa" w:w="2268"/>
            <w:vAlign w:val="center"/>
            <w:tcMar>
              <w:top w:w="80" w:type="dxa"/>
              <w:left w:w="90" w:type="dxa"/>
              <w:bottom w:w="80" w:type="dxa"/>
              <w:right w:w="90" w:type="dxa"/>
            </w:tcMar>
          </w:tcPr>
          <w:p>
            <w:r/>
            <w:r>
              <w:rPr>
                <w:rFonts w:ascii="Aptos" w:hAnsi="Aptos"/>
                <w:b w:val="0"/>
                <w:sz w:val="16"/>
              </w:rPr>
              <w:t>Deep Squat</w:t>
            </w:r>
          </w:p>
        </w:tc>
        <w:tc>
          <w:tcPr>
            <w:tcW w:type="dxa" w:w="6123"/>
            <w:vAlign w:val="center"/>
            <w:tcMar>
              <w:top w:w="80" w:type="dxa"/>
              <w:left w:w="90" w:type="dxa"/>
              <w:bottom w:w="80" w:type="dxa"/>
              <w:right w:w="90" w:type="dxa"/>
            </w:tcMar>
          </w:tcPr>
          <w:p>
            <w:r/>
            <w:r>
              <w:rPr>
                <w:rFonts w:ascii="Aptos" w:hAnsi="Aptos"/>
                <w:b w:val="0"/>
                <w:sz w:val="16"/>
              </w:rPr>
              <w:t>Movilidad y estabilidad bilateral de cadera, rodilla, tobillo, hombro y tronco.</w:t>
            </w:r>
          </w:p>
        </w:tc>
      </w:tr>
      <w:tr>
        <w:tc>
          <w:tcPr>
            <w:tcW w:type="dxa" w:w="397"/>
            <w:vAlign w:val="center"/>
            <w:shd w:fill="F3F6F9"/>
            <w:tcMar>
              <w:top w:w="80" w:type="dxa"/>
              <w:left w:w="90" w:type="dxa"/>
              <w:bottom w:w="80" w:type="dxa"/>
              <w:right w:w="90" w:type="dxa"/>
            </w:tcMar>
          </w:tcPr>
          <w:p>
            <w:r/>
            <w:r>
              <w:rPr>
                <w:rFonts w:ascii="Aptos" w:hAnsi="Aptos"/>
                <w:b w:val="0"/>
                <w:sz w:val="16"/>
              </w:rPr>
              <w:t>2</w:t>
            </w:r>
          </w:p>
        </w:tc>
        <w:tc>
          <w:tcPr>
            <w:tcW w:type="dxa" w:w="2268"/>
            <w:vAlign w:val="center"/>
            <w:shd w:fill="F3F6F9"/>
            <w:tcMar>
              <w:top w:w="80" w:type="dxa"/>
              <w:left w:w="90" w:type="dxa"/>
              <w:bottom w:w="80" w:type="dxa"/>
              <w:right w:w="90" w:type="dxa"/>
            </w:tcMar>
          </w:tcPr>
          <w:p>
            <w:r/>
            <w:r>
              <w:rPr>
                <w:rFonts w:ascii="Aptos" w:hAnsi="Aptos"/>
                <w:b w:val="0"/>
                <w:sz w:val="16"/>
              </w:rPr>
              <w:t>Hurdle Step</w:t>
            </w:r>
          </w:p>
        </w:tc>
        <w:tc>
          <w:tcPr>
            <w:tcW w:type="dxa" w:w="6123"/>
            <w:vAlign w:val="center"/>
            <w:shd w:fill="F3F6F9"/>
            <w:tcMar>
              <w:top w:w="80" w:type="dxa"/>
              <w:left w:w="90" w:type="dxa"/>
              <w:bottom w:w="80" w:type="dxa"/>
              <w:right w:w="90" w:type="dxa"/>
            </w:tcMar>
          </w:tcPr>
          <w:p>
            <w:r/>
            <w:r>
              <w:rPr>
                <w:rFonts w:ascii="Aptos" w:hAnsi="Aptos"/>
                <w:b w:val="0"/>
                <w:sz w:val="16"/>
              </w:rPr>
              <w:t>Control monopodal, mecánica de paso y estabilidad pélvica.</w:t>
            </w:r>
          </w:p>
        </w:tc>
      </w:tr>
      <w:tr>
        <w:tc>
          <w:tcPr>
            <w:tcW w:type="dxa" w:w="397"/>
            <w:vAlign w:val="center"/>
            <w:tcMar>
              <w:top w:w="80" w:type="dxa"/>
              <w:left w:w="90" w:type="dxa"/>
              <w:bottom w:w="80" w:type="dxa"/>
              <w:right w:w="90" w:type="dxa"/>
            </w:tcMar>
          </w:tcPr>
          <w:p>
            <w:r/>
            <w:r>
              <w:rPr>
                <w:rFonts w:ascii="Aptos" w:hAnsi="Aptos"/>
                <w:b w:val="0"/>
                <w:sz w:val="16"/>
              </w:rPr>
              <w:t>3</w:t>
            </w:r>
          </w:p>
        </w:tc>
        <w:tc>
          <w:tcPr>
            <w:tcW w:type="dxa" w:w="2268"/>
            <w:vAlign w:val="center"/>
            <w:tcMar>
              <w:top w:w="80" w:type="dxa"/>
              <w:left w:w="90" w:type="dxa"/>
              <w:bottom w:w="80" w:type="dxa"/>
              <w:right w:w="90" w:type="dxa"/>
            </w:tcMar>
          </w:tcPr>
          <w:p>
            <w:r/>
            <w:r>
              <w:rPr>
                <w:rFonts w:ascii="Aptos" w:hAnsi="Aptos"/>
                <w:b w:val="0"/>
                <w:sz w:val="16"/>
              </w:rPr>
              <w:t>Inline Lunge</w:t>
            </w:r>
          </w:p>
        </w:tc>
        <w:tc>
          <w:tcPr>
            <w:tcW w:type="dxa" w:w="6123"/>
            <w:vAlign w:val="center"/>
            <w:tcMar>
              <w:top w:w="80" w:type="dxa"/>
              <w:left w:w="90" w:type="dxa"/>
              <w:bottom w:w="80" w:type="dxa"/>
              <w:right w:w="90" w:type="dxa"/>
            </w:tcMar>
          </w:tcPr>
          <w:p>
            <w:r/>
            <w:r>
              <w:rPr>
                <w:rFonts w:ascii="Aptos" w:hAnsi="Aptos"/>
                <w:b w:val="0"/>
                <w:sz w:val="16"/>
              </w:rPr>
              <w:t>Control en zancada, desaceleración, estabilidad de tronco y movilidad de miembros inferiores.</w:t>
            </w:r>
          </w:p>
        </w:tc>
      </w:tr>
      <w:tr>
        <w:tc>
          <w:tcPr>
            <w:tcW w:type="dxa" w:w="397"/>
            <w:vAlign w:val="center"/>
            <w:shd w:fill="F3F6F9"/>
            <w:tcMar>
              <w:top w:w="80" w:type="dxa"/>
              <w:left w:w="90" w:type="dxa"/>
              <w:bottom w:w="80" w:type="dxa"/>
              <w:right w:w="90" w:type="dxa"/>
            </w:tcMar>
          </w:tcPr>
          <w:p>
            <w:r/>
            <w:r>
              <w:rPr>
                <w:rFonts w:ascii="Aptos" w:hAnsi="Aptos"/>
                <w:b w:val="0"/>
                <w:sz w:val="16"/>
              </w:rPr>
              <w:t>4</w:t>
            </w:r>
          </w:p>
        </w:tc>
        <w:tc>
          <w:tcPr>
            <w:tcW w:type="dxa" w:w="2268"/>
            <w:vAlign w:val="center"/>
            <w:shd w:fill="F3F6F9"/>
            <w:tcMar>
              <w:top w:w="80" w:type="dxa"/>
              <w:left w:w="90" w:type="dxa"/>
              <w:bottom w:w="80" w:type="dxa"/>
              <w:right w:w="90" w:type="dxa"/>
            </w:tcMar>
          </w:tcPr>
          <w:p>
            <w:r/>
            <w:r>
              <w:rPr>
                <w:rFonts w:ascii="Aptos" w:hAnsi="Aptos"/>
                <w:b w:val="0"/>
                <w:sz w:val="16"/>
              </w:rPr>
              <w:t>Shoulder Mobility</w:t>
            </w:r>
          </w:p>
        </w:tc>
        <w:tc>
          <w:tcPr>
            <w:tcW w:type="dxa" w:w="6123"/>
            <w:vAlign w:val="center"/>
            <w:shd w:fill="F3F6F9"/>
            <w:tcMar>
              <w:top w:w="80" w:type="dxa"/>
              <w:left w:w="90" w:type="dxa"/>
              <w:bottom w:w="80" w:type="dxa"/>
              <w:right w:w="90" w:type="dxa"/>
            </w:tcMar>
          </w:tcPr>
          <w:p>
            <w:r/>
            <w:r>
              <w:rPr>
                <w:rFonts w:ascii="Aptos" w:hAnsi="Aptos"/>
                <w:b w:val="0"/>
                <w:sz w:val="16"/>
              </w:rPr>
              <w:t>Movilidad recíproca de hombro, escápula y columna torácica.</w:t>
            </w:r>
          </w:p>
        </w:tc>
      </w:tr>
      <w:tr>
        <w:tc>
          <w:tcPr>
            <w:tcW w:type="dxa" w:w="397"/>
            <w:vAlign w:val="center"/>
            <w:tcMar>
              <w:top w:w="80" w:type="dxa"/>
              <w:left w:w="90" w:type="dxa"/>
              <w:bottom w:w="80" w:type="dxa"/>
              <w:right w:w="90" w:type="dxa"/>
            </w:tcMar>
          </w:tcPr>
          <w:p>
            <w:r/>
            <w:r>
              <w:rPr>
                <w:rFonts w:ascii="Aptos" w:hAnsi="Aptos"/>
                <w:b w:val="0"/>
                <w:sz w:val="16"/>
              </w:rPr>
              <w:t>5</w:t>
            </w:r>
          </w:p>
        </w:tc>
        <w:tc>
          <w:tcPr>
            <w:tcW w:type="dxa" w:w="2268"/>
            <w:vAlign w:val="center"/>
            <w:tcMar>
              <w:top w:w="80" w:type="dxa"/>
              <w:left w:w="90" w:type="dxa"/>
              <w:bottom w:w="80" w:type="dxa"/>
              <w:right w:w="90" w:type="dxa"/>
            </w:tcMar>
          </w:tcPr>
          <w:p>
            <w:r/>
            <w:r>
              <w:rPr>
                <w:rFonts w:ascii="Aptos" w:hAnsi="Aptos"/>
                <w:b w:val="0"/>
                <w:sz w:val="16"/>
              </w:rPr>
              <w:t>Active Straight-Leg Raise</w:t>
            </w:r>
          </w:p>
        </w:tc>
        <w:tc>
          <w:tcPr>
            <w:tcW w:type="dxa" w:w="6123"/>
            <w:vAlign w:val="center"/>
            <w:tcMar>
              <w:top w:w="80" w:type="dxa"/>
              <w:left w:w="90" w:type="dxa"/>
              <w:bottom w:w="80" w:type="dxa"/>
              <w:right w:w="90" w:type="dxa"/>
            </w:tcMar>
          </w:tcPr>
          <w:p>
            <w:r/>
            <w:r>
              <w:rPr>
                <w:rFonts w:ascii="Aptos" w:hAnsi="Aptos"/>
                <w:b w:val="0"/>
                <w:sz w:val="16"/>
              </w:rPr>
              <w:t>Movilidad activa de cadera y disociación de miembros inferiores con pelvis estable.</w:t>
            </w:r>
          </w:p>
        </w:tc>
      </w:tr>
      <w:tr>
        <w:tc>
          <w:tcPr>
            <w:tcW w:type="dxa" w:w="397"/>
            <w:vAlign w:val="center"/>
            <w:shd w:fill="F3F6F9"/>
            <w:tcMar>
              <w:top w:w="80" w:type="dxa"/>
              <w:left w:w="90" w:type="dxa"/>
              <w:bottom w:w="80" w:type="dxa"/>
              <w:right w:w="90" w:type="dxa"/>
            </w:tcMar>
          </w:tcPr>
          <w:p>
            <w:r/>
            <w:r>
              <w:rPr>
                <w:rFonts w:ascii="Aptos" w:hAnsi="Aptos"/>
                <w:b w:val="0"/>
                <w:sz w:val="16"/>
              </w:rPr>
              <w:t>6</w:t>
            </w:r>
          </w:p>
        </w:tc>
        <w:tc>
          <w:tcPr>
            <w:tcW w:type="dxa" w:w="2268"/>
            <w:vAlign w:val="center"/>
            <w:shd w:fill="F3F6F9"/>
            <w:tcMar>
              <w:top w:w="80" w:type="dxa"/>
              <w:left w:w="90" w:type="dxa"/>
              <w:bottom w:w="80" w:type="dxa"/>
              <w:right w:w="90" w:type="dxa"/>
            </w:tcMar>
          </w:tcPr>
          <w:p>
            <w:r/>
            <w:r>
              <w:rPr>
                <w:rFonts w:ascii="Aptos" w:hAnsi="Aptos"/>
                <w:b w:val="0"/>
                <w:sz w:val="16"/>
              </w:rPr>
              <w:t>Trunk Stability Push-Up</w:t>
            </w:r>
          </w:p>
        </w:tc>
        <w:tc>
          <w:tcPr>
            <w:tcW w:type="dxa" w:w="6123"/>
            <w:vAlign w:val="center"/>
            <w:shd w:fill="F3F6F9"/>
            <w:tcMar>
              <w:top w:w="80" w:type="dxa"/>
              <w:left w:w="90" w:type="dxa"/>
              <w:bottom w:w="80" w:type="dxa"/>
              <w:right w:w="90" w:type="dxa"/>
            </w:tcMar>
          </w:tcPr>
          <w:p>
            <w:r/>
            <w:r>
              <w:rPr>
                <w:rFonts w:ascii="Aptos" w:hAnsi="Aptos"/>
                <w:b w:val="0"/>
                <w:sz w:val="16"/>
              </w:rPr>
              <w:t>Estabilidad refleja del tronco en el plano sagital.</w:t>
            </w:r>
          </w:p>
        </w:tc>
      </w:tr>
      <w:tr>
        <w:tc>
          <w:tcPr>
            <w:tcW w:type="dxa" w:w="397"/>
            <w:vAlign w:val="center"/>
            <w:tcMar>
              <w:top w:w="80" w:type="dxa"/>
              <w:left w:w="90" w:type="dxa"/>
              <w:bottom w:w="80" w:type="dxa"/>
              <w:right w:w="90" w:type="dxa"/>
            </w:tcMar>
          </w:tcPr>
          <w:p>
            <w:r/>
            <w:r>
              <w:rPr>
                <w:rFonts w:ascii="Aptos" w:hAnsi="Aptos"/>
                <w:b w:val="0"/>
                <w:sz w:val="16"/>
              </w:rPr>
              <w:t>7</w:t>
            </w:r>
          </w:p>
        </w:tc>
        <w:tc>
          <w:tcPr>
            <w:tcW w:type="dxa" w:w="2268"/>
            <w:vAlign w:val="center"/>
            <w:tcMar>
              <w:top w:w="80" w:type="dxa"/>
              <w:left w:w="90" w:type="dxa"/>
              <w:bottom w:w="80" w:type="dxa"/>
              <w:right w:w="90" w:type="dxa"/>
            </w:tcMar>
          </w:tcPr>
          <w:p>
            <w:r/>
            <w:r>
              <w:rPr>
                <w:rFonts w:ascii="Aptos" w:hAnsi="Aptos"/>
                <w:b w:val="0"/>
                <w:sz w:val="16"/>
              </w:rPr>
              <w:t>Rotary Stability</w:t>
            </w:r>
          </w:p>
        </w:tc>
        <w:tc>
          <w:tcPr>
            <w:tcW w:type="dxa" w:w="6123"/>
            <w:vAlign w:val="center"/>
            <w:tcMar>
              <w:top w:w="80" w:type="dxa"/>
              <w:left w:w="90" w:type="dxa"/>
              <w:bottom w:w="80" w:type="dxa"/>
              <w:right w:w="90" w:type="dxa"/>
            </w:tcMar>
          </w:tcPr>
          <w:p>
            <w:r/>
            <w:r>
              <w:rPr>
                <w:rFonts w:ascii="Aptos" w:hAnsi="Aptos"/>
                <w:b w:val="0"/>
                <w:sz w:val="16"/>
              </w:rPr>
              <w:t>Control multiplanar, transferencia de fuerza y estabilidad cruzada.</w:t>
            </w:r>
          </w:p>
        </w:tc>
      </w:tr>
    </w:tbl>
    <w:p>
      <w:pPr>
        <w:spacing w:after="20"/>
      </w:pPr>
    </w:p>
    <w:p>
      <w:pPr>
        <w:pStyle w:val="Heading2"/>
        <w:keepNext/>
        <w:spacing w:before="160" w:after="80"/>
      </w:pPr>
      <w:r>
        <w:t>Puntuación de referencia</w:t>
      </w:r>
    </w:p>
    <w:tbl>
      <w:tblPr>
        <w:tblStyle w:val="TableGrid"/>
        <w:tblW w:type="auto" w:w="0"/>
        <w:jc w:val="center"/>
        <w:tblLook w:firstColumn="1" w:firstRow="1" w:lastColumn="0" w:lastRow="0" w:noHBand="0" w:noVBand="1" w:val="04A0"/>
      </w:tblPr>
      <w:tblGrid>
        <w:gridCol w:w="5100"/>
        <w:gridCol w:w="5100"/>
      </w:tblGrid>
      <w:tr>
        <w:tc>
          <w:tcPr>
            <w:tcW w:type="dxa" w:w="1247"/>
            <w:vAlign w:val="center"/>
            <w:shd w:fill="17365D"/>
            <w:tcMar>
              <w:top w:w="80" w:type="dxa"/>
              <w:left w:w="90" w:type="dxa"/>
              <w:bottom w:w="80" w:type="dxa"/>
              <w:right w:w="90" w:type="dxa"/>
            </w:tcMar>
          </w:tcPr>
          <w:p>
            <w:pPr>
              <w:jc w:val="center"/>
            </w:pPr>
            <w:r/>
            <w:r>
              <w:rPr>
                <w:rFonts w:ascii="Aptos" w:hAnsi="Aptos"/>
                <w:b/>
                <w:color w:val="FFFFFF"/>
                <w:sz w:val="16"/>
              </w:rPr>
              <w:t>Puntuación</w:t>
            </w:r>
          </w:p>
        </w:tc>
        <w:tc>
          <w:tcPr>
            <w:tcW w:type="dxa" w:w="7483"/>
            <w:vAlign w:val="center"/>
            <w:shd w:fill="17365D"/>
            <w:tcMar>
              <w:top w:w="80" w:type="dxa"/>
              <w:left w:w="90" w:type="dxa"/>
              <w:bottom w:w="80" w:type="dxa"/>
              <w:right w:w="90" w:type="dxa"/>
            </w:tcMar>
          </w:tcPr>
          <w:p>
            <w:pPr>
              <w:jc w:val="center"/>
            </w:pPr>
            <w:r/>
            <w:r>
              <w:rPr>
                <w:rFonts w:ascii="Aptos" w:hAnsi="Aptos"/>
                <w:b/>
                <w:color w:val="FFFFFF"/>
                <w:sz w:val="16"/>
              </w:rPr>
              <w:t>Interpretación</w:t>
            </w:r>
          </w:p>
        </w:tc>
      </w:tr>
      <w:tr>
        <w:tc>
          <w:tcPr>
            <w:tcW w:type="dxa" w:w="1247"/>
            <w:vAlign w:val="center"/>
            <w:tcMar>
              <w:top w:w="80" w:type="dxa"/>
              <w:left w:w="90" w:type="dxa"/>
              <w:bottom w:w="80" w:type="dxa"/>
              <w:right w:w="90" w:type="dxa"/>
            </w:tcMar>
          </w:tcPr>
          <w:p>
            <w:r/>
            <w:r>
              <w:rPr>
                <w:rFonts w:ascii="Aptos" w:hAnsi="Aptos"/>
                <w:b w:val="0"/>
                <w:sz w:val="16"/>
              </w:rPr>
              <w:t>3</w:t>
            </w:r>
          </w:p>
        </w:tc>
        <w:tc>
          <w:tcPr>
            <w:tcW w:type="dxa" w:w="7483"/>
            <w:vAlign w:val="center"/>
            <w:tcMar>
              <w:top w:w="80" w:type="dxa"/>
              <w:left w:w="90" w:type="dxa"/>
              <w:bottom w:w="80" w:type="dxa"/>
              <w:right w:w="90" w:type="dxa"/>
            </w:tcMar>
          </w:tcPr>
          <w:p>
            <w:r/>
            <w:r>
              <w:rPr>
                <w:rFonts w:ascii="Aptos" w:hAnsi="Aptos"/>
                <w:b w:val="0"/>
                <w:sz w:val="16"/>
              </w:rPr>
              <w:t>Ejecuta el patrón según los criterios establecidos, sin compensaciones.</w:t>
            </w:r>
          </w:p>
        </w:tc>
      </w:tr>
      <w:tr>
        <w:tc>
          <w:tcPr>
            <w:tcW w:type="dxa" w:w="1247"/>
            <w:vAlign w:val="center"/>
            <w:shd w:fill="F3F6F9"/>
            <w:tcMar>
              <w:top w:w="80" w:type="dxa"/>
              <w:left w:w="90" w:type="dxa"/>
              <w:bottom w:w="80" w:type="dxa"/>
              <w:right w:w="90" w:type="dxa"/>
            </w:tcMar>
          </w:tcPr>
          <w:p>
            <w:r/>
            <w:r>
              <w:rPr>
                <w:rFonts w:ascii="Aptos" w:hAnsi="Aptos"/>
                <w:b w:val="0"/>
                <w:sz w:val="16"/>
              </w:rPr>
              <w:t>2</w:t>
            </w:r>
          </w:p>
        </w:tc>
        <w:tc>
          <w:tcPr>
            <w:tcW w:type="dxa" w:w="7483"/>
            <w:vAlign w:val="center"/>
            <w:shd w:fill="F3F6F9"/>
            <w:tcMar>
              <w:top w:w="80" w:type="dxa"/>
              <w:left w:w="90" w:type="dxa"/>
              <w:bottom w:w="80" w:type="dxa"/>
              <w:right w:w="90" w:type="dxa"/>
            </w:tcMar>
          </w:tcPr>
          <w:p>
            <w:r/>
            <w:r>
              <w:rPr>
                <w:rFonts w:ascii="Aptos" w:hAnsi="Aptos"/>
                <w:b w:val="0"/>
                <w:sz w:val="16"/>
              </w:rPr>
              <w:t>Completa el patrón, pero necesita compensaciones o presenta mecánica deficiente.</w:t>
            </w:r>
          </w:p>
        </w:tc>
      </w:tr>
      <w:tr>
        <w:tc>
          <w:tcPr>
            <w:tcW w:type="dxa" w:w="1247"/>
            <w:vAlign w:val="center"/>
            <w:tcMar>
              <w:top w:w="80" w:type="dxa"/>
              <w:left w:w="90" w:type="dxa"/>
              <w:bottom w:w="80" w:type="dxa"/>
              <w:right w:w="90" w:type="dxa"/>
            </w:tcMar>
          </w:tcPr>
          <w:p>
            <w:r/>
            <w:r>
              <w:rPr>
                <w:rFonts w:ascii="Aptos" w:hAnsi="Aptos"/>
                <w:b w:val="0"/>
                <w:sz w:val="16"/>
              </w:rPr>
              <w:t>1</w:t>
            </w:r>
          </w:p>
        </w:tc>
        <w:tc>
          <w:tcPr>
            <w:tcW w:type="dxa" w:w="7483"/>
            <w:vAlign w:val="center"/>
            <w:tcMar>
              <w:top w:w="80" w:type="dxa"/>
              <w:left w:w="90" w:type="dxa"/>
              <w:bottom w:w="80" w:type="dxa"/>
              <w:right w:w="90" w:type="dxa"/>
            </w:tcMar>
          </w:tcPr>
          <w:p>
            <w:r/>
            <w:r>
              <w:rPr>
                <w:rFonts w:ascii="Aptos" w:hAnsi="Aptos"/>
                <w:b w:val="0"/>
                <w:sz w:val="16"/>
              </w:rPr>
              <w:t>No puede completar el patrón incluso utilizando compensaciones.</w:t>
            </w:r>
          </w:p>
        </w:tc>
      </w:tr>
      <w:tr>
        <w:tc>
          <w:tcPr>
            <w:tcW w:type="dxa" w:w="1247"/>
            <w:vAlign w:val="center"/>
            <w:shd w:fill="F3F6F9"/>
            <w:tcMar>
              <w:top w:w="80" w:type="dxa"/>
              <w:left w:w="90" w:type="dxa"/>
              <w:bottom w:w="80" w:type="dxa"/>
              <w:right w:w="90" w:type="dxa"/>
            </w:tcMar>
          </w:tcPr>
          <w:p>
            <w:r/>
            <w:r>
              <w:rPr>
                <w:rFonts w:ascii="Aptos" w:hAnsi="Aptos"/>
                <w:b w:val="0"/>
                <w:sz w:val="16"/>
              </w:rPr>
              <w:t>0</w:t>
            </w:r>
          </w:p>
        </w:tc>
        <w:tc>
          <w:tcPr>
            <w:tcW w:type="dxa" w:w="7483"/>
            <w:vAlign w:val="center"/>
            <w:shd w:fill="F3F6F9"/>
            <w:tcMar>
              <w:top w:w="80" w:type="dxa"/>
              <w:left w:w="90" w:type="dxa"/>
              <w:bottom w:w="80" w:type="dxa"/>
              <w:right w:w="90" w:type="dxa"/>
            </w:tcMar>
          </w:tcPr>
          <w:p>
            <w:r/>
            <w:r>
              <w:rPr>
                <w:rFonts w:ascii="Aptos" w:hAnsi="Aptos"/>
                <w:b w:val="0"/>
                <w:sz w:val="16"/>
              </w:rPr>
              <w:t>Aparece dolor durante el movimiento o en una prueba de limpieza asociada.</w:t>
            </w:r>
          </w:p>
        </w:tc>
      </w:tr>
    </w:tbl>
    <w:p>
      <w:pPr>
        <w:spacing w:after="20"/>
      </w:pPr>
    </w:p>
    <w:p>
      <w:pPr>
        <w:pStyle w:val="ListBullet"/>
        <w:spacing w:after="40"/>
      </w:pPr>
      <w:r>
        <w:t>En patrones bilaterales se registra el lado derecho y el izquierdo; para el total se utiliza el valor más bajo.</w:t>
      </w:r>
    </w:p>
    <w:p>
      <w:pPr>
        <w:pStyle w:val="ListBullet"/>
        <w:spacing w:after="40"/>
      </w:pPr>
      <w:r>
        <w:t>La suma máxima es 21 puntos. Conviene registrar también las asimetrías, ya que el total por sí solo puede ocultarlas.</w:t>
      </w:r>
    </w:p>
    <w:p>
      <w:pPr>
        <w:pStyle w:val="ListBullet"/>
        <w:spacing w:after="40"/>
      </w:pPr>
      <w:r>
        <w:t>Si aparece dolor (0), la prioridad es valoración por un profesional sanitario antes de cargar ese patrón. [1]</w:t>
      </w:r>
    </w:p>
    <w:tbl>
      <w:tblPr>
        <w:tblStyle w:val="TableGrid"/>
        <w:tblW w:type="auto" w:w="0"/>
        <w:jc w:val="center"/>
        <w:tblLook w:firstColumn="1" w:firstRow="1" w:lastColumn="0" w:lastRow="0" w:noHBand="0" w:noVBand="1" w:val="04A0"/>
      </w:tblPr>
      <w:tblGrid>
        <w:gridCol w:w="10200"/>
      </w:tblGrid>
      <w:tr>
        <w:tc>
          <w:tcPr>
            <w:tcW w:type="dxa" w:w="10200"/>
            <w:shd w:fill="EAF2F8"/>
            <w:tcMar>
              <w:top w:w="80" w:type="dxa"/>
              <w:left w:w="90" w:type="dxa"/>
              <w:bottom w:w="80" w:type="dxa"/>
              <w:right w:w="90" w:type="dxa"/>
            </w:tcMar>
          </w:tcPr>
          <w:p>
            <w:pPr>
              <w:spacing w:after="40"/>
            </w:pPr>
            <w:r>
              <w:rPr>
                <w:i/>
                <w:sz w:val="17"/>
              </w:rPr>
              <w:t>Evitar utilizar un único punto de corte del total FMS como “predicción de lesión”. La utilidad práctica principal del FMS es describir el perfil de movimiento y guiar la reevaluación.</w:t>
            </w:r>
          </w:p>
        </w:tc>
      </w:tr>
    </w:tbl>
    <w:p>
      <w:pPr>
        <w:spacing w:after="20"/>
      </w:pPr>
    </w:p>
    <w:p>
      <w:r>
        <w:br w:type="page"/>
      </w:r>
    </w:p>
    <w:p>
      <w:pPr>
        <w:pStyle w:val="Heading1"/>
        <w:keepNext/>
        <w:spacing w:before="160" w:after="80"/>
      </w:pPr>
      <w:r>
        <w:t>3. Fuerza de agarre de mano · Handgrip</w:t>
      </w:r>
    </w:p>
    <w:p>
      <w:r>
        <w:t>La dinamometría de mano estima la fuerza isométrica máxima de prensión. Es rápida, reproducible si se estandariza la posición y útil como indicador de fuerza general y función muscular.</w:t>
      </w:r>
    </w:p>
    <w:p>
      <w:pPr>
        <w:pStyle w:val="Heading2"/>
        <w:keepNext/>
        <w:spacing w:before="160" w:after="80"/>
      </w:pPr>
      <w:r>
        <w:t>Protocolo recomendado</w:t>
      </w:r>
    </w:p>
    <w:p>
      <w:pPr>
        <w:pStyle w:val="ListBullet"/>
        <w:spacing w:after="40"/>
      </w:pPr>
      <w:r>
        <w:t>Dinamómetro ajustado al tamaño de la mano. Registrar modelo y posición del mango.</w:t>
      </w:r>
    </w:p>
    <w:p>
      <w:pPr>
        <w:pStyle w:val="ListBullet"/>
        <w:spacing w:after="40"/>
      </w:pPr>
      <w:r>
        <w:t>Posición estandarizada: sentado o de pie, hombro neutro, codo aproximadamente a 90° si se usa el protocolo clínico clásico; mantener la misma posición en futuras mediciones.</w:t>
      </w:r>
    </w:p>
    <w:p>
      <w:pPr>
        <w:pStyle w:val="ListBullet"/>
        <w:spacing w:after="40"/>
      </w:pPr>
      <w:r>
        <w:t>Realizar 2–3 intentos por mano, con 30–60 s de recuperación; registrar el mejor valor y la mano dominante.</w:t>
      </w:r>
    </w:p>
    <w:p>
      <w:pPr>
        <w:pStyle w:val="ListBullet"/>
        <w:spacing w:after="40"/>
      </w:pPr>
      <w:r>
        <w:t>Evitar flexionar el tronco o apoyar el dinamómetro contra el cuerpo.</w:t>
      </w:r>
    </w:p>
    <w:p>
      <w:pPr>
        <w:pStyle w:val="Heading2"/>
        <w:keepNext/>
        <w:spacing w:before="160" w:after="80"/>
      </w:pPr>
      <w:r>
        <w:t>Tabla de referencia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381"/>
            <w:vAlign w:val="center"/>
            <w:shd w:fill="17365D"/>
            <w:tcMar>
              <w:top w:w="80" w:type="dxa"/>
              <w:left w:w="90" w:type="dxa"/>
              <w:bottom w:w="80" w:type="dxa"/>
              <w:right w:w="90" w:type="dxa"/>
            </w:tcMar>
          </w:tcPr>
          <w:p>
            <w:pPr>
              <w:jc w:val="center"/>
            </w:pPr>
            <w:r/>
            <w:r>
              <w:rPr>
                <w:rFonts w:ascii="Aptos" w:hAnsi="Aptos"/>
                <w:b/>
                <w:color w:val="FFFFFF"/>
                <w:sz w:val="16"/>
              </w:rPr>
              <w:t>Referencia</w:t>
            </w:r>
          </w:p>
        </w:tc>
        <w:tc>
          <w:tcPr>
            <w:tcW w:type="dxa" w:w="1701"/>
            <w:vAlign w:val="center"/>
            <w:shd w:fill="17365D"/>
            <w:tcMar>
              <w:top w:w="80" w:type="dxa"/>
              <w:left w:w="90" w:type="dxa"/>
              <w:bottom w:w="80" w:type="dxa"/>
              <w:right w:w="90" w:type="dxa"/>
            </w:tcMar>
          </w:tcPr>
          <w:p>
            <w:pPr>
              <w:jc w:val="center"/>
            </w:pPr>
            <w:r/>
            <w:r>
              <w:rPr>
                <w:rFonts w:ascii="Aptos" w:hAnsi="Aptos"/>
                <w:b/>
                <w:color w:val="FFFFFF"/>
                <w:sz w:val="16"/>
              </w:rPr>
              <w:t>Hombres</w:t>
            </w:r>
          </w:p>
        </w:tc>
        <w:tc>
          <w:tcPr>
            <w:tcW w:type="dxa" w:w="1701"/>
            <w:vAlign w:val="center"/>
            <w:shd w:fill="17365D"/>
            <w:tcMar>
              <w:top w:w="80" w:type="dxa"/>
              <w:left w:w="90" w:type="dxa"/>
              <w:bottom w:w="80" w:type="dxa"/>
              <w:right w:w="90" w:type="dxa"/>
            </w:tcMar>
          </w:tcPr>
          <w:p>
            <w:pPr>
              <w:jc w:val="center"/>
            </w:pPr>
            <w:r/>
            <w:r>
              <w:rPr>
                <w:rFonts w:ascii="Aptos" w:hAnsi="Aptos"/>
                <w:b/>
                <w:color w:val="FFFFFF"/>
                <w:sz w:val="16"/>
              </w:rPr>
              <w:t>Mujeres</w:t>
            </w:r>
          </w:p>
        </w:tc>
        <w:tc>
          <w:tcPr>
            <w:tcW w:type="dxa" w:w="3402"/>
            <w:vAlign w:val="center"/>
            <w:shd w:fill="17365D"/>
            <w:tcMar>
              <w:top w:w="80" w:type="dxa"/>
              <w:left w:w="90" w:type="dxa"/>
              <w:bottom w:w="80" w:type="dxa"/>
              <w:right w:w="90" w:type="dxa"/>
            </w:tcMar>
          </w:tcPr>
          <w:p>
            <w:pPr>
              <w:jc w:val="center"/>
            </w:pPr>
            <w:r/>
            <w:r>
              <w:rPr>
                <w:rFonts w:ascii="Aptos" w:hAnsi="Aptos"/>
                <w:b/>
                <w:color w:val="FFFFFF"/>
                <w:sz w:val="16"/>
              </w:rPr>
              <w:t>Uso</w:t>
            </w:r>
          </w:p>
        </w:tc>
      </w:tr>
      <w:tr>
        <w:tc>
          <w:tcPr>
            <w:tcW w:type="dxa" w:w="2381"/>
            <w:vAlign w:val="center"/>
            <w:tcMar>
              <w:top w:w="80" w:type="dxa"/>
              <w:left w:w="90" w:type="dxa"/>
              <w:bottom w:w="80" w:type="dxa"/>
              <w:right w:w="90" w:type="dxa"/>
            </w:tcMar>
          </w:tcPr>
          <w:p>
            <w:r/>
            <w:r>
              <w:rPr>
                <w:rFonts w:ascii="Aptos" w:hAnsi="Aptos"/>
                <w:b w:val="0"/>
                <w:sz w:val="16"/>
              </w:rPr>
              <w:t>Mediana internacional, 30–39 años</w:t>
            </w:r>
          </w:p>
        </w:tc>
        <w:tc>
          <w:tcPr>
            <w:tcW w:type="dxa" w:w="1701"/>
            <w:vAlign w:val="center"/>
            <w:tcMar>
              <w:top w:w="80" w:type="dxa"/>
              <w:left w:w="90" w:type="dxa"/>
              <w:bottom w:w="80" w:type="dxa"/>
              <w:right w:w="90" w:type="dxa"/>
            </w:tcMar>
          </w:tcPr>
          <w:p>
            <w:r/>
            <w:r>
              <w:rPr>
                <w:rFonts w:ascii="Aptos" w:hAnsi="Aptos"/>
                <w:b w:val="0"/>
                <w:sz w:val="16"/>
              </w:rPr>
              <w:t>≈49,7 kg</w:t>
            </w:r>
          </w:p>
        </w:tc>
        <w:tc>
          <w:tcPr>
            <w:tcW w:type="dxa" w:w="1701"/>
            <w:vAlign w:val="center"/>
            <w:tcMar>
              <w:top w:w="80" w:type="dxa"/>
              <w:left w:w="90" w:type="dxa"/>
              <w:bottom w:w="80" w:type="dxa"/>
              <w:right w:w="90" w:type="dxa"/>
            </w:tcMar>
          </w:tcPr>
          <w:p>
            <w:r/>
            <w:r>
              <w:rPr>
                <w:rFonts w:ascii="Aptos" w:hAnsi="Aptos"/>
                <w:b w:val="0"/>
                <w:sz w:val="16"/>
              </w:rPr>
              <w:t>≈29,7 kg</w:t>
            </w:r>
          </w:p>
        </w:tc>
        <w:tc>
          <w:tcPr>
            <w:tcW w:type="dxa" w:w="3402"/>
            <w:vAlign w:val="center"/>
            <w:tcMar>
              <w:top w:w="80" w:type="dxa"/>
              <w:left w:w="90" w:type="dxa"/>
              <w:bottom w:w="80" w:type="dxa"/>
              <w:right w:w="90" w:type="dxa"/>
            </w:tcMar>
          </w:tcPr>
          <w:p>
            <w:r/>
            <w:r>
              <w:rPr>
                <w:rFonts w:ascii="Aptos" w:hAnsi="Aptos"/>
                <w:b w:val="0"/>
                <w:sz w:val="16"/>
              </w:rPr>
              <w:t>Contexto poblacional; la fuerza alcanza su pico aproximadamente en esta etapa. [2]</w:t>
            </w:r>
          </w:p>
        </w:tc>
      </w:tr>
      <w:tr>
        <w:tc>
          <w:tcPr>
            <w:tcW w:type="dxa" w:w="2381"/>
            <w:vAlign w:val="center"/>
            <w:shd w:fill="F3F6F9"/>
            <w:tcMar>
              <w:top w:w="80" w:type="dxa"/>
              <w:left w:w="90" w:type="dxa"/>
              <w:bottom w:w="80" w:type="dxa"/>
              <w:right w:w="90" w:type="dxa"/>
            </w:tcMar>
          </w:tcPr>
          <w:p>
            <w:r/>
            <w:r>
              <w:rPr>
                <w:rFonts w:ascii="Aptos" w:hAnsi="Aptos"/>
                <w:b w:val="0"/>
                <w:sz w:val="16"/>
              </w:rPr>
              <w:t>EWGSOP2: fuerza de prensión baja</w:t>
            </w:r>
          </w:p>
        </w:tc>
        <w:tc>
          <w:tcPr>
            <w:tcW w:type="dxa" w:w="1701"/>
            <w:vAlign w:val="center"/>
            <w:shd w:fill="F3F6F9"/>
            <w:tcMar>
              <w:top w:w="80" w:type="dxa"/>
              <w:left w:w="90" w:type="dxa"/>
              <w:bottom w:w="80" w:type="dxa"/>
              <w:right w:w="90" w:type="dxa"/>
            </w:tcMar>
          </w:tcPr>
          <w:p>
            <w:r/>
            <w:r>
              <w:rPr>
                <w:rFonts w:ascii="Aptos" w:hAnsi="Aptos"/>
                <w:b w:val="0"/>
                <w:sz w:val="16"/>
              </w:rPr>
              <w:t>&lt;27 kg</w:t>
            </w:r>
          </w:p>
        </w:tc>
        <w:tc>
          <w:tcPr>
            <w:tcW w:type="dxa" w:w="1701"/>
            <w:vAlign w:val="center"/>
            <w:shd w:fill="F3F6F9"/>
            <w:tcMar>
              <w:top w:w="80" w:type="dxa"/>
              <w:left w:w="90" w:type="dxa"/>
              <w:bottom w:w="80" w:type="dxa"/>
              <w:right w:w="90" w:type="dxa"/>
            </w:tcMar>
          </w:tcPr>
          <w:p>
            <w:r/>
            <w:r>
              <w:rPr>
                <w:rFonts w:ascii="Aptos" w:hAnsi="Aptos"/>
                <w:b w:val="0"/>
                <w:sz w:val="16"/>
              </w:rPr>
              <w:t>&lt;16 kg</w:t>
            </w:r>
          </w:p>
        </w:tc>
        <w:tc>
          <w:tcPr>
            <w:tcW w:type="dxa" w:w="3402"/>
            <w:vAlign w:val="center"/>
            <w:shd w:fill="F3F6F9"/>
            <w:tcMar>
              <w:top w:w="80" w:type="dxa"/>
              <w:left w:w="90" w:type="dxa"/>
              <w:bottom w:w="80" w:type="dxa"/>
              <w:right w:w="90" w:type="dxa"/>
            </w:tcMar>
          </w:tcPr>
          <w:p>
            <w:r/>
            <w:r>
              <w:rPr>
                <w:rFonts w:ascii="Aptos" w:hAnsi="Aptos"/>
                <w:b w:val="0"/>
                <w:sz w:val="16"/>
              </w:rPr>
              <w:t>Punto de corte clínico para baja fuerza en el contexto de sarcopenia, especialmente en personas mayores. [3]</w:t>
            </w:r>
          </w:p>
        </w:tc>
      </w:tr>
    </w:tbl>
    <w:p>
      <w:pPr>
        <w:spacing w:after="20"/>
      </w:pPr>
    </w:p>
    <w:tbl>
      <w:tblPr>
        <w:tblStyle w:val="TableGrid"/>
        <w:tblW w:type="auto" w:w="0"/>
        <w:jc w:val="center"/>
        <w:tblLook w:firstColumn="1" w:firstRow="1" w:lastColumn="0" w:lastRow="0" w:noHBand="0" w:noVBand="1" w:val="04A0"/>
      </w:tblPr>
      <w:tblGrid>
        <w:gridCol w:w="10200"/>
      </w:tblGrid>
      <w:tr>
        <w:tc>
          <w:tcPr>
            <w:tcW w:type="dxa" w:w="10200"/>
            <w:shd w:fill="EAF2F8"/>
            <w:tcMar>
              <w:top w:w="80" w:type="dxa"/>
              <w:left w:w="90" w:type="dxa"/>
              <w:bottom w:w="80" w:type="dxa"/>
              <w:right w:w="90" w:type="dxa"/>
            </w:tcMar>
          </w:tcPr>
          <w:p>
            <w:pPr>
              <w:spacing w:after="40"/>
            </w:pPr>
            <w:r>
              <w:rPr>
                <w:i/>
                <w:sz w:val="17"/>
              </w:rPr>
              <w:t>La comparación precisa debe hacerse por sexo, edad, mano, posición y tipo de dinamómetro. Los puntos de corte de sarcopenia no son “objetivos de rendimiento” para deportistas o adultos jóvenes.</w:t>
            </w:r>
          </w:p>
        </w:tc>
      </w:tr>
    </w:tbl>
    <w:p>
      <w:pPr>
        <w:spacing w:after="20"/>
      </w:pPr>
    </w:p>
    <w:p>
      <w:pPr>
        <w:pStyle w:val="Heading2"/>
        <w:keepNext/>
        <w:spacing w:before="160" w:after="80"/>
      </w:pPr>
      <w:r>
        <w:t>Registro sugerido</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701"/>
            <w:vAlign w:val="center"/>
            <w:shd w:fill="17365D"/>
            <w:tcMar>
              <w:top w:w="80" w:type="dxa"/>
              <w:left w:w="90" w:type="dxa"/>
              <w:bottom w:w="80" w:type="dxa"/>
              <w:right w:w="90" w:type="dxa"/>
            </w:tcMar>
          </w:tcPr>
          <w:p>
            <w:pPr>
              <w:jc w:val="center"/>
            </w:pPr>
            <w:r/>
            <w:r>
              <w:rPr>
                <w:rFonts w:ascii="Aptos" w:hAnsi="Aptos"/>
                <w:b/>
                <w:color w:val="FFFFFF"/>
                <w:sz w:val="16"/>
              </w:rPr>
              <w:t>Mano</w:t>
            </w:r>
          </w:p>
        </w:tc>
        <w:tc>
          <w:tcPr>
            <w:tcW w:type="dxa" w:w="1814"/>
            <w:vAlign w:val="center"/>
            <w:shd w:fill="17365D"/>
            <w:tcMar>
              <w:top w:w="80" w:type="dxa"/>
              <w:left w:w="90" w:type="dxa"/>
              <w:bottom w:w="80" w:type="dxa"/>
              <w:right w:w="90" w:type="dxa"/>
            </w:tcMar>
          </w:tcPr>
          <w:p>
            <w:pPr>
              <w:jc w:val="center"/>
            </w:pPr>
            <w:r/>
            <w:r>
              <w:rPr>
                <w:rFonts w:ascii="Aptos" w:hAnsi="Aptos"/>
                <w:b/>
                <w:color w:val="FFFFFF"/>
                <w:sz w:val="16"/>
              </w:rPr>
              <w:t>Intento 1 (kg)</w:t>
            </w:r>
          </w:p>
        </w:tc>
        <w:tc>
          <w:tcPr>
            <w:tcW w:type="dxa" w:w="1814"/>
            <w:vAlign w:val="center"/>
            <w:shd w:fill="17365D"/>
            <w:tcMar>
              <w:top w:w="80" w:type="dxa"/>
              <w:left w:w="90" w:type="dxa"/>
              <w:bottom w:w="80" w:type="dxa"/>
              <w:right w:w="90" w:type="dxa"/>
            </w:tcMar>
          </w:tcPr>
          <w:p>
            <w:pPr>
              <w:jc w:val="center"/>
            </w:pPr>
            <w:r/>
            <w:r>
              <w:rPr>
                <w:rFonts w:ascii="Aptos" w:hAnsi="Aptos"/>
                <w:b/>
                <w:color w:val="FFFFFF"/>
                <w:sz w:val="16"/>
              </w:rPr>
              <w:t>Intento 2 (kg)</w:t>
            </w:r>
          </w:p>
        </w:tc>
        <w:tc>
          <w:tcPr>
            <w:tcW w:type="dxa" w:w="1814"/>
            <w:vAlign w:val="center"/>
            <w:shd w:fill="17365D"/>
            <w:tcMar>
              <w:top w:w="80" w:type="dxa"/>
              <w:left w:w="90" w:type="dxa"/>
              <w:bottom w:w="80" w:type="dxa"/>
              <w:right w:w="90" w:type="dxa"/>
            </w:tcMar>
          </w:tcPr>
          <w:p>
            <w:pPr>
              <w:jc w:val="center"/>
            </w:pPr>
            <w:r/>
            <w:r>
              <w:rPr>
                <w:rFonts w:ascii="Aptos" w:hAnsi="Aptos"/>
                <w:b/>
                <w:color w:val="FFFFFF"/>
                <w:sz w:val="16"/>
              </w:rPr>
              <w:t>Intento 3 (kg)</w:t>
            </w:r>
          </w:p>
        </w:tc>
        <w:tc>
          <w:tcPr>
            <w:tcW w:type="dxa" w:w="1814"/>
            <w:vAlign w:val="center"/>
            <w:shd w:fill="17365D"/>
            <w:tcMar>
              <w:top w:w="80" w:type="dxa"/>
              <w:left w:w="90" w:type="dxa"/>
              <w:bottom w:w="80" w:type="dxa"/>
              <w:right w:w="90" w:type="dxa"/>
            </w:tcMar>
          </w:tcPr>
          <w:p>
            <w:pPr>
              <w:jc w:val="center"/>
            </w:pPr>
            <w:r/>
            <w:r>
              <w:rPr>
                <w:rFonts w:ascii="Aptos" w:hAnsi="Aptos"/>
                <w:b/>
                <w:color w:val="FFFFFF"/>
                <w:sz w:val="16"/>
              </w:rPr>
              <w:t>Mejor (kg)</w:t>
            </w:r>
          </w:p>
        </w:tc>
      </w:tr>
      <w:tr>
        <w:tc>
          <w:tcPr>
            <w:tcW w:type="dxa" w:w="1701"/>
            <w:vAlign w:val="center"/>
            <w:tcMar>
              <w:top w:w="80" w:type="dxa"/>
              <w:left w:w="90" w:type="dxa"/>
              <w:bottom w:w="80" w:type="dxa"/>
              <w:right w:w="90" w:type="dxa"/>
            </w:tcMar>
          </w:tcPr>
          <w:p>
            <w:r/>
            <w:r>
              <w:rPr>
                <w:rFonts w:ascii="Aptos" w:hAnsi="Aptos"/>
                <w:b w:val="0"/>
                <w:sz w:val="16"/>
              </w:rPr>
              <w:t>Derecha</w:t>
            </w:r>
          </w:p>
        </w:tc>
        <w:tc>
          <w:tcPr>
            <w:tcW w:type="dxa" w:w="1814"/>
            <w:vAlign w:val="center"/>
            <w:tcMar>
              <w:top w:w="80" w:type="dxa"/>
              <w:left w:w="90" w:type="dxa"/>
              <w:bottom w:w="80" w:type="dxa"/>
              <w:right w:w="90" w:type="dxa"/>
            </w:tcMar>
          </w:tcPr>
          <w:p>
            <w:r/>
            <w:r>
              <w:rPr>
                <w:rFonts w:ascii="Aptos" w:hAnsi="Aptos"/>
                <w:b w:val="0"/>
                <w:sz w:val="16"/>
              </w:rPr>
            </w:r>
          </w:p>
        </w:tc>
        <w:tc>
          <w:tcPr>
            <w:tcW w:type="dxa" w:w="1814"/>
            <w:vAlign w:val="center"/>
            <w:tcMar>
              <w:top w:w="80" w:type="dxa"/>
              <w:left w:w="90" w:type="dxa"/>
              <w:bottom w:w="80" w:type="dxa"/>
              <w:right w:w="90" w:type="dxa"/>
            </w:tcMar>
          </w:tcPr>
          <w:p>
            <w:r/>
            <w:r>
              <w:rPr>
                <w:rFonts w:ascii="Aptos" w:hAnsi="Aptos"/>
                <w:b w:val="0"/>
                <w:sz w:val="16"/>
              </w:rPr>
            </w:r>
          </w:p>
        </w:tc>
        <w:tc>
          <w:tcPr>
            <w:tcW w:type="dxa" w:w="1814"/>
            <w:vAlign w:val="center"/>
            <w:tcMar>
              <w:top w:w="80" w:type="dxa"/>
              <w:left w:w="90" w:type="dxa"/>
              <w:bottom w:w="80" w:type="dxa"/>
              <w:right w:w="90" w:type="dxa"/>
            </w:tcMar>
          </w:tcPr>
          <w:p>
            <w:r/>
            <w:r>
              <w:rPr>
                <w:rFonts w:ascii="Aptos" w:hAnsi="Aptos"/>
                <w:b w:val="0"/>
                <w:sz w:val="16"/>
              </w:rPr>
            </w:r>
          </w:p>
        </w:tc>
        <w:tc>
          <w:tcPr>
            <w:tcW w:type="dxa" w:w="1814"/>
            <w:vAlign w:val="center"/>
            <w:tcMar>
              <w:top w:w="80" w:type="dxa"/>
              <w:left w:w="90" w:type="dxa"/>
              <w:bottom w:w="80" w:type="dxa"/>
              <w:right w:w="90" w:type="dxa"/>
            </w:tcMar>
          </w:tcPr>
          <w:p>
            <w:r/>
            <w:r>
              <w:rPr>
                <w:rFonts w:ascii="Aptos" w:hAnsi="Aptos"/>
                <w:b w:val="0"/>
                <w:sz w:val="16"/>
              </w:rPr>
            </w:r>
          </w:p>
        </w:tc>
      </w:tr>
      <w:tr>
        <w:tc>
          <w:tcPr>
            <w:tcW w:type="dxa" w:w="1701"/>
            <w:vAlign w:val="center"/>
            <w:shd w:fill="F3F6F9"/>
            <w:tcMar>
              <w:top w:w="80" w:type="dxa"/>
              <w:left w:w="90" w:type="dxa"/>
              <w:bottom w:w="80" w:type="dxa"/>
              <w:right w:w="90" w:type="dxa"/>
            </w:tcMar>
          </w:tcPr>
          <w:p>
            <w:r/>
            <w:r>
              <w:rPr>
                <w:rFonts w:ascii="Aptos" w:hAnsi="Aptos"/>
                <w:b w:val="0"/>
                <w:sz w:val="16"/>
              </w:rPr>
              <w:t>Izquierda</w:t>
            </w:r>
          </w:p>
        </w:tc>
        <w:tc>
          <w:tcPr>
            <w:tcW w:type="dxa" w:w="1814"/>
            <w:vAlign w:val="center"/>
            <w:shd w:fill="F3F6F9"/>
            <w:tcMar>
              <w:top w:w="80" w:type="dxa"/>
              <w:left w:w="90" w:type="dxa"/>
              <w:bottom w:w="80" w:type="dxa"/>
              <w:right w:w="90" w:type="dxa"/>
            </w:tcMar>
          </w:tcPr>
          <w:p>
            <w:r/>
            <w:r>
              <w:rPr>
                <w:rFonts w:ascii="Aptos" w:hAnsi="Aptos"/>
                <w:b w:val="0"/>
                <w:sz w:val="16"/>
              </w:rPr>
            </w:r>
          </w:p>
        </w:tc>
        <w:tc>
          <w:tcPr>
            <w:tcW w:type="dxa" w:w="1814"/>
            <w:vAlign w:val="center"/>
            <w:shd w:fill="F3F6F9"/>
            <w:tcMar>
              <w:top w:w="80" w:type="dxa"/>
              <w:left w:w="90" w:type="dxa"/>
              <w:bottom w:w="80" w:type="dxa"/>
              <w:right w:w="90" w:type="dxa"/>
            </w:tcMar>
          </w:tcPr>
          <w:p>
            <w:r/>
            <w:r>
              <w:rPr>
                <w:rFonts w:ascii="Aptos" w:hAnsi="Aptos"/>
                <w:b w:val="0"/>
                <w:sz w:val="16"/>
              </w:rPr>
            </w:r>
          </w:p>
        </w:tc>
        <w:tc>
          <w:tcPr>
            <w:tcW w:type="dxa" w:w="1814"/>
            <w:vAlign w:val="center"/>
            <w:shd w:fill="F3F6F9"/>
            <w:tcMar>
              <w:top w:w="80" w:type="dxa"/>
              <w:left w:w="90" w:type="dxa"/>
              <w:bottom w:w="80" w:type="dxa"/>
              <w:right w:w="90" w:type="dxa"/>
            </w:tcMar>
          </w:tcPr>
          <w:p>
            <w:r/>
            <w:r>
              <w:rPr>
                <w:rFonts w:ascii="Aptos" w:hAnsi="Aptos"/>
                <w:b w:val="0"/>
                <w:sz w:val="16"/>
              </w:rPr>
            </w:r>
          </w:p>
        </w:tc>
        <w:tc>
          <w:tcPr>
            <w:tcW w:type="dxa" w:w="1814"/>
            <w:vAlign w:val="center"/>
            <w:shd w:fill="F3F6F9"/>
            <w:tcMar>
              <w:top w:w="80" w:type="dxa"/>
              <w:left w:w="90" w:type="dxa"/>
              <w:bottom w:w="80" w:type="dxa"/>
              <w:right w:w="90" w:type="dxa"/>
            </w:tcMar>
          </w:tcPr>
          <w:p>
            <w:r/>
            <w:r>
              <w:rPr>
                <w:rFonts w:ascii="Aptos" w:hAnsi="Aptos"/>
                <w:b w:val="0"/>
                <w:sz w:val="16"/>
              </w:rPr>
            </w:r>
          </w:p>
        </w:tc>
      </w:tr>
    </w:tbl>
    <w:p>
      <w:pPr>
        <w:spacing w:after="20"/>
      </w:pPr>
    </w:p>
    <w:p>
      <w:r>
        <w:br w:type="page"/>
      </w:r>
    </w:p>
    <w:p>
      <w:pPr>
        <w:pStyle w:val="Heading1"/>
        <w:keepNext/>
        <w:spacing w:before="160" w:after="80"/>
      </w:pPr>
      <w:r>
        <w:t>4. 30” Chair Stand Test</w:t>
      </w:r>
    </w:p>
    <w:p>
      <w:r>
        <w:t>Evalúa fuerza y resistencia funcional del tren inferior mediante el número de veces que la persona puede levantarse completamente de una silla y volver a sentarse en 30 segundos. El protocolo STEADI del CDC utiliza una silla sin reposabrazos de 17 pulgadas (≈43 cm) y los brazos cruzados sobre el pecho. [4]</w:t>
      </w:r>
    </w:p>
    <w:p>
      <w:pPr>
        <w:pStyle w:val="Heading2"/>
        <w:keepNext/>
        <w:spacing w:before="160" w:after="80"/>
      </w:pPr>
      <w:r>
        <w:t>Protocolo</w:t>
      </w:r>
    </w:p>
    <w:p>
      <w:pPr>
        <w:pStyle w:val="ListBullet"/>
        <w:spacing w:after="40"/>
      </w:pPr>
      <w:r>
        <w:t>Sentarse en el centro de la silla, pies apoyados, espalda recta y brazos cruzados sobre el pecho.</w:t>
      </w:r>
    </w:p>
    <w:p>
      <w:pPr>
        <w:pStyle w:val="ListBullet"/>
        <w:spacing w:after="40"/>
      </w:pPr>
      <w:r>
        <w:t>A la señal, ponerse completamente de pie y volver a sentarse tantas veces como sea posible durante 30 s.</w:t>
      </w:r>
    </w:p>
    <w:p>
      <w:pPr>
        <w:pStyle w:val="ListBullet"/>
        <w:spacing w:after="40"/>
      </w:pPr>
      <w:r>
        <w:t>Si necesita usar los brazos para levantarse, el protocolo STEADI indica detener la prueba y registrar 0.</w:t>
      </w:r>
    </w:p>
    <w:p>
      <w:pPr>
        <w:pStyle w:val="ListBullet"/>
        <w:spacing w:after="40"/>
      </w:pPr>
      <w:r>
        <w:t>Si al terminar los 30 s está más de la mitad del recorrido hacia la bipedestación, se cuenta la repetición. [4]</w:t>
      </w:r>
    </w:p>
    <w:p>
      <w:pPr>
        <w:pStyle w:val="Heading2"/>
        <w:keepNext/>
        <w:spacing w:before="160" w:after="80"/>
      </w:pPr>
      <w:r>
        <w:t>Valores de referencia STEADI · puntuación “por debajo de la media”</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17365D"/>
            <w:tcMar>
              <w:top w:w="80" w:type="dxa"/>
              <w:left w:w="90" w:type="dxa"/>
              <w:bottom w:w="80" w:type="dxa"/>
              <w:right w:w="90" w:type="dxa"/>
            </w:tcMar>
          </w:tcPr>
          <w:p>
            <w:pPr>
              <w:jc w:val="center"/>
            </w:pPr>
            <w:r/>
            <w:r>
              <w:rPr>
                <w:rFonts w:ascii="Aptos" w:hAnsi="Aptos"/>
                <w:b/>
                <w:color w:val="FFFFFF"/>
                <w:sz w:val="16"/>
              </w:rPr>
              <w:t>Edad</w:t>
            </w:r>
          </w:p>
        </w:tc>
        <w:tc>
          <w:tcPr>
            <w:tcW w:type="dxa" w:w="3118"/>
            <w:vAlign w:val="center"/>
            <w:shd w:fill="17365D"/>
            <w:tcMar>
              <w:top w:w="80" w:type="dxa"/>
              <w:left w:w="90" w:type="dxa"/>
              <w:bottom w:w="80" w:type="dxa"/>
              <w:right w:w="90" w:type="dxa"/>
            </w:tcMar>
          </w:tcPr>
          <w:p>
            <w:pPr>
              <w:jc w:val="center"/>
            </w:pPr>
            <w:r/>
            <w:r>
              <w:rPr>
                <w:rFonts w:ascii="Aptos" w:hAnsi="Aptos"/>
                <w:b/>
                <w:color w:val="FFFFFF"/>
                <w:sz w:val="16"/>
              </w:rPr>
              <w:t>Hombres: bajo si &lt;</w:t>
            </w:r>
          </w:p>
        </w:tc>
        <w:tc>
          <w:tcPr>
            <w:tcW w:type="dxa" w:w="3118"/>
            <w:vAlign w:val="center"/>
            <w:shd w:fill="17365D"/>
            <w:tcMar>
              <w:top w:w="80" w:type="dxa"/>
              <w:left w:w="90" w:type="dxa"/>
              <w:bottom w:w="80" w:type="dxa"/>
              <w:right w:w="90" w:type="dxa"/>
            </w:tcMar>
          </w:tcPr>
          <w:p>
            <w:pPr>
              <w:jc w:val="center"/>
            </w:pPr>
            <w:r/>
            <w:r>
              <w:rPr>
                <w:rFonts w:ascii="Aptos" w:hAnsi="Aptos"/>
                <w:b/>
                <w:color w:val="FFFFFF"/>
                <w:sz w:val="16"/>
              </w:rPr>
              <w:t>Mujeres: bajo si &lt;</w:t>
            </w:r>
          </w:p>
        </w:tc>
      </w:tr>
      <w:tr>
        <w:tc>
          <w:tcPr>
            <w:tcW w:type="dxa" w:w="2268"/>
            <w:vAlign w:val="center"/>
            <w:tcMar>
              <w:top w:w="80" w:type="dxa"/>
              <w:left w:w="90" w:type="dxa"/>
              <w:bottom w:w="80" w:type="dxa"/>
              <w:right w:w="90" w:type="dxa"/>
            </w:tcMar>
          </w:tcPr>
          <w:p>
            <w:r/>
            <w:r>
              <w:rPr>
                <w:rFonts w:ascii="Aptos" w:hAnsi="Aptos"/>
                <w:b w:val="0"/>
                <w:sz w:val="16"/>
              </w:rPr>
              <w:t>60–64</w:t>
            </w:r>
          </w:p>
        </w:tc>
        <w:tc>
          <w:tcPr>
            <w:tcW w:type="dxa" w:w="3118"/>
            <w:vAlign w:val="center"/>
            <w:tcMar>
              <w:top w:w="80" w:type="dxa"/>
              <w:left w:w="90" w:type="dxa"/>
              <w:bottom w:w="80" w:type="dxa"/>
              <w:right w:w="90" w:type="dxa"/>
            </w:tcMar>
          </w:tcPr>
          <w:p>
            <w:r/>
            <w:r>
              <w:rPr>
                <w:rFonts w:ascii="Aptos" w:hAnsi="Aptos"/>
                <w:b w:val="0"/>
                <w:sz w:val="16"/>
              </w:rPr>
              <w:t>14</w:t>
            </w:r>
          </w:p>
        </w:tc>
        <w:tc>
          <w:tcPr>
            <w:tcW w:type="dxa" w:w="3118"/>
            <w:vAlign w:val="center"/>
            <w:tcMar>
              <w:top w:w="80" w:type="dxa"/>
              <w:left w:w="90" w:type="dxa"/>
              <w:bottom w:w="80" w:type="dxa"/>
              <w:right w:w="90" w:type="dxa"/>
            </w:tcMar>
          </w:tcPr>
          <w:p>
            <w:r/>
            <w:r>
              <w:rPr>
                <w:rFonts w:ascii="Aptos" w:hAnsi="Aptos"/>
                <w:b w:val="0"/>
                <w:sz w:val="16"/>
              </w:rPr>
              <w:t>12</w:t>
            </w:r>
          </w:p>
        </w:tc>
      </w:tr>
      <w:tr>
        <w:tc>
          <w:tcPr>
            <w:tcW w:type="dxa" w:w="2268"/>
            <w:vAlign w:val="center"/>
            <w:shd w:fill="F3F6F9"/>
            <w:tcMar>
              <w:top w:w="80" w:type="dxa"/>
              <w:left w:w="90" w:type="dxa"/>
              <w:bottom w:w="80" w:type="dxa"/>
              <w:right w:w="90" w:type="dxa"/>
            </w:tcMar>
          </w:tcPr>
          <w:p>
            <w:r/>
            <w:r>
              <w:rPr>
                <w:rFonts w:ascii="Aptos" w:hAnsi="Aptos"/>
                <w:b w:val="0"/>
                <w:sz w:val="16"/>
              </w:rPr>
              <w:t>65–69</w:t>
            </w:r>
          </w:p>
        </w:tc>
        <w:tc>
          <w:tcPr>
            <w:tcW w:type="dxa" w:w="3118"/>
            <w:vAlign w:val="center"/>
            <w:shd w:fill="F3F6F9"/>
            <w:tcMar>
              <w:top w:w="80" w:type="dxa"/>
              <w:left w:w="90" w:type="dxa"/>
              <w:bottom w:w="80" w:type="dxa"/>
              <w:right w:w="90" w:type="dxa"/>
            </w:tcMar>
          </w:tcPr>
          <w:p>
            <w:r/>
            <w:r>
              <w:rPr>
                <w:rFonts w:ascii="Aptos" w:hAnsi="Aptos"/>
                <w:b w:val="0"/>
                <w:sz w:val="16"/>
              </w:rPr>
              <w:t>12</w:t>
            </w:r>
          </w:p>
        </w:tc>
        <w:tc>
          <w:tcPr>
            <w:tcW w:type="dxa" w:w="3118"/>
            <w:vAlign w:val="center"/>
            <w:shd w:fill="F3F6F9"/>
            <w:tcMar>
              <w:top w:w="80" w:type="dxa"/>
              <w:left w:w="90" w:type="dxa"/>
              <w:bottom w:w="80" w:type="dxa"/>
              <w:right w:w="90" w:type="dxa"/>
            </w:tcMar>
          </w:tcPr>
          <w:p>
            <w:r/>
            <w:r>
              <w:rPr>
                <w:rFonts w:ascii="Aptos" w:hAnsi="Aptos"/>
                <w:b w:val="0"/>
                <w:sz w:val="16"/>
              </w:rPr>
              <w:t>11</w:t>
            </w:r>
          </w:p>
        </w:tc>
      </w:tr>
      <w:tr>
        <w:tc>
          <w:tcPr>
            <w:tcW w:type="dxa" w:w="2268"/>
            <w:vAlign w:val="center"/>
            <w:tcMar>
              <w:top w:w="80" w:type="dxa"/>
              <w:left w:w="90" w:type="dxa"/>
              <w:bottom w:w="80" w:type="dxa"/>
              <w:right w:w="90" w:type="dxa"/>
            </w:tcMar>
          </w:tcPr>
          <w:p>
            <w:r/>
            <w:r>
              <w:rPr>
                <w:rFonts w:ascii="Aptos" w:hAnsi="Aptos"/>
                <w:b w:val="0"/>
                <w:sz w:val="16"/>
              </w:rPr>
              <w:t>70–74</w:t>
            </w:r>
          </w:p>
        </w:tc>
        <w:tc>
          <w:tcPr>
            <w:tcW w:type="dxa" w:w="3118"/>
            <w:vAlign w:val="center"/>
            <w:tcMar>
              <w:top w:w="80" w:type="dxa"/>
              <w:left w:w="90" w:type="dxa"/>
              <w:bottom w:w="80" w:type="dxa"/>
              <w:right w:w="90" w:type="dxa"/>
            </w:tcMar>
          </w:tcPr>
          <w:p>
            <w:r/>
            <w:r>
              <w:rPr>
                <w:rFonts w:ascii="Aptos" w:hAnsi="Aptos"/>
                <w:b w:val="0"/>
                <w:sz w:val="16"/>
              </w:rPr>
              <w:t>12</w:t>
            </w:r>
          </w:p>
        </w:tc>
        <w:tc>
          <w:tcPr>
            <w:tcW w:type="dxa" w:w="3118"/>
            <w:vAlign w:val="center"/>
            <w:tcMar>
              <w:top w:w="80" w:type="dxa"/>
              <w:left w:w="90" w:type="dxa"/>
              <w:bottom w:w="80" w:type="dxa"/>
              <w:right w:w="90" w:type="dxa"/>
            </w:tcMar>
          </w:tcPr>
          <w:p>
            <w:r/>
            <w:r>
              <w:rPr>
                <w:rFonts w:ascii="Aptos" w:hAnsi="Aptos"/>
                <w:b w:val="0"/>
                <w:sz w:val="16"/>
              </w:rPr>
              <w:t>10</w:t>
            </w:r>
          </w:p>
        </w:tc>
      </w:tr>
      <w:tr>
        <w:tc>
          <w:tcPr>
            <w:tcW w:type="dxa" w:w="2268"/>
            <w:vAlign w:val="center"/>
            <w:shd w:fill="F3F6F9"/>
            <w:tcMar>
              <w:top w:w="80" w:type="dxa"/>
              <w:left w:w="90" w:type="dxa"/>
              <w:bottom w:w="80" w:type="dxa"/>
              <w:right w:w="90" w:type="dxa"/>
            </w:tcMar>
          </w:tcPr>
          <w:p>
            <w:r/>
            <w:r>
              <w:rPr>
                <w:rFonts w:ascii="Aptos" w:hAnsi="Aptos"/>
                <w:b w:val="0"/>
                <w:sz w:val="16"/>
              </w:rPr>
              <w:t>75–79</w:t>
            </w:r>
          </w:p>
        </w:tc>
        <w:tc>
          <w:tcPr>
            <w:tcW w:type="dxa" w:w="3118"/>
            <w:vAlign w:val="center"/>
            <w:shd w:fill="F3F6F9"/>
            <w:tcMar>
              <w:top w:w="80" w:type="dxa"/>
              <w:left w:w="90" w:type="dxa"/>
              <w:bottom w:w="80" w:type="dxa"/>
              <w:right w:w="90" w:type="dxa"/>
            </w:tcMar>
          </w:tcPr>
          <w:p>
            <w:r/>
            <w:r>
              <w:rPr>
                <w:rFonts w:ascii="Aptos" w:hAnsi="Aptos"/>
                <w:b w:val="0"/>
                <w:sz w:val="16"/>
              </w:rPr>
              <w:t>11</w:t>
            </w:r>
          </w:p>
        </w:tc>
        <w:tc>
          <w:tcPr>
            <w:tcW w:type="dxa" w:w="3118"/>
            <w:vAlign w:val="center"/>
            <w:shd w:fill="F3F6F9"/>
            <w:tcMar>
              <w:top w:w="80" w:type="dxa"/>
              <w:left w:w="90" w:type="dxa"/>
              <w:bottom w:w="80" w:type="dxa"/>
              <w:right w:w="90" w:type="dxa"/>
            </w:tcMar>
          </w:tcPr>
          <w:p>
            <w:r/>
            <w:r>
              <w:rPr>
                <w:rFonts w:ascii="Aptos" w:hAnsi="Aptos"/>
                <w:b w:val="0"/>
                <w:sz w:val="16"/>
              </w:rPr>
              <w:t>10</w:t>
            </w:r>
          </w:p>
        </w:tc>
      </w:tr>
      <w:tr>
        <w:tc>
          <w:tcPr>
            <w:tcW w:type="dxa" w:w="2268"/>
            <w:vAlign w:val="center"/>
            <w:tcMar>
              <w:top w:w="80" w:type="dxa"/>
              <w:left w:w="90" w:type="dxa"/>
              <w:bottom w:w="80" w:type="dxa"/>
              <w:right w:w="90" w:type="dxa"/>
            </w:tcMar>
          </w:tcPr>
          <w:p>
            <w:r/>
            <w:r>
              <w:rPr>
                <w:rFonts w:ascii="Aptos" w:hAnsi="Aptos"/>
                <w:b w:val="0"/>
                <w:sz w:val="16"/>
              </w:rPr>
              <w:t>80–84</w:t>
            </w:r>
          </w:p>
        </w:tc>
        <w:tc>
          <w:tcPr>
            <w:tcW w:type="dxa" w:w="3118"/>
            <w:vAlign w:val="center"/>
            <w:tcMar>
              <w:top w:w="80" w:type="dxa"/>
              <w:left w:w="90" w:type="dxa"/>
              <w:bottom w:w="80" w:type="dxa"/>
              <w:right w:w="90" w:type="dxa"/>
            </w:tcMar>
          </w:tcPr>
          <w:p>
            <w:r/>
            <w:r>
              <w:rPr>
                <w:rFonts w:ascii="Aptos" w:hAnsi="Aptos"/>
                <w:b w:val="0"/>
                <w:sz w:val="16"/>
              </w:rPr>
              <w:t>10</w:t>
            </w:r>
          </w:p>
        </w:tc>
        <w:tc>
          <w:tcPr>
            <w:tcW w:type="dxa" w:w="3118"/>
            <w:vAlign w:val="center"/>
            <w:tcMar>
              <w:top w:w="80" w:type="dxa"/>
              <w:left w:w="90" w:type="dxa"/>
              <w:bottom w:w="80" w:type="dxa"/>
              <w:right w:w="90" w:type="dxa"/>
            </w:tcMar>
          </w:tcPr>
          <w:p>
            <w:r/>
            <w:r>
              <w:rPr>
                <w:rFonts w:ascii="Aptos" w:hAnsi="Aptos"/>
                <w:b w:val="0"/>
                <w:sz w:val="16"/>
              </w:rPr>
              <w:t>9</w:t>
            </w:r>
          </w:p>
        </w:tc>
      </w:tr>
      <w:tr>
        <w:tc>
          <w:tcPr>
            <w:tcW w:type="dxa" w:w="2268"/>
            <w:vAlign w:val="center"/>
            <w:shd w:fill="F3F6F9"/>
            <w:tcMar>
              <w:top w:w="80" w:type="dxa"/>
              <w:left w:w="90" w:type="dxa"/>
              <w:bottom w:w="80" w:type="dxa"/>
              <w:right w:w="90" w:type="dxa"/>
            </w:tcMar>
          </w:tcPr>
          <w:p>
            <w:r/>
            <w:r>
              <w:rPr>
                <w:rFonts w:ascii="Aptos" w:hAnsi="Aptos"/>
                <w:b w:val="0"/>
                <w:sz w:val="16"/>
              </w:rPr>
              <w:t>85–89</w:t>
            </w:r>
          </w:p>
        </w:tc>
        <w:tc>
          <w:tcPr>
            <w:tcW w:type="dxa" w:w="3118"/>
            <w:vAlign w:val="center"/>
            <w:shd w:fill="F3F6F9"/>
            <w:tcMar>
              <w:top w:w="80" w:type="dxa"/>
              <w:left w:w="90" w:type="dxa"/>
              <w:bottom w:w="80" w:type="dxa"/>
              <w:right w:w="90" w:type="dxa"/>
            </w:tcMar>
          </w:tcPr>
          <w:p>
            <w:r/>
            <w:r>
              <w:rPr>
                <w:rFonts w:ascii="Aptos" w:hAnsi="Aptos"/>
                <w:b w:val="0"/>
                <w:sz w:val="16"/>
              </w:rPr>
              <w:t>8</w:t>
            </w:r>
          </w:p>
        </w:tc>
        <w:tc>
          <w:tcPr>
            <w:tcW w:type="dxa" w:w="3118"/>
            <w:vAlign w:val="center"/>
            <w:shd w:fill="F3F6F9"/>
            <w:tcMar>
              <w:top w:w="80" w:type="dxa"/>
              <w:left w:w="90" w:type="dxa"/>
              <w:bottom w:w="80" w:type="dxa"/>
              <w:right w:w="90" w:type="dxa"/>
            </w:tcMar>
          </w:tcPr>
          <w:p>
            <w:r/>
            <w:r>
              <w:rPr>
                <w:rFonts w:ascii="Aptos" w:hAnsi="Aptos"/>
                <w:b w:val="0"/>
                <w:sz w:val="16"/>
              </w:rPr>
              <w:t>8</w:t>
            </w:r>
          </w:p>
        </w:tc>
      </w:tr>
      <w:tr>
        <w:tc>
          <w:tcPr>
            <w:tcW w:type="dxa" w:w="2268"/>
            <w:vAlign w:val="center"/>
            <w:tcMar>
              <w:top w:w="80" w:type="dxa"/>
              <w:left w:w="90" w:type="dxa"/>
              <w:bottom w:w="80" w:type="dxa"/>
              <w:right w:w="90" w:type="dxa"/>
            </w:tcMar>
          </w:tcPr>
          <w:p>
            <w:r/>
            <w:r>
              <w:rPr>
                <w:rFonts w:ascii="Aptos" w:hAnsi="Aptos"/>
                <w:b w:val="0"/>
                <w:sz w:val="16"/>
              </w:rPr>
              <w:t>90–94</w:t>
            </w:r>
          </w:p>
        </w:tc>
        <w:tc>
          <w:tcPr>
            <w:tcW w:type="dxa" w:w="3118"/>
            <w:vAlign w:val="center"/>
            <w:tcMar>
              <w:top w:w="80" w:type="dxa"/>
              <w:left w:w="90" w:type="dxa"/>
              <w:bottom w:w="80" w:type="dxa"/>
              <w:right w:w="90" w:type="dxa"/>
            </w:tcMar>
          </w:tcPr>
          <w:p>
            <w:r/>
            <w:r>
              <w:rPr>
                <w:rFonts w:ascii="Aptos" w:hAnsi="Aptos"/>
                <w:b w:val="0"/>
                <w:sz w:val="16"/>
              </w:rPr>
              <w:t>7</w:t>
            </w:r>
          </w:p>
        </w:tc>
        <w:tc>
          <w:tcPr>
            <w:tcW w:type="dxa" w:w="3118"/>
            <w:vAlign w:val="center"/>
            <w:tcMar>
              <w:top w:w="80" w:type="dxa"/>
              <w:left w:w="90" w:type="dxa"/>
              <w:bottom w:w="80" w:type="dxa"/>
              <w:right w:w="90" w:type="dxa"/>
            </w:tcMar>
          </w:tcPr>
          <w:p>
            <w:r/>
            <w:r>
              <w:rPr>
                <w:rFonts w:ascii="Aptos" w:hAnsi="Aptos"/>
                <w:b w:val="0"/>
                <w:sz w:val="16"/>
              </w:rPr>
              <w:t>4</w:t>
            </w:r>
          </w:p>
        </w:tc>
      </w:tr>
    </w:tbl>
    <w:p>
      <w:pPr>
        <w:spacing w:after="20"/>
      </w:pPr>
    </w:p>
    <w:tbl>
      <w:tblPr>
        <w:tblStyle w:val="TableGrid"/>
        <w:tblW w:type="auto" w:w="0"/>
        <w:jc w:val="center"/>
        <w:tblLook w:firstColumn="1" w:firstRow="1" w:lastColumn="0" w:lastRow="0" w:noHBand="0" w:noVBand="1" w:val="04A0"/>
      </w:tblPr>
      <w:tblGrid>
        <w:gridCol w:w="10200"/>
      </w:tblGrid>
      <w:tr>
        <w:tc>
          <w:tcPr>
            <w:tcW w:type="dxa" w:w="10200"/>
            <w:shd w:fill="EAF2F8"/>
            <w:tcMar>
              <w:top w:w="80" w:type="dxa"/>
              <w:left w:w="90" w:type="dxa"/>
              <w:bottom w:w="80" w:type="dxa"/>
              <w:right w:w="90" w:type="dxa"/>
            </w:tcMar>
          </w:tcPr>
          <w:p>
            <w:pPr>
              <w:spacing w:after="40"/>
            </w:pPr>
            <w:r>
              <w:rPr>
                <w:i/>
                <w:sz w:val="17"/>
              </w:rPr>
              <w:t>Estos valores están diseñados para adultos mayores dentro del marco de prevención de caídas STEADI. Un resultado por debajo del umbral sugiere mayor riesgo y requiere interpretación junto con el resto de la valoración. [4]</w:t>
            </w:r>
          </w:p>
        </w:tc>
      </w:tr>
    </w:tbl>
    <w:p>
      <w:pPr>
        <w:spacing w:after="20"/>
      </w:pPr>
    </w:p>
    <w:p>
      <w:r>
        <w:br w:type="page"/>
      </w:r>
    </w:p>
    <w:p>
      <w:pPr>
        <w:pStyle w:val="Heading1"/>
        <w:keepNext/>
        <w:spacing w:before="160" w:after="80"/>
      </w:pPr>
      <w:r>
        <w:t>5. TUG · Timed Up and Go</w:t>
      </w:r>
    </w:p>
    <w:p>
      <w:r>
        <w:t>El TUG mide movilidad funcional: levantarse de una silla, caminar 3 metros, girar, regresar y sentarse. Integra fuerza de miembros inferiores, velocidad de marcha, equilibrio dinámico y capacidad de giro.</w:t>
      </w:r>
    </w:p>
    <w:p>
      <w:pPr>
        <w:pStyle w:val="Heading2"/>
        <w:keepNext/>
        <w:spacing w:before="160" w:after="80"/>
      </w:pPr>
      <w:r>
        <w:t>Protocolo estandarizado</w:t>
      </w:r>
    </w:p>
    <w:p>
      <w:pPr>
        <w:pStyle w:val="ListBullet"/>
        <w:spacing w:after="40"/>
      </w:pPr>
      <w:r>
        <w:t>Persona sentada con la espalda apoyada y, si usa una ayuda habitual para caminar, mantener la misma en todas las mediciones.</w:t>
      </w:r>
    </w:p>
    <w:p>
      <w:pPr>
        <w:pStyle w:val="ListBullet"/>
        <w:spacing w:after="40"/>
      </w:pPr>
      <w:r>
        <w:t>A la señal “ya”, levantarse, caminar 3 m a un ritmo seguro y habitual, girar, regresar y sentarse.</w:t>
      </w:r>
    </w:p>
    <w:p>
      <w:pPr>
        <w:pStyle w:val="ListBullet"/>
        <w:spacing w:after="40"/>
      </w:pPr>
      <w:r>
        <w:t>Cronometrar desde la señal de inicio hasta que vuelve a quedar sentado de forma estable.</w:t>
      </w:r>
    </w:p>
    <w:p>
      <w:pPr>
        <w:pStyle w:val="ListBullet"/>
        <w:spacing w:after="40"/>
      </w:pPr>
      <w:r>
        <w:t>Registrar además observaciones cualitativas: desequilibrio, pasos cortos, dificultad para girar o necesidad de apoyo.</w:t>
      </w:r>
    </w:p>
    <w:p>
      <w:pPr>
        <w:pStyle w:val="Heading2"/>
        <w:keepNext/>
        <w:spacing w:before="160" w:after="80"/>
      </w:pPr>
      <w:r>
        <w:t>Referencia principal</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7365D"/>
            <w:tcMar>
              <w:top w:w="80" w:type="dxa"/>
              <w:left w:w="90" w:type="dxa"/>
              <w:bottom w:w="80" w:type="dxa"/>
              <w:right w:w="90" w:type="dxa"/>
            </w:tcMar>
          </w:tcPr>
          <w:p>
            <w:pPr>
              <w:jc w:val="center"/>
            </w:pPr>
            <w:r/>
            <w:r>
              <w:rPr>
                <w:rFonts w:ascii="Aptos" w:hAnsi="Aptos"/>
                <w:b/>
                <w:color w:val="FFFFFF"/>
                <w:sz w:val="16"/>
              </w:rPr>
              <w:t>Resultado</w:t>
            </w:r>
          </w:p>
        </w:tc>
        <w:tc>
          <w:tcPr>
            <w:tcW w:type="dxa" w:w="6236"/>
            <w:vAlign w:val="center"/>
            <w:shd w:fill="17365D"/>
            <w:tcMar>
              <w:top w:w="80" w:type="dxa"/>
              <w:left w:w="90" w:type="dxa"/>
              <w:bottom w:w="80" w:type="dxa"/>
              <w:right w:w="90" w:type="dxa"/>
            </w:tcMar>
          </w:tcPr>
          <w:p>
            <w:pPr>
              <w:jc w:val="center"/>
            </w:pPr>
            <w:r/>
            <w:r>
              <w:rPr>
                <w:rFonts w:ascii="Aptos" w:hAnsi="Aptos"/>
                <w:b/>
                <w:color w:val="FFFFFF"/>
                <w:sz w:val="16"/>
              </w:rPr>
              <w:t>Interpretación</w:t>
            </w:r>
          </w:p>
        </w:tc>
      </w:tr>
      <w:tr>
        <w:tc>
          <w:tcPr>
            <w:tcW w:type="dxa" w:w="2268"/>
            <w:vAlign w:val="center"/>
            <w:tcMar>
              <w:top w:w="80" w:type="dxa"/>
              <w:left w:w="90" w:type="dxa"/>
              <w:bottom w:w="80" w:type="dxa"/>
              <w:right w:w="90" w:type="dxa"/>
            </w:tcMar>
          </w:tcPr>
          <w:p>
            <w:r/>
            <w:r>
              <w:rPr>
                <w:rFonts w:ascii="Aptos" w:hAnsi="Aptos"/>
                <w:b w:val="0"/>
                <w:sz w:val="16"/>
              </w:rPr>
              <w:t>&lt;12 s</w:t>
            </w:r>
          </w:p>
        </w:tc>
        <w:tc>
          <w:tcPr>
            <w:tcW w:type="dxa" w:w="6236"/>
            <w:vAlign w:val="center"/>
            <w:tcMar>
              <w:top w:w="80" w:type="dxa"/>
              <w:left w:w="90" w:type="dxa"/>
              <w:bottom w:w="80" w:type="dxa"/>
              <w:right w:w="90" w:type="dxa"/>
            </w:tcMar>
          </w:tcPr>
          <w:p>
            <w:r/>
            <w:r>
              <w:rPr>
                <w:rFonts w:ascii="Aptos" w:hAnsi="Aptos"/>
                <w:b w:val="0"/>
                <w:sz w:val="16"/>
              </w:rPr>
              <w:t>No alcanza el punto de corte de riesgo de caída del protocolo STEADI.</w:t>
            </w:r>
          </w:p>
        </w:tc>
      </w:tr>
      <w:tr>
        <w:tc>
          <w:tcPr>
            <w:tcW w:type="dxa" w:w="2268"/>
            <w:vAlign w:val="center"/>
            <w:shd w:fill="F3F6F9"/>
            <w:tcMar>
              <w:top w:w="80" w:type="dxa"/>
              <w:left w:w="90" w:type="dxa"/>
              <w:bottom w:w="80" w:type="dxa"/>
              <w:right w:w="90" w:type="dxa"/>
            </w:tcMar>
          </w:tcPr>
          <w:p>
            <w:r/>
            <w:r>
              <w:rPr>
                <w:rFonts w:ascii="Aptos" w:hAnsi="Aptos"/>
                <w:b w:val="0"/>
                <w:sz w:val="16"/>
              </w:rPr>
              <w:t>≥12 s</w:t>
            </w:r>
          </w:p>
        </w:tc>
        <w:tc>
          <w:tcPr>
            <w:tcW w:type="dxa" w:w="6236"/>
            <w:vAlign w:val="center"/>
            <w:shd w:fill="F3F6F9"/>
            <w:tcMar>
              <w:top w:w="80" w:type="dxa"/>
              <w:left w:w="90" w:type="dxa"/>
              <w:bottom w:w="80" w:type="dxa"/>
              <w:right w:w="90" w:type="dxa"/>
            </w:tcMar>
          </w:tcPr>
          <w:p>
            <w:r/>
            <w:r>
              <w:rPr>
                <w:rFonts w:ascii="Aptos" w:hAnsi="Aptos"/>
                <w:b w:val="0"/>
                <w:sz w:val="16"/>
              </w:rPr>
              <w:t>En adultos mayores, STEADI considera que existe riesgo aumentado de caída. [5]</w:t>
            </w:r>
          </w:p>
        </w:tc>
      </w:tr>
    </w:tbl>
    <w:p>
      <w:pPr>
        <w:spacing w:after="20"/>
      </w:pPr>
    </w:p>
    <w:tbl>
      <w:tblPr>
        <w:tblStyle w:val="TableGrid"/>
        <w:tblW w:type="auto" w:w="0"/>
        <w:jc w:val="center"/>
        <w:tblLook w:firstColumn="1" w:firstRow="1" w:lastColumn="0" w:lastRow="0" w:noHBand="0" w:noVBand="1" w:val="04A0"/>
      </w:tblPr>
      <w:tblGrid>
        <w:gridCol w:w="10200"/>
      </w:tblGrid>
      <w:tr>
        <w:tc>
          <w:tcPr>
            <w:tcW w:type="dxa" w:w="10200"/>
            <w:shd w:fill="EAF2F8"/>
            <w:tcMar>
              <w:top w:w="80" w:type="dxa"/>
              <w:left w:w="90" w:type="dxa"/>
              <w:bottom w:w="80" w:type="dxa"/>
              <w:right w:w="90" w:type="dxa"/>
            </w:tcMar>
          </w:tcPr>
          <w:p>
            <w:pPr>
              <w:spacing w:after="40"/>
            </w:pPr>
            <w:r>
              <w:rPr>
                <w:i/>
                <w:sz w:val="17"/>
              </w:rPr>
              <w:t>El umbral de 12 s es un criterio de cribado para adultos mayores, no una clasificación universal para todas las edades o poblaciones. El TUG debe interpretarse junto con antecedentes de caídas y otras pruebas.</w:t>
            </w:r>
          </w:p>
        </w:tc>
      </w:tr>
    </w:tbl>
    <w:p>
      <w:pPr>
        <w:spacing w:after="20"/>
      </w:pPr>
    </w:p>
    <w:p>
      <w:r>
        <w:br w:type="page"/>
      </w:r>
    </w:p>
    <w:p>
      <w:pPr>
        <w:pStyle w:val="Heading1"/>
        <w:keepNext/>
        <w:spacing w:before="160" w:after="80"/>
      </w:pPr>
      <w:r>
        <w:t>6. SMBT · Seated Medicine Ball Throw</w:t>
      </w:r>
    </w:p>
    <w:p>
      <w:r>
        <w:t>El SMBT valora la potencia de empuje del tren superior midiendo la distancia de lanzamiento de un balón medicinal desde posición sentada. Es una prueba sencilla y ha mostrado buena fiabilidad cuando el protocolo se mantiene constante. [6]</w:t>
      </w:r>
    </w:p>
    <w:p>
      <w:pPr>
        <w:pStyle w:val="Heading2"/>
        <w:keepNext/>
        <w:spacing w:before="160" w:after="80"/>
      </w:pPr>
      <w:r>
        <w:t>Protocolo recomendado</w:t>
      </w:r>
    </w:p>
    <w:p>
      <w:pPr>
        <w:pStyle w:val="ListBullet"/>
        <w:spacing w:after="40"/>
      </w:pPr>
      <w:r>
        <w:t>Sentarse con la espalda apoyada contra pared o respaldo para limitar la contribución del tronco.</w:t>
      </w:r>
    </w:p>
    <w:p>
      <w:pPr>
        <w:pStyle w:val="ListBullet"/>
        <w:spacing w:after="40"/>
      </w:pPr>
      <w:r>
        <w:t>Balón en contacto con el pecho; realizar un lanzamiento horizontal tipo “chest pass” lo más lejos posible.</w:t>
      </w:r>
    </w:p>
    <w:p>
      <w:pPr>
        <w:pStyle w:val="ListBullet"/>
        <w:spacing w:after="40"/>
      </w:pPr>
      <w:r>
        <w:t>Mantener glúteos y espalda en contacto con el apoyo durante el lanzamiento, según el protocolo elegido.</w:t>
      </w:r>
    </w:p>
    <w:p>
      <w:pPr>
        <w:pStyle w:val="ListBullet"/>
        <w:spacing w:after="40"/>
      </w:pPr>
      <w:r>
        <w:t>Realizar 3 intentos máximos con recuperación de 60–90 s; medir desde la línea de salida hasta el primer contacto del balón con el suelo.</w:t>
      </w:r>
    </w:p>
    <w:p>
      <w:pPr>
        <w:pStyle w:val="ListBullet"/>
        <w:spacing w:after="40"/>
      </w:pPr>
      <w:r>
        <w:t>Registrar obligatoriamente la masa del balón, porque cambia de forma importante la distancia obtenida.</w:t>
      </w:r>
    </w:p>
    <w:p>
      <w:pPr>
        <w:pStyle w:val="Heading2"/>
        <w:keepNext/>
        <w:spacing w:before="160" w:after="80"/>
      </w:pPr>
      <w:r>
        <w:t>Cómo interpretar el resultado</w:t>
      </w:r>
    </w:p>
    <w:tbl>
      <w:tblPr>
        <w:tblStyle w:val="TableGrid"/>
        <w:tblW w:type="auto" w:w="0"/>
        <w:jc w:val="center"/>
        <w:tblLook w:firstColumn="1" w:firstRow="1" w:lastColumn="0" w:lastRow="0" w:noHBand="0" w:noVBand="1" w:val="04A0"/>
      </w:tblPr>
      <w:tblGrid>
        <w:gridCol w:w="5100"/>
        <w:gridCol w:w="5100"/>
      </w:tblGrid>
      <w:tr>
        <w:tc>
          <w:tcPr>
            <w:tcW w:type="dxa" w:w="2551"/>
            <w:vAlign w:val="center"/>
            <w:shd w:fill="17365D"/>
            <w:tcMar>
              <w:top w:w="80" w:type="dxa"/>
              <w:left w:w="90" w:type="dxa"/>
              <w:bottom w:w="80" w:type="dxa"/>
              <w:right w:w="90" w:type="dxa"/>
            </w:tcMar>
          </w:tcPr>
          <w:p>
            <w:pPr>
              <w:jc w:val="center"/>
            </w:pPr>
            <w:r/>
            <w:r>
              <w:rPr>
                <w:rFonts w:ascii="Aptos" w:hAnsi="Aptos"/>
                <w:b/>
                <w:color w:val="FFFFFF"/>
                <w:sz w:val="16"/>
              </w:rPr>
              <w:t>Nivel de comparación</w:t>
            </w:r>
          </w:p>
        </w:tc>
        <w:tc>
          <w:tcPr>
            <w:tcW w:type="dxa" w:w="5953"/>
            <w:vAlign w:val="center"/>
            <w:shd w:fill="17365D"/>
            <w:tcMar>
              <w:top w:w="80" w:type="dxa"/>
              <w:left w:w="90" w:type="dxa"/>
              <w:bottom w:w="80" w:type="dxa"/>
              <w:right w:w="90" w:type="dxa"/>
            </w:tcMar>
          </w:tcPr>
          <w:p>
            <w:pPr>
              <w:jc w:val="center"/>
            </w:pPr>
            <w:r/>
            <w:r>
              <w:rPr>
                <w:rFonts w:ascii="Aptos" w:hAnsi="Aptos"/>
                <w:b/>
                <w:color w:val="FFFFFF"/>
                <w:sz w:val="16"/>
              </w:rPr>
              <w:t>Recomendación</w:t>
            </w:r>
          </w:p>
        </w:tc>
      </w:tr>
      <w:tr>
        <w:tc>
          <w:tcPr>
            <w:tcW w:type="dxa" w:w="2551"/>
            <w:vAlign w:val="center"/>
            <w:tcMar>
              <w:top w:w="80" w:type="dxa"/>
              <w:left w:w="90" w:type="dxa"/>
              <w:bottom w:w="80" w:type="dxa"/>
              <w:right w:w="90" w:type="dxa"/>
            </w:tcMar>
          </w:tcPr>
          <w:p>
            <w:r/>
            <w:r>
              <w:rPr>
                <w:rFonts w:ascii="Aptos" w:hAnsi="Aptos"/>
                <w:b w:val="0"/>
                <w:sz w:val="16"/>
              </w:rPr>
              <w:t>Dentro del mismo sujeto</w:t>
            </w:r>
          </w:p>
        </w:tc>
        <w:tc>
          <w:tcPr>
            <w:tcW w:type="dxa" w:w="5953"/>
            <w:vAlign w:val="center"/>
            <w:tcMar>
              <w:top w:w="80" w:type="dxa"/>
              <w:left w:w="90" w:type="dxa"/>
              <w:bottom w:w="80" w:type="dxa"/>
              <w:right w:w="90" w:type="dxa"/>
            </w:tcMar>
          </w:tcPr>
          <w:p>
            <w:r/>
            <w:r>
              <w:rPr>
                <w:rFonts w:ascii="Aptos" w:hAnsi="Aptos"/>
                <w:b w:val="0"/>
                <w:sz w:val="16"/>
              </w:rPr>
              <w:t>Usar el mejor lanzamiento y comparar cambios porcentuales entre evaluaciones.</w:t>
            </w:r>
          </w:p>
        </w:tc>
      </w:tr>
      <w:tr>
        <w:tc>
          <w:tcPr>
            <w:tcW w:type="dxa" w:w="2551"/>
            <w:vAlign w:val="center"/>
            <w:shd w:fill="F3F6F9"/>
            <w:tcMar>
              <w:top w:w="80" w:type="dxa"/>
              <w:left w:w="90" w:type="dxa"/>
              <w:bottom w:w="80" w:type="dxa"/>
              <w:right w:w="90" w:type="dxa"/>
            </w:tcMar>
          </w:tcPr>
          <w:p>
            <w:r/>
            <w:r>
              <w:rPr>
                <w:rFonts w:ascii="Aptos" w:hAnsi="Aptos"/>
                <w:b w:val="0"/>
                <w:sz w:val="16"/>
              </w:rPr>
              <w:t>Dentro del grupo/equipo</w:t>
            </w:r>
          </w:p>
        </w:tc>
        <w:tc>
          <w:tcPr>
            <w:tcW w:type="dxa" w:w="5953"/>
            <w:vAlign w:val="center"/>
            <w:shd w:fill="F3F6F9"/>
            <w:tcMar>
              <w:top w:w="80" w:type="dxa"/>
              <w:left w:w="90" w:type="dxa"/>
              <w:bottom w:w="80" w:type="dxa"/>
              <w:right w:w="90" w:type="dxa"/>
            </w:tcMar>
          </w:tcPr>
          <w:p>
            <w:r/>
            <w:r>
              <w:rPr>
                <w:rFonts w:ascii="Aptos" w:hAnsi="Aptos"/>
                <w:b w:val="0"/>
                <w:sz w:val="16"/>
              </w:rPr>
              <w:t>Crear percentiles internos (P25, P50, P75) usando siempre el mismo balón y técnica.</w:t>
            </w:r>
          </w:p>
        </w:tc>
      </w:tr>
      <w:tr>
        <w:tc>
          <w:tcPr>
            <w:tcW w:type="dxa" w:w="2551"/>
            <w:vAlign w:val="center"/>
            <w:tcMar>
              <w:top w:w="80" w:type="dxa"/>
              <w:left w:w="90" w:type="dxa"/>
              <w:bottom w:w="80" w:type="dxa"/>
              <w:right w:w="90" w:type="dxa"/>
            </w:tcMar>
          </w:tcPr>
          <w:p>
            <w:r/>
            <w:r>
              <w:rPr>
                <w:rFonts w:ascii="Aptos" w:hAnsi="Aptos"/>
                <w:b w:val="0"/>
                <w:sz w:val="16"/>
              </w:rPr>
              <w:t>Con literatura</w:t>
            </w:r>
          </w:p>
        </w:tc>
        <w:tc>
          <w:tcPr>
            <w:tcW w:type="dxa" w:w="5953"/>
            <w:vAlign w:val="center"/>
            <w:tcMar>
              <w:top w:w="80" w:type="dxa"/>
              <w:left w:w="90" w:type="dxa"/>
              <w:bottom w:w="80" w:type="dxa"/>
              <w:right w:w="90" w:type="dxa"/>
            </w:tcMar>
          </w:tcPr>
          <w:p>
            <w:r/>
            <w:r>
              <w:rPr>
                <w:rFonts w:ascii="Aptos" w:hAnsi="Aptos"/>
                <w:b w:val="0"/>
                <w:sz w:val="16"/>
              </w:rPr>
              <w:t>Comparar solo con estudios que coincidan en masa del balón, posición, sexo, edad y población.</w:t>
            </w:r>
          </w:p>
        </w:tc>
      </w:tr>
    </w:tbl>
    <w:p>
      <w:pPr>
        <w:spacing w:after="20"/>
      </w:pPr>
    </w:p>
    <w:tbl>
      <w:tblPr>
        <w:tblStyle w:val="TableGrid"/>
        <w:tblW w:type="auto" w:w="0"/>
        <w:jc w:val="center"/>
        <w:tblLook w:firstColumn="1" w:firstRow="1" w:lastColumn="0" w:lastRow="0" w:noHBand="0" w:noVBand="1" w:val="04A0"/>
      </w:tblPr>
      <w:tblGrid>
        <w:gridCol w:w="10200"/>
      </w:tblGrid>
      <w:tr>
        <w:tc>
          <w:tcPr>
            <w:tcW w:type="dxa" w:w="10200"/>
            <w:shd w:fill="EAF2F8"/>
            <w:tcMar>
              <w:top w:w="80" w:type="dxa"/>
              <w:left w:w="90" w:type="dxa"/>
              <w:bottom w:w="80" w:type="dxa"/>
              <w:right w:w="90" w:type="dxa"/>
            </w:tcMar>
          </w:tcPr>
          <w:p>
            <w:pPr>
              <w:spacing w:after="40"/>
            </w:pPr>
            <w:r>
              <w:rPr>
                <w:i/>
                <w:sz w:val="17"/>
              </w:rPr>
              <w:t>No existe una tabla universal válida para SMBT. La literatura utiliza balones de masas distintas y posiciones diferentes; por ello mezclar referencias puede generar interpretaciones erróneas. En adultos mayores, lanzamientos con balones de 1,5 y 3 kg han mostrado fiabilidad test–retest muy alta. [6]</w:t>
            </w:r>
          </w:p>
        </w:tc>
      </w:tr>
    </w:tbl>
    <w:p>
      <w:pPr>
        <w:spacing w:after="20"/>
      </w:pPr>
    </w:p>
    <w:p>
      <w:pPr>
        <w:pStyle w:val="Heading2"/>
        <w:keepNext/>
        <w:spacing w:before="160" w:after="80"/>
      </w:pPr>
      <w:r>
        <w:t>Tabla interna recomendada</w:t>
      </w:r>
    </w:p>
    <w:tbl>
      <w:tblPr>
        <w:tblStyle w:val="TableGrid"/>
        <w:tblW w:type="auto" w:w="0"/>
        <w:jc w:val="center"/>
        <w:tblLook w:firstColumn="1" w:firstRow="1" w:lastColumn="0" w:lastRow="0" w:noHBand="0" w:noVBand="1" w:val="04A0"/>
      </w:tblPr>
      <w:tblGrid>
        <w:gridCol w:w="5100"/>
        <w:gridCol w:w="5100"/>
      </w:tblGrid>
      <w:tr>
        <w:tc>
          <w:tcPr>
            <w:tcW w:type="dxa" w:w="3402"/>
            <w:vAlign w:val="center"/>
            <w:shd w:fill="17365D"/>
            <w:tcMar>
              <w:top w:w="80" w:type="dxa"/>
              <w:left w:w="90" w:type="dxa"/>
              <w:bottom w:w="80" w:type="dxa"/>
              <w:right w:w="90" w:type="dxa"/>
            </w:tcMar>
          </w:tcPr>
          <w:p>
            <w:pPr>
              <w:jc w:val="center"/>
            </w:pPr>
            <w:r/>
            <w:r>
              <w:rPr>
                <w:rFonts w:ascii="Aptos" w:hAnsi="Aptos"/>
                <w:b/>
                <w:color w:val="FFFFFF"/>
                <w:sz w:val="16"/>
              </w:rPr>
              <w:t>Percentil del grupo</w:t>
            </w:r>
          </w:p>
        </w:tc>
        <w:tc>
          <w:tcPr>
            <w:tcW w:type="dxa" w:w="5102"/>
            <w:vAlign w:val="center"/>
            <w:shd w:fill="17365D"/>
            <w:tcMar>
              <w:top w:w="80" w:type="dxa"/>
              <w:left w:w="90" w:type="dxa"/>
              <w:bottom w:w="80" w:type="dxa"/>
              <w:right w:w="90" w:type="dxa"/>
            </w:tcMar>
          </w:tcPr>
          <w:p>
            <w:pPr>
              <w:jc w:val="center"/>
            </w:pPr>
            <w:r/>
            <w:r>
              <w:rPr>
                <w:rFonts w:ascii="Aptos" w:hAnsi="Aptos"/>
                <w:b/>
                <w:color w:val="FFFFFF"/>
                <w:sz w:val="16"/>
              </w:rPr>
              <w:t>Clasificación práctica</w:t>
            </w:r>
          </w:p>
        </w:tc>
      </w:tr>
      <w:tr>
        <w:tc>
          <w:tcPr>
            <w:tcW w:type="dxa" w:w="3402"/>
            <w:vAlign w:val="center"/>
            <w:tcMar>
              <w:top w:w="80" w:type="dxa"/>
              <w:left w:w="90" w:type="dxa"/>
              <w:bottom w:w="80" w:type="dxa"/>
              <w:right w:w="90" w:type="dxa"/>
            </w:tcMar>
          </w:tcPr>
          <w:p>
            <w:r/>
            <w:r>
              <w:rPr>
                <w:rFonts w:ascii="Aptos" w:hAnsi="Aptos"/>
                <w:b w:val="0"/>
                <w:sz w:val="16"/>
              </w:rPr>
              <w:t>&lt;P25</w:t>
            </w:r>
          </w:p>
        </w:tc>
        <w:tc>
          <w:tcPr>
            <w:tcW w:type="dxa" w:w="5102"/>
            <w:vAlign w:val="center"/>
            <w:tcMar>
              <w:top w:w="80" w:type="dxa"/>
              <w:left w:w="90" w:type="dxa"/>
              <w:bottom w:w="80" w:type="dxa"/>
              <w:right w:w="90" w:type="dxa"/>
            </w:tcMar>
          </w:tcPr>
          <w:p>
            <w:r/>
            <w:r>
              <w:rPr>
                <w:rFonts w:ascii="Aptos" w:hAnsi="Aptos"/>
                <w:b w:val="0"/>
                <w:sz w:val="16"/>
              </w:rPr>
              <w:t>Bajo respecto al grupo</w:t>
            </w:r>
          </w:p>
        </w:tc>
      </w:tr>
      <w:tr>
        <w:tc>
          <w:tcPr>
            <w:tcW w:type="dxa" w:w="3402"/>
            <w:vAlign w:val="center"/>
            <w:shd w:fill="F3F6F9"/>
            <w:tcMar>
              <w:top w:w="80" w:type="dxa"/>
              <w:left w:w="90" w:type="dxa"/>
              <w:bottom w:w="80" w:type="dxa"/>
              <w:right w:w="90" w:type="dxa"/>
            </w:tcMar>
          </w:tcPr>
          <w:p>
            <w:r/>
            <w:r>
              <w:rPr>
                <w:rFonts w:ascii="Aptos" w:hAnsi="Aptos"/>
                <w:b w:val="0"/>
                <w:sz w:val="16"/>
              </w:rPr>
              <w:t>P25–P49</w:t>
            </w:r>
          </w:p>
        </w:tc>
        <w:tc>
          <w:tcPr>
            <w:tcW w:type="dxa" w:w="5102"/>
            <w:vAlign w:val="center"/>
            <w:shd w:fill="F3F6F9"/>
            <w:tcMar>
              <w:top w:w="80" w:type="dxa"/>
              <w:left w:w="90" w:type="dxa"/>
              <w:bottom w:w="80" w:type="dxa"/>
              <w:right w:w="90" w:type="dxa"/>
            </w:tcMar>
          </w:tcPr>
          <w:p>
            <w:r/>
            <w:r>
              <w:rPr>
                <w:rFonts w:ascii="Aptos" w:hAnsi="Aptos"/>
                <w:b w:val="0"/>
                <w:sz w:val="16"/>
              </w:rPr>
              <w:t>Por debajo de la mediana</w:t>
            </w:r>
          </w:p>
        </w:tc>
      </w:tr>
      <w:tr>
        <w:tc>
          <w:tcPr>
            <w:tcW w:type="dxa" w:w="3402"/>
            <w:vAlign w:val="center"/>
            <w:tcMar>
              <w:top w:w="80" w:type="dxa"/>
              <w:left w:w="90" w:type="dxa"/>
              <w:bottom w:w="80" w:type="dxa"/>
              <w:right w:w="90" w:type="dxa"/>
            </w:tcMar>
          </w:tcPr>
          <w:p>
            <w:r/>
            <w:r>
              <w:rPr>
                <w:rFonts w:ascii="Aptos" w:hAnsi="Aptos"/>
                <w:b w:val="0"/>
                <w:sz w:val="16"/>
              </w:rPr>
              <w:t>P50–P74</w:t>
            </w:r>
          </w:p>
        </w:tc>
        <w:tc>
          <w:tcPr>
            <w:tcW w:type="dxa" w:w="5102"/>
            <w:vAlign w:val="center"/>
            <w:tcMar>
              <w:top w:w="80" w:type="dxa"/>
              <w:left w:w="90" w:type="dxa"/>
              <w:bottom w:w="80" w:type="dxa"/>
              <w:right w:w="90" w:type="dxa"/>
            </w:tcMar>
          </w:tcPr>
          <w:p>
            <w:r/>
            <w:r>
              <w:rPr>
                <w:rFonts w:ascii="Aptos" w:hAnsi="Aptos"/>
                <w:b w:val="0"/>
                <w:sz w:val="16"/>
              </w:rPr>
              <w:t>Bueno / por encima de la mediana</w:t>
            </w:r>
          </w:p>
        </w:tc>
      </w:tr>
      <w:tr>
        <w:tc>
          <w:tcPr>
            <w:tcW w:type="dxa" w:w="3402"/>
            <w:vAlign w:val="center"/>
            <w:shd w:fill="F3F6F9"/>
            <w:tcMar>
              <w:top w:w="80" w:type="dxa"/>
              <w:left w:w="90" w:type="dxa"/>
              <w:bottom w:w="80" w:type="dxa"/>
              <w:right w:w="90" w:type="dxa"/>
            </w:tcMar>
          </w:tcPr>
          <w:p>
            <w:r/>
            <w:r>
              <w:rPr>
                <w:rFonts w:ascii="Aptos" w:hAnsi="Aptos"/>
                <w:b w:val="0"/>
                <w:sz w:val="16"/>
              </w:rPr>
              <w:t>≥P75</w:t>
            </w:r>
          </w:p>
        </w:tc>
        <w:tc>
          <w:tcPr>
            <w:tcW w:type="dxa" w:w="5102"/>
            <w:vAlign w:val="center"/>
            <w:shd w:fill="F3F6F9"/>
            <w:tcMar>
              <w:top w:w="80" w:type="dxa"/>
              <w:left w:w="90" w:type="dxa"/>
              <w:bottom w:w="80" w:type="dxa"/>
              <w:right w:w="90" w:type="dxa"/>
            </w:tcMar>
          </w:tcPr>
          <w:p>
            <w:r/>
            <w:r>
              <w:rPr>
                <w:rFonts w:ascii="Aptos" w:hAnsi="Aptos"/>
                <w:b w:val="0"/>
                <w:sz w:val="16"/>
              </w:rPr>
              <w:t>Alto respecto al grupo</w:t>
            </w:r>
          </w:p>
        </w:tc>
      </w:tr>
    </w:tbl>
    <w:p>
      <w:pPr>
        <w:spacing w:after="20"/>
      </w:pPr>
    </w:p>
    <w:p>
      <w:r>
        <w:br w:type="page"/>
      </w:r>
    </w:p>
    <w:p>
      <w:pPr>
        <w:pStyle w:val="Heading1"/>
        <w:keepNext/>
        <w:spacing w:before="160" w:after="80"/>
      </w:pPr>
      <w:r>
        <w:t>7. AirBike 6 min · PAM / potencia aeróbica</w:t>
      </w:r>
    </w:p>
    <w:p>
      <w:r>
        <w:t>Una prueba máxima de 6 minutos en AirBike puede utilizarse como test de rendimiento para cuantificar la potencia media más alta que el sujeto puede sostener durante ese intervalo, junto con la respuesta cardiovascular. En la práctica aporta una medida útil de capacidad aeróbica de alta intensidad, aunque no debe equipararse automáticamente a una medición directa de VO₂máx o a una PAM de laboratorio.</w:t>
      </w:r>
    </w:p>
    <w:p>
      <w:pPr>
        <w:pStyle w:val="Heading2"/>
        <w:keepNext/>
        <w:spacing w:before="160" w:after="80"/>
      </w:pPr>
      <w:r>
        <w:t>Protocolo recomendado</w:t>
      </w:r>
    </w:p>
    <w:p>
      <w:pPr>
        <w:pStyle w:val="ListBullet"/>
        <w:spacing w:after="40"/>
      </w:pPr>
      <w:r>
        <w:t>Calentamiento de 8–12 min, incluyendo 2–3 progresiones breves en la misma AirBike.</w:t>
      </w:r>
    </w:p>
    <w:p>
      <w:pPr>
        <w:pStyle w:val="ListBullet"/>
        <w:spacing w:after="40"/>
      </w:pPr>
      <w:r>
        <w:t>Objetivo: obtener el máximo trabajo total posible en 6 min sin salir excesivamente rápido.</w:t>
      </w:r>
    </w:p>
    <w:p>
      <w:pPr>
        <w:pStyle w:val="ListBullet"/>
        <w:spacing w:after="40"/>
      </w:pPr>
      <w:r>
        <w:t>Registrar potencia media (W), potencia relativa (W/kg), calorías/distancia según el modelo, FC media, FC máxima y RPE final.</w:t>
      </w:r>
    </w:p>
    <w:p>
      <w:pPr>
        <w:pStyle w:val="ListBullet"/>
        <w:spacing w:after="40"/>
      </w:pPr>
      <w:r>
        <w:t>Usar siempre la misma bicicleta, configuración del sillín y condiciones ambientales cuando sea posible.</w:t>
      </w:r>
    </w:p>
    <w:p>
      <w:pPr>
        <w:pStyle w:val="ListBullet"/>
        <w:spacing w:after="40"/>
      </w:pPr>
      <w:r>
        <w:t>Para retest, repetir el mismo calentamiento e instrucciones de pacing.</w:t>
      </w:r>
    </w:p>
    <w:p>
      <w:pPr>
        <w:pStyle w:val="Heading2"/>
        <w:keepNext/>
        <w:spacing w:before="160" w:after="80"/>
      </w:pPr>
      <w:r>
        <w:t>Variables y referencias de interpretación</w:t>
      </w:r>
    </w:p>
    <w:tbl>
      <w:tblPr>
        <w:tblStyle w:val="TableGrid"/>
        <w:tblW w:type="auto" w:w="0"/>
        <w:jc w:val="center"/>
        <w:tblLook w:firstColumn="1" w:firstRow="1" w:lastColumn="0" w:lastRow="0" w:noHBand="0" w:noVBand="1" w:val="04A0"/>
      </w:tblPr>
      <w:tblGrid>
        <w:gridCol w:w="3400"/>
        <w:gridCol w:w="3400"/>
        <w:gridCol w:w="3400"/>
      </w:tblGrid>
      <w:tr>
        <w:tc>
          <w:tcPr>
            <w:tcW w:type="dxa" w:w="1984"/>
            <w:vAlign w:val="center"/>
            <w:shd w:fill="17365D"/>
            <w:tcMar>
              <w:top w:w="80" w:type="dxa"/>
              <w:left w:w="90" w:type="dxa"/>
              <w:bottom w:w="80" w:type="dxa"/>
              <w:right w:w="90" w:type="dxa"/>
            </w:tcMar>
          </w:tcPr>
          <w:p>
            <w:pPr>
              <w:jc w:val="center"/>
            </w:pPr>
            <w:r/>
            <w:r>
              <w:rPr>
                <w:rFonts w:ascii="Aptos" w:hAnsi="Aptos"/>
                <w:b/>
                <w:color w:val="FFFFFF"/>
                <w:sz w:val="15"/>
              </w:rPr>
              <w:t>Variable</w:t>
            </w:r>
          </w:p>
        </w:tc>
        <w:tc>
          <w:tcPr>
            <w:tcW w:type="dxa" w:w="3288"/>
            <w:vAlign w:val="center"/>
            <w:shd w:fill="17365D"/>
            <w:tcMar>
              <w:top w:w="80" w:type="dxa"/>
              <w:left w:w="90" w:type="dxa"/>
              <w:bottom w:w="80" w:type="dxa"/>
              <w:right w:w="90" w:type="dxa"/>
            </w:tcMar>
          </w:tcPr>
          <w:p>
            <w:pPr>
              <w:jc w:val="center"/>
            </w:pPr>
            <w:r/>
            <w:r>
              <w:rPr>
                <w:rFonts w:ascii="Aptos" w:hAnsi="Aptos"/>
                <w:b/>
                <w:color w:val="FFFFFF"/>
                <w:sz w:val="15"/>
              </w:rPr>
              <w:t>Qué aporta</w:t>
            </w:r>
          </w:p>
        </w:tc>
        <w:tc>
          <w:tcPr>
            <w:tcW w:type="dxa" w:w="3685"/>
            <w:vAlign w:val="center"/>
            <w:shd w:fill="17365D"/>
            <w:tcMar>
              <w:top w:w="80" w:type="dxa"/>
              <w:left w:w="90" w:type="dxa"/>
              <w:bottom w:w="80" w:type="dxa"/>
              <w:right w:w="90" w:type="dxa"/>
            </w:tcMar>
          </w:tcPr>
          <w:p>
            <w:pPr>
              <w:jc w:val="center"/>
            </w:pPr>
            <w:r/>
            <w:r>
              <w:rPr>
                <w:rFonts w:ascii="Aptos" w:hAnsi="Aptos"/>
                <w:b/>
                <w:color w:val="FFFFFF"/>
                <w:sz w:val="15"/>
              </w:rPr>
              <w:t>Referencia recomendada</w:t>
            </w:r>
          </w:p>
        </w:tc>
      </w:tr>
      <w:tr>
        <w:tc>
          <w:tcPr>
            <w:tcW w:type="dxa" w:w="1984"/>
            <w:vAlign w:val="center"/>
            <w:tcMar>
              <w:top w:w="80" w:type="dxa"/>
              <w:left w:w="90" w:type="dxa"/>
              <w:bottom w:w="80" w:type="dxa"/>
              <w:right w:w="90" w:type="dxa"/>
            </w:tcMar>
          </w:tcPr>
          <w:p>
            <w:r/>
            <w:r>
              <w:rPr>
                <w:rFonts w:ascii="Aptos" w:hAnsi="Aptos"/>
                <w:b w:val="0"/>
                <w:sz w:val="15"/>
              </w:rPr>
              <w:t>W medios</w:t>
            </w:r>
          </w:p>
        </w:tc>
        <w:tc>
          <w:tcPr>
            <w:tcW w:type="dxa" w:w="3288"/>
            <w:vAlign w:val="center"/>
            <w:tcMar>
              <w:top w:w="80" w:type="dxa"/>
              <w:left w:w="90" w:type="dxa"/>
              <w:bottom w:w="80" w:type="dxa"/>
              <w:right w:w="90" w:type="dxa"/>
            </w:tcMar>
          </w:tcPr>
          <w:p>
            <w:r/>
            <w:r>
              <w:rPr>
                <w:rFonts w:ascii="Aptos" w:hAnsi="Aptos"/>
                <w:b w:val="0"/>
                <w:sz w:val="15"/>
              </w:rPr>
              <w:t>Rendimiento absoluto</w:t>
            </w:r>
          </w:p>
        </w:tc>
        <w:tc>
          <w:tcPr>
            <w:tcW w:type="dxa" w:w="3685"/>
            <w:vAlign w:val="center"/>
            <w:tcMar>
              <w:top w:w="80" w:type="dxa"/>
              <w:left w:w="90" w:type="dxa"/>
              <w:bottom w:w="80" w:type="dxa"/>
              <w:right w:w="90" w:type="dxa"/>
            </w:tcMar>
          </w:tcPr>
          <w:p>
            <w:r/>
            <w:r>
              <w:rPr>
                <w:rFonts w:ascii="Aptos" w:hAnsi="Aptos"/>
                <w:b w:val="0"/>
                <w:sz w:val="15"/>
              </w:rPr>
              <w:t>Comparación longitudinal e interna del grupo.</w:t>
            </w:r>
          </w:p>
        </w:tc>
      </w:tr>
      <w:tr>
        <w:tc>
          <w:tcPr>
            <w:tcW w:type="dxa" w:w="1984"/>
            <w:vAlign w:val="center"/>
            <w:shd w:fill="F3F6F9"/>
            <w:tcMar>
              <w:top w:w="80" w:type="dxa"/>
              <w:left w:w="90" w:type="dxa"/>
              <w:bottom w:w="80" w:type="dxa"/>
              <w:right w:w="90" w:type="dxa"/>
            </w:tcMar>
          </w:tcPr>
          <w:p>
            <w:r/>
            <w:r>
              <w:rPr>
                <w:rFonts w:ascii="Aptos" w:hAnsi="Aptos"/>
                <w:b w:val="0"/>
                <w:sz w:val="15"/>
              </w:rPr>
              <w:t>W/kg</w:t>
            </w:r>
          </w:p>
        </w:tc>
        <w:tc>
          <w:tcPr>
            <w:tcW w:type="dxa" w:w="3288"/>
            <w:vAlign w:val="center"/>
            <w:shd w:fill="F3F6F9"/>
            <w:tcMar>
              <w:top w:w="80" w:type="dxa"/>
              <w:left w:w="90" w:type="dxa"/>
              <w:bottom w:w="80" w:type="dxa"/>
              <w:right w:w="90" w:type="dxa"/>
            </w:tcMar>
          </w:tcPr>
          <w:p>
            <w:r/>
            <w:r>
              <w:rPr>
                <w:rFonts w:ascii="Aptos" w:hAnsi="Aptos"/>
                <w:b w:val="0"/>
                <w:sz w:val="15"/>
              </w:rPr>
              <w:t>Rendimiento relativo a masa corporal</w:t>
            </w:r>
          </w:p>
        </w:tc>
        <w:tc>
          <w:tcPr>
            <w:tcW w:type="dxa" w:w="3685"/>
            <w:vAlign w:val="center"/>
            <w:shd w:fill="F3F6F9"/>
            <w:tcMar>
              <w:top w:w="80" w:type="dxa"/>
              <w:left w:w="90" w:type="dxa"/>
              <w:bottom w:w="80" w:type="dxa"/>
              <w:right w:w="90" w:type="dxa"/>
            </w:tcMar>
          </w:tcPr>
          <w:p>
            <w:r/>
            <w:r>
              <w:rPr>
                <w:rFonts w:ascii="Aptos" w:hAnsi="Aptos"/>
                <w:b w:val="0"/>
                <w:sz w:val="15"/>
              </w:rPr>
              <w:t>Preferible para comparar sujetos de tamaños distintos.</w:t>
            </w:r>
          </w:p>
        </w:tc>
      </w:tr>
      <w:tr>
        <w:tc>
          <w:tcPr>
            <w:tcW w:type="dxa" w:w="1984"/>
            <w:vAlign w:val="center"/>
            <w:tcMar>
              <w:top w:w="80" w:type="dxa"/>
              <w:left w:w="90" w:type="dxa"/>
              <w:bottom w:w="80" w:type="dxa"/>
              <w:right w:w="90" w:type="dxa"/>
            </w:tcMar>
          </w:tcPr>
          <w:p>
            <w:r/>
            <w:r>
              <w:rPr>
                <w:rFonts w:ascii="Aptos" w:hAnsi="Aptos"/>
                <w:b w:val="0"/>
                <w:sz w:val="15"/>
              </w:rPr>
              <w:t>Trabajo / kcal / distancia</w:t>
            </w:r>
          </w:p>
        </w:tc>
        <w:tc>
          <w:tcPr>
            <w:tcW w:type="dxa" w:w="3288"/>
            <w:vAlign w:val="center"/>
            <w:tcMar>
              <w:top w:w="80" w:type="dxa"/>
              <w:left w:w="90" w:type="dxa"/>
              <w:bottom w:w="80" w:type="dxa"/>
              <w:right w:w="90" w:type="dxa"/>
            </w:tcMar>
          </w:tcPr>
          <w:p>
            <w:r/>
            <w:r>
              <w:rPr>
                <w:rFonts w:ascii="Aptos" w:hAnsi="Aptos"/>
                <w:b w:val="0"/>
                <w:sz w:val="15"/>
              </w:rPr>
              <w:t>Resultado específico de la máquina</w:t>
            </w:r>
          </w:p>
        </w:tc>
        <w:tc>
          <w:tcPr>
            <w:tcW w:type="dxa" w:w="3685"/>
            <w:vAlign w:val="center"/>
            <w:tcMar>
              <w:top w:w="80" w:type="dxa"/>
              <w:left w:w="90" w:type="dxa"/>
              <w:bottom w:w="80" w:type="dxa"/>
              <w:right w:w="90" w:type="dxa"/>
            </w:tcMar>
          </w:tcPr>
          <w:p>
            <w:r/>
            <w:r>
              <w:rPr>
                <w:rFonts w:ascii="Aptos" w:hAnsi="Aptos"/>
                <w:b w:val="0"/>
                <w:sz w:val="15"/>
              </w:rPr>
              <w:t>Solo comparable en el mismo modelo/calibración.</w:t>
            </w:r>
          </w:p>
        </w:tc>
      </w:tr>
      <w:tr>
        <w:tc>
          <w:tcPr>
            <w:tcW w:type="dxa" w:w="1984"/>
            <w:vAlign w:val="center"/>
            <w:shd w:fill="F3F6F9"/>
            <w:tcMar>
              <w:top w:w="80" w:type="dxa"/>
              <w:left w:w="90" w:type="dxa"/>
              <w:bottom w:w="80" w:type="dxa"/>
              <w:right w:w="90" w:type="dxa"/>
            </w:tcMar>
          </w:tcPr>
          <w:p>
            <w:r/>
            <w:r>
              <w:rPr>
                <w:rFonts w:ascii="Aptos" w:hAnsi="Aptos"/>
                <w:b w:val="0"/>
                <w:sz w:val="15"/>
              </w:rPr>
              <w:t>FC y RPE</w:t>
            </w:r>
          </w:p>
        </w:tc>
        <w:tc>
          <w:tcPr>
            <w:tcW w:type="dxa" w:w="3288"/>
            <w:vAlign w:val="center"/>
            <w:shd w:fill="F3F6F9"/>
            <w:tcMar>
              <w:top w:w="80" w:type="dxa"/>
              <w:left w:w="90" w:type="dxa"/>
              <w:bottom w:w="80" w:type="dxa"/>
              <w:right w:w="90" w:type="dxa"/>
            </w:tcMar>
          </w:tcPr>
          <w:p>
            <w:r/>
            <w:r>
              <w:rPr>
                <w:rFonts w:ascii="Aptos" w:hAnsi="Aptos"/>
                <w:b w:val="0"/>
                <w:sz w:val="15"/>
              </w:rPr>
              <w:t>Coste fisiológico y perceptivo</w:t>
            </w:r>
          </w:p>
        </w:tc>
        <w:tc>
          <w:tcPr>
            <w:tcW w:type="dxa" w:w="3685"/>
            <w:vAlign w:val="center"/>
            <w:shd w:fill="F3F6F9"/>
            <w:tcMar>
              <w:top w:w="80" w:type="dxa"/>
              <w:left w:w="90" w:type="dxa"/>
              <w:bottom w:w="80" w:type="dxa"/>
              <w:right w:w="90" w:type="dxa"/>
            </w:tcMar>
          </w:tcPr>
          <w:p>
            <w:r/>
            <w:r>
              <w:rPr>
                <w:rFonts w:ascii="Aptos" w:hAnsi="Aptos"/>
                <w:b w:val="0"/>
                <w:sz w:val="15"/>
              </w:rPr>
              <w:t>Ayuda a valorar pacing, esfuerzo y adaptación.</w:t>
            </w:r>
          </w:p>
        </w:tc>
      </w:tr>
    </w:tbl>
    <w:p>
      <w:pPr>
        <w:spacing w:after="20"/>
      </w:pPr>
    </w:p>
    <w:tbl>
      <w:tblPr>
        <w:tblStyle w:val="TableGrid"/>
        <w:tblW w:type="auto" w:w="0"/>
        <w:jc w:val="center"/>
        <w:tblLook w:firstColumn="1" w:firstRow="1" w:lastColumn="0" w:lastRow="0" w:noHBand="0" w:noVBand="1" w:val="04A0"/>
      </w:tblPr>
      <w:tblGrid>
        <w:gridCol w:w="10200"/>
      </w:tblGrid>
      <w:tr>
        <w:tc>
          <w:tcPr>
            <w:tcW w:type="dxa" w:w="10200"/>
            <w:shd w:fill="EAF2F8"/>
            <w:tcMar>
              <w:top w:w="80" w:type="dxa"/>
              <w:left w:w="90" w:type="dxa"/>
              <w:bottom w:w="80" w:type="dxa"/>
              <w:right w:w="90" w:type="dxa"/>
            </w:tcMar>
          </w:tcPr>
          <w:p>
            <w:pPr>
              <w:spacing w:after="40"/>
            </w:pPr>
            <w:r>
              <w:rPr>
                <w:i/>
                <w:sz w:val="17"/>
              </w:rPr>
              <w:t>Actualmente no hay valores normativos universales ampliamente aceptados para un test all-out de 6 min en AirBike. Para esta prueba es más riguroso construir referencias internas por sexo/edad/nivel y seguir la evolución individual. La investigación en AirBike confirma que el ergómetro puede utilizarse para evaluación cardiorrespiratoria, pero los protocolos publicados no son equivalentes entre sí. [7]</w:t>
            </w:r>
          </w:p>
        </w:tc>
      </w:tr>
    </w:tbl>
    <w:p>
      <w:pPr>
        <w:spacing w:after="20"/>
      </w:pPr>
    </w:p>
    <w:p>
      <w:pPr>
        <w:pStyle w:val="Heading2"/>
        <w:keepNext/>
        <w:spacing w:before="160" w:after="80"/>
      </w:pPr>
      <w:r>
        <w:t>Clasificación interna sugerida</w:t>
      </w:r>
    </w:p>
    <w:tbl>
      <w:tblPr>
        <w:tblStyle w:val="TableGrid"/>
        <w:tblW w:type="auto" w:w="0"/>
        <w:jc w:val="center"/>
        <w:tblLook w:firstColumn="1" w:firstRow="1" w:lastColumn="0" w:lastRow="0" w:noHBand="0" w:noVBand="1" w:val="04A0"/>
      </w:tblPr>
      <w:tblGrid>
        <w:gridCol w:w="5100"/>
        <w:gridCol w:w="5100"/>
      </w:tblGrid>
      <w:tr>
        <w:tc>
          <w:tcPr>
            <w:tcW w:type="dxa" w:w="3402"/>
            <w:vAlign w:val="center"/>
            <w:shd w:fill="17365D"/>
            <w:tcMar>
              <w:top w:w="80" w:type="dxa"/>
              <w:left w:w="90" w:type="dxa"/>
              <w:bottom w:w="80" w:type="dxa"/>
              <w:right w:w="90" w:type="dxa"/>
            </w:tcMar>
          </w:tcPr>
          <w:p>
            <w:pPr>
              <w:jc w:val="center"/>
            </w:pPr>
            <w:r/>
            <w:r>
              <w:rPr>
                <w:rFonts w:ascii="Aptos" w:hAnsi="Aptos"/>
                <w:b/>
                <w:color w:val="FFFFFF"/>
                <w:sz w:val="16"/>
              </w:rPr>
              <w:t>Percentil en W/kg</w:t>
            </w:r>
          </w:p>
        </w:tc>
        <w:tc>
          <w:tcPr>
            <w:tcW w:type="dxa" w:w="5102"/>
            <w:vAlign w:val="center"/>
            <w:shd w:fill="17365D"/>
            <w:tcMar>
              <w:top w:w="80" w:type="dxa"/>
              <w:left w:w="90" w:type="dxa"/>
              <w:bottom w:w="80" w:type="dxa"/>
              <w:right w:w="90" w:type="dxa"/>
            </w:tcMar>
          </w:tcPr>
          <w:p>
            <w:pPr>
              <w:jc w:val="center"/>
            </w:pPr>
            <w:r/>
            <w:r>
              <w:rPr>
                <w:rFonts w:ascii="Aptos" w:hAnsi="Aptos"/>
                <w:b/>
                <w:color w:val="FFFFFF"/>
                <w:sz w:val="16"/>
              </w:rPr>
              <w:t>Lectura práctica</w:t>
            </w:r>
          </w:p>
        </w:tc>
      </w:tr>
      <w:tr>
        <w:tc>
          <w:tcPr>
            <w:tcW w:type="dxa" w:w="3402"/>
            <w:vAlign w:val="center"/>
            <w:tcMar>
              <w:top w:w="80" w:type="dxa"/>
              <w:left w:w="90" w:type="dxa"/>
              <w:bottom w:w="80" w:type="dxa"/>
              <w:right w:w="90" w:type="dxa"/>
            </w:tcMar>
          </w:tcPr>
          <w:p>
            <w:r/>
            <w:r>
              <w:rPr>
                <w:rFonts w:ascii="Aptos" w:hAnsi="Aptos"/>
                <w:b w:val="0"/>
                <w:sz w:val="16"/>
              </w:rPr>
              <w:t>&lt;P25</w:t>
            </w:r>
          </w:p>
        </w:tc>
        <w:tc>
          <w:tcPr>
            <w:tcW w:type="dxa" w:w="5102"/>
            <w:vAlign w:val="center"/>
            <w:tcMar>
              <w:top w:w="80" w:type="dxa"/>
              <w:left w:w="90" w:type="dxa"/>
              <w:bottom w:w="80" w:type="dxa"/>
              <w:right w:w="90" w:type="dxa"/>
            </w:tcMar>
          </w:tcPr>
          <w:p>
            <w:r/>
            <w:r>
              <w:rPr>
                <w:rFonts w:ascii="Aptos" w:hAnsi="Aptos"/>
                <w:b w:val="0"/>
                <w:sz w:val="16"/>
              </w:rPr>
              <w:t>Bajo</w:t>
            </w:r>
          </w:p>
        </w:tc>
      </w:tr>
      <w:tr>
        <w:tc>
          <w:tcPr>
            <w:tcW w:type="dxa" w:w="3402"/>
            <w:vAlign w:val="center"/>
            <w:shd w:fill="F3F6F9"/>
            <w:tcMar>
              <w:top w:w="80" w:type="dxa"/>
              <w:left w:w="90" w:type="dxa"/>
              <w:bottom w:w="80" w:type="dxa"/>
              <w:right w:w="90" w:type="dxa"/>
            </w:tcMar>
          </w:tcPr>
          <w:p>
            <w:r/>
            <w:r>
              <w:rPr>
                <w:rFonts w:ascii="Aptos" w:hAnsi="Aptos"/>
                <w:b w:val="0"/>
                <w:sz w:val="16"/>
              </w:rPr>
              <w:t>P25–P49</w:t>
            </w:r>
          </w:p>
        </w:tc>
        <w:tc>
          <w:tcPr>
            <w:tcW w:type="dxa" w:w="5102"/>
            <w:vAlign w:val="center"/>
            <w:shd w:fill="F3F6F9"/>
            <w:tcMar>
              <w:top w:w="80" w:type="dxa"/>
              <w:left w:w="90" w:type="dxa"/>
              <w:bottom w:w="80" w:type="dxa"/>
              <w:right w:w="90" w:type="dxa"/>
            </w:tcMar>
          </w:tcPr>
          <w:p>
            <w:r/>
            <w:r>
              <w:rPr>
                <w:rFonts w:ascii="Aptos" w:hAnsi="Aptos"/>
                <w:b w:val="0"/>
                <w:sz w:val="16"/>
              </w:rPr>
              <w:t>Medio-bajo</w:t>
            </w:r>
          </w:p>
        </w:tc>
      </w:tr>
      <w:tr>
        <w:tc>
          <w:tcPr>
            <w:tcW w:type="dxa" w:w="3402"/>
            <w:vAlign w:val="center"/>
            <w:tcMar>
              <w:top w:w="80" w:type="dxa"/>
              <w:left w:w="90" w:type="dxa"/>
              <w:bottom w:w="80" w:type="dxa"/>
              <w:right w:w="90" w:type="dxa"/>
            </w:tcMar>
          </w:tcPr>
          <w:p>
            <w:r/>
            <w:r>
              <w:rPr>
                <w:rFonts w:ascii="Aptos" w:hAnsi="Aptos"/>
                <w:b w:val="0"/>
                <w:sz w:val="16"/>
              </w:rPr>
              <w:t>P50–P74</w:t>
            </w:r>
          </w:p>
        </w:tc>
        <w:tc>
          <w:tcPr>
            <w:tcW w:type="dxa" w:w="5102"/>
            <w:vAlign w:val="center"/>
            <w:tcMar>
              <w:top w:w="80" w:type="dxa"/>
              <w:left w:w="90" w:type="dxa"/>
              <w:bottom w:w="80" w:type="dxa"/>
              <w:right w:w="90" w:type="dxa"/>
            </w:tcMar>
          </w:tcPr>
          <w:p>
            <w:r/>
            <w:r>
              <w:rPr>
                <w:rFonts w:ascii="Aptos" w:hAnsi="Aptos"/>
                <w:b w:val="0"/>
                <w:sz w:val="16"/>
              </w:rPr>
              <w:t>Medio-alto</w:t>
            </w:r>
          </w:p>
        </w:tc>
      </w:tr>
      <w:tr>
        <w:tc>
          <w:tcPr>
            <w:tcW w:type="dxa" w:w="3402"/>
            <w:vAlign w:val="center"/>
            <w:shd w:fill="F3F6F9"/>
            <w:tcMar>
              <w:top w:w="80" w:type="dxa"/>
              <w:left w:w="90" w:type="dxa"/>
              <w:bottom w:w="80" w:type="dxa"/>
              <w:right w:w="90" w:type="dxa"/>
            </w:tcMar>
          </w:tcPr>
          <w:p>
            <w:r/>
            <w:r>
              <w:rPr>
                <w:rFonts w:ascii="Aptos" w:hAnsi="Aptos"/>
                <w:b w:val="0"/>
                <w:sz w:val="16"/>
              </w:rPr>
              <w:t>≥P75</w:t>
            </w:r>
          </w:p>
        </w:tc>
        <w:tc>
          <w:tcPr>
            <w:tcW w:type="dxa" w:w="5102"/>
            <w:vAlign w:val="center"/>
            <w:shd w:fill="F3F6F9"/>
            <w:tcMar>
              <w:top w:w="80" w:type="dxa"/>
              <w:left w:w="90" w:type="dxa"/>
              <w:bottom w:w="80" w:type="dxa"/>
              <w:right w:w="90" w:type="dxa"/>
            </w:tcMar>
          </w:tcPr>
          <w:p>
            <w:r/>
            <w:r>
              <w:rPr>
                <w:rFonts w:ascii="Aptos" w:hAnsi="Aptos"/>
                <w:b w:val="0"/>
                <w:sz w:val="16"/>
              </w:rPr>
              <w:t>Alto</w:t>
            </w:r>
          </w:p>
        </w:tc>
      </w:tr>
    </w:tbl>
    <w:p>
      <w:pPr>
        <w:spacing w:after="20"/>
      </w:pPr>
    </w:p>
    <w:p>
      <w:r>
        <w:br w:type="page"/>
      </w:r>
    </w:p>
    <w:p>
      <w:pPr>
        <w:pStyle w:val="Heading1"/>
        <w:keepNext/>
        <w:spacing w:before="160" w:after="80"/>
      </w:pPr>
      <w:r>
        <w:t>8. CMJ · Countermovement Jump con Chronojump</w:t>
      </w:r>
    </w:p>
    <w:p>
      <w:r>
        <w:t>El Countermovement Jump (CMJ) evalúa la capacidad explosiva del tren inferior a partir de un salto vertical precedido de un contramovimiento. Chronojump permite registrar la altura de salto mediante plataforma/contacto y, según el dispositivo, variables adicionales de tiempo y potencia.</w:t>
      </w:r>
    </w:p>
    <w:p>
      <w:pPr>
        <w:pStyle w:val="Heading2"/>
        <w:keepNext/>
        <w:spacing w:before="160" w:after="80"/>
      </w:pPr>
      <w:r>
        <w:t>Protocolo recomendado</w:t>
      </w:r>
    </w:p>
    <w:p>
      <w:pPr>
        <w:pStyle w:val="ListBullet"/>
        <w:spacing w:after="40"/>
      </w:pPr>
      <w:r>
        <w:t>Calentamiento general y específico con 2–4 saltos submáximos/progresivos.</w:t>
      </w:r>
    </w:p>
    <w:p>
      <w:pPr>
        <w:pStyle w:val="ListBullet"/>
        <w:spacing w:after="40"/>
      </w:pPr>
      <w:r>
        <w:t>Posición inicial erguida; manos en las caderas para reducir la contribución de los brazos, salvo que el protocolo del centro defina otra variante.</w:t>
      </w:r>
    </w:p>
    <w:p>
      <w:pPr>
        <w:pStyle w:val="ListBullet"/>
        <w:spacing w:after="40"/>
      </w:pPr>
      <w:r>
        <w:t>Realizar un descenso rápido y auto-seleccionado seguido inmediatamente de una extensión máxima y salto vertical.</w:t>
      </w:r>
    </w:p>
    <w:p>
      <w:pPr>
        <w:pStyle w:val="ListBullet"/>
        <w:spacing w:after="40"/>
      </w:pPr>
      <w:r>
        <w:t>Mantener las piernas extendidas durante la fase aérea y aterrizar de forma controlada.</w:t>
      </w:r>
    </w:p>
    <w:p>
      <w:pPr>
        <w:pStyle w:val="ListBullet"/>
        <w:spacing w:after="40"/>
      </w:pPr>
      <w:r>
        <w:t>Realizar 3 intentos máximos con 45–90 s de descanso; registrar el mejor y, si interesa monitorizar fatiga, también la media y variabilidad.</w:t>
      </w:r>
    </w:p>
    <w:p>
      <w:pPr>
        <w:pStyle w:val="Heading2"/>
        <w:keepNext/>
        <w:spacing w:before="160" w:after="80"/>
      </w:pPr>
      <w:r>
        <w:t>Interpretación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381"/>
            <w:vAlign w:val="center"/>
            <w:shd w:fill="17365D"/>
            <w:tcMar>
              <w:top w:w="80" w:type="dxa"/>
              <w:left w:w="90" w:type="dxa"/>
              <w:bottom w:w="80" w:type="dxa"/>
              <w:right w:w="90" w:type="dxa"/>
            </w:tcMar>
          </w:tcPr>
          <w:p>
            <w:pPr>
              <w:jc w:val="center"/>
            </w:pPr>
            <w:r/>
            <w:r>
              <w:rPr>
                <w:rFonts w:ascii="Aptos" w:hAnsi="Aptos"/>
                <w:b/>
                <w:color w:val="FFFFFF"/>
                <w:sz w:val="15"/>
              </w:rPr>
              <w:t>Referencia</w:t>
            </w:r>
          </w:p>
        </w:tc>
        <w:tc>
          <w:tcPr>
            <w:tcW w:type="dxa" w:w="1814"/>
            <w:vAlign w:val="center"/>
            <w:shd w:fill="17365D"/>
            <w:tcMar>
              <w:top w:w="80" w:type="dxa"/>
              <w:left w:w="90" w:type="dxa"/>
              <w:bottom w:w="80" w:type="dxa"/>
              <w:right w:w="90" w:type="dxa"/>
            </w:tcMar>
          </w:tcPr>
          <w:p>
            <w:pPr>
              <w:jc w:val="center"/>
            </w:pPr>
            <w:r/>
            <w:r>
              <w:rPr>
                <w:rFonts w:ascii="Aptos" w:hAnsi="Aptos"/>
                <w:b/>
                <w:color w:val="FFFFFF"/>
                <w:sz w:val="15"/>
              </w:rPr>
              <w:t>Mujeres</w:t>
            </w:r>
          </w:p>
        </w:tc>
        <w:tc>
          <w:tcPr>
            <w:tcW w:type="dxa" w:w="1814"/>
            <w:vAlign w:val="center"/>
            <w:shd w:fill="17365D"/>
            <w:tcMar>
              <w:top w:w="80" w:type="dxa"/>
              <w:left w:w="90" w:type="dxa"/>
              <w:bottom w:w="80" w:type="dxa"/>
              <w:right w:w="90" w:type="dxa"/>
            </w:tcMar>
          </w:tcPr>
          <w:p>
            <w:pPr>
              <w:jc w:val="center"/>
            </w:pPr>
            <w:r/>
            <w:r>
              <w:rPr>
                <w:rFonts w:ascii="Aptos" w:hAnsi="Aptos"/>
                <w:b/>
                <w:color w:val="FFFFFF"/>
                <w:sz w:val="15"/>
              </w:rPr>
              <w:t>Hombres</w:t>
            </w:r>
          </w:p>
        </w:tc>
        <w:tc>
          <w:tcPr>
            <w:tcW w:type="dxa" w:w="2948"/>
            <w:vAlign w:val="center"/>
            <w:shd w:fill="17365D"/>
            <w:tcMar>
              <w:top w:w="80" w:type="dxa"/>
              <w:left w:w="90" w:type="dxa"/>
              <w:bottom w:w="80" w:type="dxa"/>
              <w:right w:w="90" w:type="dxa"/>
            </w:tcMar>
          </w:tcPr>
          <w:p>
            <w:pPr>
              <w:jc w:val="center"/>
            </w:pPr>
            <w:r/>
            <w:r>
              <w:rPr>
                <w:rFonts w:ascii="Aptos" w:hAnsi="Aptos"/>
                <w:b/>
                <w:color w:val="FFFFFF"/>
                <w:sz w:val="15"/>
              </w:rPr>
              <w:t>Comentario</w:t>
            </w:r>
          </w:p>
        </w:tc>
      </w:tr>
      <w:tr>
        <w:tc>
          <w:tcPr>
            <w:tcW w:type="dxa" w:w="2381"/>
            <w:vAlign w:val="center"/>
            <w:tcMar>
              <w:top w:w="80" w:type="dxa"/>
              <w:left w:w="90" w:type="dxa"/>
              <w:bottom w:w="80" w:type="dxa"/>
              <w:right w:w="90" w:type="dxa"/>
            </w:tcMar>
          </w:tcPr>
          <w:p>
            <w:r/>
            <w:r>
              <w:rPr>
                <w:rFonts w:ascii="Aptos" w:hAnsi="Aptos"/>
                <w:b w:val="0"/>
                <w:sz w:val="15"/>
              </w:rPr>
              <w:t>Rangos descritos en atletas entrenados</w:t>
            </w:r>
          </w:p>
        </w:tc>
        <w:tc>
          <w:tcPr>
            <w:tcW w:type="dxa" w:w="1814"/>
            <w:vAlign w:val="center"/>
            <w:tcMar>
              <w:top w:w="80" w:type="dxa"/>
              <w:left w:w="90" w:type="dxa"/>
              <w:bottom w:w="80" w:type="dxa"/>
              <w:right w:w="90" w:type="dxa"/>
            </w:tcMar>
          </w:tcPr>
          <w:p>
            <w:r/>
            <w:r>
              <w:rPr>
                <w:rFonts w:ascii="Aptos" w:hAnsi="Aptos"/>
                <w:b w:val="0"/>
                <w:sz w:val="15"/>
              </w:rPr>
              <w:t>≈36–45 cm</w:t>
            </w:r>
          </w:p>
        </w:tc>
        <w:tc>
          <w:tcPr>
            <w:tcW w:type="dxa" w:w="1814"/>
            <w:vAlign w:val="center"/>
            <w:tcMar>
              <w:top w:w="80" w:type="dxa"/>
              <w:left w:w="90" w:type="dxa"/>
              <w:bottom w:w="80" w:type="dxa"/>
              <w:right w:w="90" w:type="dxa"/>
            </w:tcMar>
          </w:tcPr>
          <w:p>
            <w:r/>
            <w:r>
              <w:rPr>
                <w:rFonts w:ascii="Aptos" w:hAnsi="Aptos"/>
                <w:b w:val="0"/>
                <w:sz w:val="15"/>
              </w:rPr>
              <w:t>≈45–60 cm</w:t>
            </w:r>
          </w:p>
        </w:tc>
        <w:tc>
          <w:tcPr>
            <w:tcW w:type="dxa" w:w="2948"/>
            <w:vAlign w:val="center"/>
            <w:tcMar>
              <w:top w:w="80" w:type="dxa"/>
              <w:left w:w="90" w:type="dxa"/>
              <w:bottom w:w="80" w:type="dxa"/>
              <w:right w:w="90" w:type="dxa"/>
            </w:tcMar>
          </w:tcPr>
          <w:p>
            <w:r/>
            <w:r>
              <w:rPr>
                <w:rFonts w:ascii="Aptos" w:hAnsi="Aptos"/>
                <w:b w:val="0"/>
                <w:sz w:val="15"/>
              </w:rPr>
              <w:t>Contexto de rendimiento; no son normas universales para población general. [8]</w:t>
            </w:r>
          </w:p>
        </w:tc>
      </w:tr>
      <w:tr>
        <w:tc>
          <w:tcPr>
            <w:tcW w:type="dxa" w:w="2381"/>
            <w:vAlign w:val="center"/>
            <w:shd w:fill="F3F6F9"/>
            <w:tcMar>
              <w:top w:w="80" w:type="dxa"/>
              <w:left w:w="90" w:type="dxa"/>
              <w:bottom w:w="80" w:type="dxa"/>
              <w:right w:w="90" w:type="dxa"/>
            </w:tcMar>
          </w:tcPr>
          <w:p>
            <w:r/>
            <w:r>
              <w:rPr>
                <w:rFonts w:ascii="Aptos" w:hAnsi="Aptos"/>
                <w:b w:val="0"/>
                <w:sz w:val="15"/>
              </w:rPr>
              <w:t>Seguimiento individual</w:t>
            </w:r>
          </w:p>
        </w:tc>
        <w:tc>
          <w:tcPr>
            <w:tcW w:type="dxa" w:w="1814"/>
            <w:vAlign w:val="center"/>
            <w:shd w:fill="F3F6F9"/>
            <w:tcMar>
              <w:top w:w="80" w:type="dxa"/>
              <w:left w:w="90" w:type="dxa"/>
              <w:bottom w:w="80" w:type="dxa"/>
              <w:right w:w="90" w:type="dxa"/>
            </w:tcMar>
          </w:tcPr>
          <w:p>
            <w:r/>
            <w:r>
              <w:rPr>
                <w:rFonts w:ascii="Aptos" w:hAnsi="Aptos"/>
                <w:b w:val="0"/>
                <w:sz w:val="15"/>
              </w:rPr>
              <w:t>Cambio vs. mejor/mediana previa</w:t>
            </w:r>
          </w:p>
        </w:tc>
        <w:tc>
          <w:tcPr>
            <w:tcW w:type="dxa" w:w="1814"/>
            <w:vAlign w:val="center"/>
            <w:shd w:fill="F3F6F9"/>
            <w:tcMar>
              <w:top w:w="80" w:type="dxa"/>
              <w:left w:w="90" w:type="dxa"/>
              <w:bottom w:w="80" w:type="dxa"/>
              <w:right w:w="90" w:type="dxa"/>
            </w:tcMar>
          </w:tcPr>
          <w:p>
            <w:r/>
            <w:r>
              <w:rPr>
                <w:rFonts w:ascii="Aptos" w:hAnsi="Aptos"/>
                <w:b w:val="0"/>
                <w:sz w:val="15"/>
              </w:rPr>
              <w:t>Cambio vs. mejor/mediana previa</w:t>
            </w:r>
          </w:p>
        </w:tc>
        <w:tc>
          <w:tcPr>
            <w:tcW w:type="dxa" w:w="2948"/>
            <w:vAlign w:val="center"/>
            <w:shd w:fill="F3F6F9"/>
            <w:tcMar>
              <w:top w:w="80" w:type="dxa"/>
              <w:left w:w="90" w:type="dxa"/>
              <w:bottom w:w="80" w:type="dxa"/>
              <w:right w:w="90" w:type="dxa"/>
            </w:tcMar>
          </w:tcPr>
          <w:p>
            <w:r/>
            <w:r>
              <w:rPr>
                <w:rFonts w:ascii="Aptos" w:hAnsi="Aptos"/>
                <w:b w:val="0"/>
                <w:sz w:val="15"/>
              </w:rPr>
              <w:t>Muy útil para valorar adaptación y estado neuromuscular.</w:t>
            </w:r>
          </w:p>
        </w:tc>
      </w:tr>
    </w:tbl>
    <w:p>
      <w:pPr>
        <w:spacing w:after="20"/>
      </w:pPr>
    </w:p>
    <w:tbl>
      <w:tblPr>
        <w:tblStyle w:val="TableGrid"/>
        <w:tblW w:type="auto" w:w="0"/>
        <w:jc w:val="center"/>
        <w:tblLook w:firstColumn="1" w:firstRow="1" w:lastColumn="0" w:lastRow="0" w:noHBand="0" w:noVBand="1" w:val="04A0"/>
      </w:tblPr>
      <w:tblGrid>
        <w:gridCol w:w="10200"/>
      </w:tblGrid>
      <w:tr>
        <w:tc>
          <w:tcPr>
            <w:tcW w:type="dxa" w:w="10200"/>
            <w:shd w:fill="EAF2F8"/>
            <w:tcMar>
              <w:top w:w="80" w:type="dxa"/>
              <w:left w:w="90" w:type="dxa"/>
              <w:bottom w:w="80" w:type="dxa"/>
              <w:right w:w="90" w:type="dxa"/>
            </w:tcMar>
          </w:tcPr>
          <w:p>
            <w:pPr>
              <w:spacing w:after="40"/>
            </w:pPr>
            <w:r>
              <w:rPr>
                <w:i/>
                <w:sz w:val="17"/>
              </w:rPr>
              <w:t>La altura CMJ depende de edad, sexo, nivel deportivo, técnica y tecnología de medición. Comparar siempre con el mismo sistema y el mismo protocolo. En deportistas de élite las diferencias por disciplina pueden ser muy grandes. [8]</w:t>
            </w:r>
          </w:p>
        </w:tc>
      </w:tr>
    </w:tbl>
    <w:p>
      <w:pPr>
        <w:spacing w:after="20"/>
      </w:pPr>
    </w:p>
    <w:p>
      <w:pPr>
        <w:pStyle w:val="Heading2"/>
        <w:keepNext/>
        <w:spacing w:before="160" w:after="80"/>
      </w:pPr>
      <w:r>
        <w:t>Variables útiles si Chronojump las proporciona</w:t>
      </w:r>
    </w:p>
    <w:p>
      <w:pPr>
        <w:pStyle w:val="ListBullet"/>
        <w:spacing w:after="40"/>
      </w:pPr>
      <w:r>
        <w:t>Altura de salto (cm): indicador principal y fácil de comunicar.</w:t>
      </w:r>
    </w:p>
    <w:p>
      <w:pPr>
        <w:pStyle w:val="ListBullet"/>
        <w:spacing w:after="40"/>
      </w:pPr>
      <w:r>
        <w:t>Tiempo de vuelo / tiempo de contacto: según modalidad y dispositivo.</w:t>
      </w:r>
    </w:p>
    <w:p>
      <w:pPr>
        <w:pStyle w:val="ListBullet"/>
        <w:spacing w:after="40"/>
      </w:pPr>
      <w:r>
        <w:t>Potencia estimada o variables de fuerza: interpretar solo si el hardware y algoritmo utilizado son consistentes.</w:t>
      </w:r>
    </w:p>
    <w:p>
      <w:r>
        <w:br w:type="page"/>
      </w:r>
    </w:p>
    <w:p>
      <w:pPr>
        <w:pStyle w:val="Heading1"/>
        <w:keepNext/>
        <w:spacing w:before="160" w:after="80"/>
      </w:pPr>
      <w:r>
        <w:t>9. Hoja resumen de resultados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vAlign w:val="center"/>
            <w:shd w:fill="17365D"/>
            <w:tcMar>
              <w:top w:w="80" w:type="dxa"/>
              <w:left w:w="90" w:type="dxa"/>
              <w:bottom w:w="80" w:type="dxa"/>
              <w:right w:w="90" w:type="dxa"/>
            </w:tcMar>
          </w:tcPr>
          <w:p>
            <w:pPr>
              <w:jc w:val="center"/>
            </w:pPr>
            <w:r/>
            <w:r>
              <w:rPr>
                <w:rFonts w:ascii="Aptos" w:hAnsi="Aptos"/>
                <w:b/>
                <w:color w:val="FFFFFF"/>
                <w:sz w:val="15"/>
              </w:rPr>
              <w:t>Test</w:t>
            </w:r>
          </w:p>
        </w:tc>
        <w:tc>
          <w:tcPr>
            <w:tcW w:type="dxa" w:w="2154"/>
            <w:vAlign w:val="center"/>
            <w:shd w:fill="17365D"/>
            <w:tcMar>
              <w:top w:w="80" w:type="dxa"/>
              <w:left w:w="90" w:type="dxa"/>
              <w:bottom w:w="80" w:type="dxa"/>
              <w:right w:w="90" w:type="dxa"/>
            </w:tcMar>
          </w:tcPr>
          <w:p>
            <w:pPr>
              <w:jc w:val="center"/>
            </w:pPr>
            <w:r/>
            <w:r>
              <w:rPr>
                <w:rFonts w:ascii="Aptos" w:hAnsi="Aptos"/>
                <w:b/>
                <w:color w:val="FFFFFF"/>
                <w:sz w:val="15"/>
              </w:rPr>
              <w:t>Resultado</w:t>
            </w:r>
          </w:p>
        </w:tc>
        <w:tc>
          <w:tcPr>
            <w:tcW w:type="dxa" w:w="3402"/>
            <w:vAlign w:val="center"/>
            <w:shd w:fill="17365D"/>
            <w:tcMar>
              <w:top w:w="80" w:type="dxa"/>
              <w:left w:w="90" w:type="dxa"/>
              <w:bottom w:w="80" w:type="dxa"/>
              <w:right w:w="90" w:type="dxa"/>
            </w:tcMar>
          </w:tcPr>
          <w:p>
            <w:pPr>
              <w:jc w:val="center"/>
            </w:pPr>
            <w:r/>
            <w:r>
              <w:rPr>
                <w:rFonts w:ascii="Aptos" w:hAnsi="Aptos"/>
                <w:b/>
                <w:color w:val="FFFFFF"/>
                <w:sz w:val="15"/>
              </w:rPr>
              <w:t>Referencia / criterio</w:t>
            </w:r>
          </w:p>
        </w:tc>
        <w:tc>
          <w:tcPr>
            <w:tcW w:type="dxa" w:w="1701"/>
            <w:vAlign w:val="center"/>
            <w:shd w:fill="17365D"/>
            <w:tcMar>
              <w:top w:w="80" w:type="dxa"/>
              <w:left w:w="90" w:type="dxa"/>
              <w:bottom w:w="80" w:type="dxa"/>
              <w:right w:w="90" w:type="dxa"/>
            </w:tcMar>
          </w:tcPr>
          <w:p>
            <w:pPr>
              <w:jc w:val="center"/>
            </w:pPr>
            <w:r/>
            <w:r>
              <w:rPr>
                <w:rFonts w:ascii="Aptos" w:hAnsi="Aptos"/>
                <w:b/>
                <w:color w:val="FFFFFF"/>
                <w:sz w:val="15"/>
              </w:rPr>
              <w:t>Observaciones</w:t>
            </w:r>
          </w:p>
        </w:tc>
      </w:tr>
      <w:tr>
        <w:tc>
          <w:tcPr>
            <w:tcW w:type="dxa" w:w="2268"/>
            <w:vAlign w:val="center"/>
            <w:tcMar>
              <w:top w:w="80" w:type="dxa"/>
              <w:left w:w="90" w:type="dxa"/>
              <w:bottom w:w="80" w:type="dxa"/>
              <w:right w:w="90" w:type="dxa"/>
            </w:tcMar>
          </w:tcPr>
          <w:p>
            <w:r/>
            <w:r>
              <w:rPr>
                <w:rFonts w:ascii="Aptos" w:hAnsi="Aptos"/>
                <w:b w:val="0"/>
                <w:sz w:val="15"/>
              </w:rPr>
              <w:t>FMS</w:t>
            </w:r>
          </w:p>
        </w:tc>
        <w:tc>
          <w:tcPr>
            <w:tcW w:type="dxa" w:w="2154"/>
            <w:vAlign w:val="center"/>
            <w:tcMar>
              <w:top w:w="80" w:type="dxa"/>
              <w:left w:w="90" w:type="dxa"/>
              <w:bottom w:w="80" w:type="dxa"/>
              <w:right w:w="90" w:type="dxa"/>
            </w:tcMar>
          </w:tcPr>
          <w:p>
            <w:r/>
            <w:r>
              <w:rPr>
                <w:rFonts w:ascii="Aptos" w:hAnsi="Aptos"/>
                <w:b w:val="0"/>
                <w:sz w:val="15"/>
              </w:rPr>
              <w:t>____ / 21</w:t>
            </w:r>
          </w:p>
        </w:tc>
        <w:tc>
          <w:tcPr>
            <w:tcW w:type="dxa" w:w="3402"/>
            <w:vAlign w:val="center"/>
            <w:tcMar>
              <w:top w:w="80" w:type="dxa"/>
              <w:left w:w="90" w:type="dxa"/>
              <w:bottom w:w="80" w:type="dxa"/>
              <w:right w:w="90" w:type="dxa"/>
            </w:tcMar>
          </w:tcPr>
          <w:p>
            <w:r/>
            <w:r>
              <w:rPr>
                <w:rFonts w:ascii="Aptos" w:hAnsi="Aptos"/>
                <w:b w:val="0"/>
                <w:sz w:val="15"/>
              </w:rPr>
              <w:t>0–3 por patrón; registrar asimetrías y dolor</w:t>
            </w:r>
          </w:p>
        </w:tc>
        <w:tc>
          <w:tcPr>
            <w:tcW w:type="dxa" w:w="1701"/>
            <w:vAlign w:val="center"/>
            <w:tcMar>
              <w:top w:w="80" w:type="dxa"/>
              <w:left w:w="90" w:type="dxa"/>
              <w:bottom w:w="80" w:type="dxa"/>
              <w:right w:w="90" w:type="dxa"/>
            </w:tcMar>
          </w:tcPr>
          <w:p>
            <w:r/>
            <w:r>
              <w:rPr>
                <w:rFonts w:ascii="Aptos" w:hAnsi="Aptos"/>
                <w:b w:val="0"/>
                <w:sz w:val="15"/>
              </w:rPr>
            </w:r>
          </w:p>
        </w:tc>
      </w:tr>
      <w:tr>
        <w:tc>
          <w:tcPr>
            <w:tcW w:type="dxa" w:w="2268"/>
            <w:vAlign w:val="center"/>
            <w:shd w:fill="F3F6F9"/>
            <w:tcMar>
              <w:top w:w="80" w:type="dxa"/>
              <w:left w:w="90" w:type="dxa"/>
              <w:bottom w:w="80" w:type="dxa"/>
              <w:right w:w="90" w:type="dxa"/>
            </w:tcMar>
          </w:tcPr>
          <w:p>
            <w:r/>
            <w:r>
              <w:rPr>
                <w:rFonts w:ascii="Aptos" w:hAnsi="Aptos"/>
                <w:b w:val="0"/>
                <w:sz w:val="15"/>
              </w:rPr>
              <w:t>Handgrip derecha</w:t>
            </w:r>
          </w:p>
        </w:tc>
        <w:tc>
          <w:tcPr>
            <w:tcW w:type="dxa" w:w="2154"/>
            <w:vAlign w:val="center"/>
            <w:shd w:fill="F3F6F9"/>
            <w:tcMar>
              <w:top w:w="80" w:type="dxa"/>
              <w:left w:w="90" w:type="dxa"/>
              <w:bottom w:w="80" w:type="dxa"/>
              <w:right w:w="90" w:type="dxa"/>
            </w:tcMar>
          </w:tcPr>
          <w:p>
            <w:r/>
            <w:r>
              <w:rPr>
                <w:rFonts w:ascii="Aptos" w:hAnsi="Aptos"/>
                <w:b w:val="0"/>
                <w:sz w:val="15"/>
              </w:rPr>
              <w:t>____ kg</w:t>
            </w:r>
          </w:p>
        </w:tc>
        <w:tc>
          <w:tcPr>
            <w:tcW w:type="dxa" w:w="3402"/>
            <w:vAlign w:val="center"/>
            <w:shd w:fill="F3F6F9"/>
            <w:tcMar>
              <w:top w:w="80" w:type="dxa"/>
              <w:left w:w="90" w:type="dxa"/>
              <w:bottom w:w="80" w:type="dxa"/>
              <w:right w:w="90" w:type="dxa"/>
            </w:tcMar>
          </w:tcPr>
          <w:p>
            <w:r/>
            <w:r>
              <w:rPr>
                <w:rFonts w:ascii="Aptos" w:hAnsi="Aptos"/>
                <w:b w:val="0"/>
                <w:sz w:val="15"/>
              </w:rPr>
              <w:t>Edad/sexo; EWGSOP2 si contexto clínico</w:t>
            </w:r>
          </w:p>
        </w:tc>
        <w:tc>
          <w:tcPr>
            <w:tcW w:type="dxa" w:w="1701"/>
            <w:vAlign w:val="center"/>
            <w:shd w:fill="F3F6F9"/>
            <w:tcMar>
              <w:top w:w="80" w:type="dxa"/>
              <w:left w:w="90" w:type="dxa"/>
              <w:bottom w:w="80" w:type="dxa"/>
              <w:right w:w="90" w:type="dxa"/>
            </w:tcMar>
          </w:tcPr>
          <w:p>
            <w:r/>
            <w:r>
              <w:rPr>
                <w:rFonts w:ascii="Aptos" w:hAnsi="Aptos"/>
                <w:b w:val="0"/>
                <w:sz w:val="15"/>
              </w:rPr>
            </w:r>
          </w:p>
        </w:tc>
      </w:tr>
      <w:tr>
        <w:tc>
          <w:tcPr>
            <w:tcW w:type="dxa" w:w="2268"/>
            <w:vAlign w:val="center"/>
            <w:tcMar>
              <w:top w:w="80" w:type="dxa"/>
              <w:left w:w="90" w:type="dxa"/>
              <w:bottom w:w="80" w:type="dxa"/>
              <w:right w:w="90" w:type="dxa"/>
            </w:tcMar>
          </w:tcPr>
          <w:p>
            <w:r/>
            <w:r>
              <w:rPr>
                <w:rFonts w:ascii="Aptos" w:hAnsi="Aptos"/>
                <w:b w:val="0"/>
                <w:sz w:val="15"/>
              </w:rPr>
              <w:t>Handgrip izquierda</w:t>
            </w:r>
          </w:p>
        </w:tc>
        <w:tc>
          <w:tcPr>
            <w:tcW w:type="dxa" w:w="2154"/>
            <w:vAlign w:val="center"/>
            <w:tcMar>
              <w:top w:w="80" w:type="dxa"/>
              <w:left w:w="90" w:type="dxa"/>
              <w:bottom w:w="80" w:type="dxa"/>
              <w:right w:w="90" w:type="dxa"/>
            </w:tcMar>
          </w:tcPr>
          <w:p>
            <w:r/>
            <w:r>
              <w:rPr>
                <w:rFonts w:ascii="Aptos" w:hAnsi="Aptos"/>
                <w:b w:val="0"/>
                <w:sz w:val="15"/>
              </w:rPr>
              <w:t>____ kg</w:t>
            </w:r>
          </w:p>
        </w:tc>
        <w:tc>
          <w:tcPr>
            <w:tcW w:type="dxa" w:w="3402"/>
            <w:vAlign w:val="center"/>
            <w:tcMar>
              <w:top w:w="80" w:type="dxa"/>
              <w:left w:w="90" w:type="dxa"/>
              <w:bottom w:w="80" w:type="dxa"/>
              <w:right w:w="90" w:type="dxa"/>
            </w:tcMar>
          </w:tcPr>
          <w:p>
            <w:r/>
            <w:r>
              <w:rPr>
                <w:rFonts w:ascii="Aptos" w:hAnsi="Aptos"/>
                <w:b w:val="0"/>
                <w:sz w:val="15"/>
              </w:rPr>
              <w:t>Edad/sexo; EWGSOP2 si contexto clínico</w:t>
            </w:r>
          </w:p>
        </w:tc>
        <w:tc>
          <w:tcPr>
            <w:tcW w:type="dxa" w:w="1701"/>
            <w:vAlign w:val="center"/>
            <w:tcMar>
              <w:top w:w="80" w:type="dxa"/>
              <w:left w:w="90" w:type="dxa"/>
              <w:bottom w:w="80" w:type="dxa"/>
              <w:right w:w="90" w:type="dxa"/>
            </w:tcMar>
          </w:tcPr>
          <w:p>
            <w:r/>
            <w:r>
              <w:rPr>
                <w:rFonts w:ascii="Aptos" w:hAnsi="Aptos"/>
                <w:b w:val="0"/>
                <w:sz w:val="15"/>
              </w:rPr>
            </w:r>
          </w:p>
        </w:tc>
      </w:tr>
      <w:tr>
        <w:tc>
          <w:tcPr>
            <w:tcW w:type="dxa" w:w="2268"/>
            <w:vAlign w:val="center"/>
            <w:shd w:fill="F3F6F9"/>
            <w:tcMar>
              <w:top w:w="80" w:type="dxa"/>
              <w:left w:w="90" w:type="dxa"/>
              <w:bottom w:w="80" w:type="dxa"/>
              <w:right w:w="90" w:type="dxa"/>
            </w:tcMar>
          </w:tcPr>
          <w:p>
            <w:r/>
            <w:r>
              <w:rPr>
                <w:rFonts w:ascii="Aptos" w:hAnsi="Aptos"/>
                <w:b w:val="0"/>
                <w:sz w:val="15"/>
              </w:rPr>
              <w:t>30” Chair Stand</w:t>
            </w:r>
          </w:p>
        </w:tc>
        <w:tc>
          <w:tcPr>
            <w:tcW w:type="dxa" w:w="2154"/>
            <w:vAlign w:val="center"/>
            <w:shd w:fill="F3F6F9"/>
            <w:tcMar>
              <w:top w:w="80" w:type="dxa"/>
              <w:left w:w="90" w:type="dxa"/>
              <w:bottom w:w="80" w:type="dxa"/>
              <w:right w:w="90" w:type="dxa"/>
            </w:tcMar>
          </w:tcPr>
          <w:p>
            <w:r/>
            <w:r>
              <w:rPr>
                <w:rFonts w:ascii="Aptos" w:hAnsi="Aptos"/>
                <w:b w:val="0"/>
                <w:sz w:val="15"/>
              </w:rPr>
              <w:t>____ rep</w:t>
            </w:r>
          </w:p>
        </w:tc>
        <w:tc>
          <w:tcPr>
            <w:tcW w:type="dxa" w:w="3402"/>
            <w:vAlign w:val="center"/>
            <w:shd w:fill="F3F6F9"/>
            <w:tcMar>
              <w:top w:w="80" w:type="dxa"/>
              <w:left w:w="90" w:type="dxa"/>
              <w:bottom w:w="80" w:type="dxa"/>
              <w:right w:w="90" w:type="dxa"/>
            </w:tcMar>
          </w:tcPr>
          <w:p>
            <w:r/>
            <w:r>
              <w:rPr>
                <w:rFonts w:ascii="Aptos" w:hAnsi="Aptos"/>
                <w:b w:val="0"/>
                <w:sz w:val="15"/>
              </w:rPr>
              <w:t>STEADI 60–94 años</w:t>
            </w:r>
          </w:p>
        </w:tc>
        <w:tc>
          <w:tcPr>
            <w:tcW w:type="dxa" w:w="1701"/>
            <w:vAlign w:val="center"/>
            <w:shd w:fill="F3F6F9"/>
            <w:tcMar>
              <w:top w:w="80" w:type="dxa"/>
              <w:left w:w="90" w:type="dxa"/>
              <w:bottom w:w="80" w:type="dxa"/>
              <w:right w:w="90" w:type="dxa"/>
            </w:tcMar>
          </w:tcPr>
          <w:p>
            <w:r/>
            <w:r>
              <w:rPr>
                <w:rFonts w:ascii="Aptos" w:hAnsi="Aptos"/>
                <w:b w:val="0"/>
                <w:sz w:val="15"/>
              </w:rPr>
            </w:r>
          </w:p>
        </w:tc>
      </w:tr>
      <w:tr>
        <w:tc>
          <w:tcPr>
            <w:tcW w:type="dxa" w:w="2268"/>
            <w:vAlign w:val="center"/>
            <w:tcMar>
              <w:top w:w="80" w:type="dxa"/>
              <w:left w:w="90" w:type="dxa"/>
              <w:bottom w:w="80" w:type="dxa"/>
              <w:right w:w="90" w:type="dxa"/>
            </w:tcMar>
          </w:tcPr>
          <w:p>
            <w:r/>
            <w:r>
              <w:rPr>
                <w:rFonts w:ascii="Aptos" w:hAnsi="Aptos"/>
                <w:b w:val="0"/>
                <w:sz w:val="15"/>
              </w:rPr>
              <w:t>TUG</w:t>
            </w:r>
          </w:p>
        </w:tc>
        <w:tc>
          <w:tcPr>
            <w:tcW w:type="dxa" w:w="2154"/>
            <w:vAlign w:val="center"/>
            <w:tcMar>
              <w:top w:w="80" w:type="dxa"/>
              <w:left w:w="90" w:type="dxa"/>
              <w:bottom w:w="80" w:type="dxa"/>
              <w:right w:w="90" w:type="dxa"/>
            </w:tcMar>
          </w:tcPr>
          <w:p>
            <w:r/>
            <w:r>
              <w:rPr>
                <w:rFonts w:ascii="Aptos" w:hAnsi="Aptos"/>
                <w:b w:val="0"/>
                <w:sz w:val="15"/>
              </w:rPr>
              <w:t>____ s</w:t>
            </w:r>
          </w:p>
        </w:tc>
        <w:tc>
          <w:tcPr>
            <w:tcW w:type="dxa" w:w="3402"/>
            <w:vAlign w:val="center"/>
            <w:tcMar>
              <w:top w:w="80" w:type="dxa"/>
              <w:left w:w="90" w:type="dxa"/>
              <w:bottom w:w="80" w:type="dxa"/>
              <w:right w:w="90" w:type="dxa"/>
            </w:tcMar>
          </w:tcPr>
          <w:p>
            <w:r/>
            <w:r>
              <w:rPr>
                <w:rFonts w:ascii="Aptos" w:hAnsi="Aptos"/>
                <w:b w:val="0"/>
                <w:sz w:val="15"/>
              </w:rPr>
              <w:t>≥12 s: riesgo de caída en adultos mayores</w:t>
            </w:r>
          </w:p>
        </w:tc>
        <w:tc>
          <w:tcPr>
            <w:tcW w:type="dxa" w:w="1701"/>
            <w:vAlign w:val="center"/>
            <w:tcMar>
              <w:top w:w="80" w:type="dxa"/>
              <w:left w:w="90" w:type="dxa"/>
              <w:bottom w:w="80" w:type="dxa"/>
              <w:right w:w="90" w:type="dxa"/>
            </w:tcMar>
          </w:tcPr>
          <w:p>
            <w:r/>
            <w:r>
              <w:rPr>
                <w:rFonts w:ascii="Aptos" w:hAnsi="Aptos"/>
                <w:b w:val="0"/>
                <w:sz w:val="15"/>
              </w:rPr>
            </w:r>
          </w:p>
        </w:tc>
      </w:tr>
      <w:tr>
        <w:tc>
          <w:tcPr>
            <w:tcW w:type="dxa" w:w="2268"/>
            <w:vAlign w:val="center"/>
            <w:shd w:fill="F3F6F9"/>
            <w:tcMar>
              <w:top w:w="80" w:type="dxa"/>
              <w:left w:w="90" w:type="dxa"/>
              <w:bottom w:w="80" w:type="dxa"/>
              <w:right w:w="90" w:type="dxa"/>
            </w:tcMar>
          </w:tcPr>
          <w:p>
            <w:r/>
            <w:r>
              <w:rPr>
                <w:rFonts w:ascii="Aptos" w:hAnsi="Aptos"/>
                <w:b w:val="0"/>
                <w:sz w:val="15"/>
              </w:rPr>
              <w:t>SMBT</w:t>
            </w:r>
          </w:p>
        </w:tc>
        <w:tc>
          <w:tcPr>
            <w:tcW w:type="dxa" w:w="2154"/>
            <w:vAlign w:val="center"/>
            <w:shd w:fill="F3F6F9"/>
            <w:tcMar>
              <w:top w:w="80" w:type="dxa"/>
              <w:left w:w="90" w:type="dxa"/>
              <w:bottom w:w="80" w:type="dxa"/>
              <w:right w:w="90" w:type="dxa"/>
            </w:tcMar>
          </w:tcPr>
          <w:p>
            <w:r/>
            <w:r>
              <w:rPr>
                <w:rFonts w:ascii="Aptos" w:hAnsi="Aptos"/>
                <w:b w:val="0"/>
                <w:sz w:val="15"/>
              </w:rPr>
              <w:t>____ m</w:t>
            </w:r>
          </w:p>
        </w:tc>
        <w:tc>
          <w:tcPr>
            <w:tcW w:type="dxa" w:w="3402"/>
            <w:vAlign w:val="center"/>
            <w:shd w:fill="F3F6F9"/>
            <w:tcMar>
              <w:top w:w="80" w:type="dxa"/>
              <w:left w:w="90" w:type="dxa"/>
              <w:bottom w:w="80" w:type="dxa"/>
              <w:right w:w="90" w:type="dxa"/>
            </w:tcMar>
          </w:tcPr>
          <w:p>
            <w:r/>
            <w:r>
              <w:rPr>
                <w:rFonts w:ascii="Aptos" w:hAnsi="Aptos"/>
                <w:b w:val="0"/>
                <w:sz w:val="15"/>
              </w:rPr>
              <w:t>Mismo balón/protocolo; percentiles internos</w:t>
            </w:r>
          </w:p>
        </w:tc>
        <w:tc>
          <w:tcPr>
            <w:tcW w:type="dxa" w:w="1701"/>
            <w:vAlign w:val="center"/>
            <w:shd w:fill="F3F6F9"/>
            <w:tcMar>
              <w:top w:w="80" w:type="dxa"/>
              <w:left w:w="90" w:type="dxa"/>
              <w:bottom w:w="80" w:type="dxa"/>
              <w:right w:w="90" w:type="dxa"/>
            </w:tcMar>
          </w:tcPr>
          <w:p>
            <w:r/>
            <w:r>
              <w:rPr>
                <w:rFonts w:ascii="Aptos" w:hAnsi="Aptos"/>
                <w:b w:val="0"/>
                <w:sz w:val="15"/>
              </w:rPr>
            </w:r>
          </w:p>
        </w:tc>
      </w:tr>
      <w:tr>
        <w:tc>
          <w:tcPr>
            <w:tcW w:type="dxa" w:w="2268"/>
            <w:vAlign w:val="center"/>
            <w:tcMar>
              <w:top w:w="80" w:type="dxa"/>
              <w:left w:w="90" w:type="dxa"/>
              <w:bottom w:w="80" w:type="dxa"/>
              <w:right w:w="90" w:type="dxa"/>
            </w:tcMar>
          </w:tcPr>
          <w:p>
            <w:r/>
            <w:r>
              <w:rPr>
                <w:rFonts w:ascii="Aptos" w:hAnsi="Aptos"/>
                <w:b w:val="0"/>
                <w:sz w:val="15"/>
              </w:rPr>
              <w:t>AirBike 6 min</w:t>
            </w:r>
          </w:p>
        </w:tc>
        <w:tc>
          <w:tcPr>
            <w:tcW w:type="dxa" w:w="2154"/>
            <w:vAlign w:val="center"/>
            <w:tcMar>
              <w:top w:w="80" w:type="dxa"/>
              <w:left w:w="90" w:type="dxa"/>
              <w:bottom w:w="80" w:type="dxa"/>
              <w:right w:w="90" w:type="dxa"/>
            </w:tcMar>
          </w:tcPr>
          <w:p>
            <w:r/>
            <w:r>
              <w:rPr>
                <w:rFonts w:ascii="Aptos" w:hAnsi="Aptos"/>
                <w:b w:val="0"/>
                <w:sz w:val="15"/>
              </w:rPr>
              <w:t>____ W / ____ W·kg⁻¹</w:t>
            </w:r>
          </w:p>
        </w:tc>
        <w:tc>
          <w:tcPr>
            <w:tcW w:type="dxa" w:w="3402"/>
            <w:vAlign w:val="center"/>
            <w:tcMar>
              <w:top w:w="80" w:type="dxa"/>
              <w:left w:w="90" w:type="dxa"/>
              <w:bottom w:w="80" w:type="dxa"/>
              <w:right w:w="90" w:type="dxa"/>
            </w:tcMar>
          </w:tcPr>
          <w:p>
            <w:r/>
            <w:r>
              <w:rPr>
                <w:rFonts w:ascii="Aptos" w:hAnsi="Aptos"/>
                <w:b w:val="0"/>
                <w:sz w:val="15"/>
              </w:rPr>
              <w:t>Historial individual + percentiles internos</w:t>
            </w:r>
          </w:p>
        </w:tc>
        <w:tc>
          <w:tcPr>
            <w:tcW w:type="dxa" w:w="1701"/>
            <w:vAlign w:val="center"/>
            <w:tcMar>
              <w:top w:w="80" w:type="dxa"/>
              <w:left w:w="90" w:type="dxa"/>
              <w:bottom w:w="80" w:type="dxa"/>
              <w:right w:w="90" w:type="dxa"/>
            </w:tcMar>
          </w:tcPr>
          <w:p>
            <w:r/>
            <w:r>
              <w:rPr>
                <w:rFonts w:ascii="Aptos" w:hAnsi="Aptos"/>
                <w:b w:val="0"/>
                <w:sz w:val="15"/>
              </w:rPr>
            </w:r>
          </w:p>
        </w:tc>
      </w:tr>
      <w:tr>
        <w:tc>
          <w:tcPr>
            <w:tcW w:type="dxa" w:w="2268"/>
            <w:vAlign w:val="center"/>
            <w:shd w:fill="F3F6F9"/>
            <w:tcMar>
              <w:top w:w="80" w:type="dxa"/>
              <w:left w:w="90" w:type="dxa"/>
              <w:bottom w:w="80" w:type="dxa"/>
              <w:right w:w="90" w:type="dxa"/>
            </w:tcMar>
          </w:tcPr>
          <w:p>
            <w:r/>
            <w:r>
              <w:rPr>
                <w:rFonts w:ascii="Aptos" w:hAnsi="Aptos"/>
                <w:b w:val="0"/>
                <w:sz w:val="15"/>
              </w:rPr>
              <w:t>CMJ Chronojump</w:t>
            </w:r>
          </w:p>
        </w:tc>
        <w:tc>
          <w:tcPr>
            <w:tcW w:type="dxa" w:w="2154"/>
            <w:vAlign w:val="center"/>
            <w:shd w:fill="F3F6F9"/>
            <w:tcMar>
              <w:top w:w="80" w:type="dxa"/>
              <w:left w:w="90" w:type="dxa"/>
              <w:bottom w:w="80" w:type="dxa"/>
              <w:right w:w="90" w:type="dxa"/>
            </w:tcMar>
          </w:tcPr>
          <w:p>
            <w:r/>
            <w:r>
              <w:rPr>
                <w:rFonts w:ascii="Aptos" w:hAnsi="Aptos"/>
                <w:b w:val="0"/>
                <w:sz w:val="15"/>
              </w:rPr>
              <w:t>____ cm</w:t>
            </w:r>
          </w:p>
        </w:tc>
        <w:tc>
          <w:tcPr>
            <w:tcW w:type="dxa" w:w="3402"/>
            <w:vAlign w:val="center"/>
            <w:shd w:fill="F3F6F9"/>
            <w:tcMar>
              <w:top w:w="80" w:type="dxa"/>
              <w:left w:w="90" w:type="dxa"/>
              <w:bottom w:w="80" w:type="dxa"/>
              <w:right w:w="90" w:type="dxa"/>
            </w:tcMar>
          </w:tcPr>
          <w:p>
            <w:r/>
            <w:r>
              <w:rPr>
                <w:rFonts w:ascii="Aptos" w:hAnsi="Aptos"/>
                <w:b w:val="0"/>
                <w:sz w:val="15"/>
              </w:rPr>
              <w:t>Mismo protocolo/dispositivo</w:t>
            </w:r>
          </w:p>
        </w:tc>
        <w:tc>
          <w:tcPr>
            <w:tcW w:type="dxa" w:w="1701"/>
            <w:vAlign w:val="center"/>
            <w:shd w:fill="F3F6F9"/>
            <w:tcMar>
              <w:top w:w="80" w:type="dxa"/>
              <w:left w:w="90" w:type="dxa"/>
              <w:bottom w:w="80" w:type="dxa"/>
              <w:right w:w="90" w:type="dxa"/>
            </w:tcMar>
          </w:tcPr>
          <w:p>
            <w:r/>
            <w:r>
              <w:rPr>
                <w:rFonts w:ascii="Aptos" w:hAnsi="Aptos"/>
                <w:b w:val="0"/>
                <w:sz w:val="15"/>
              </w:rPr>
            </w:r>
          </w:p>
        </w:tc>
      </w:tr>
    </w:tbl>
    <w:p>
      <w:pPr>
        <w:spacing w:after="20"/>
      </w:pPr>
    </w:p>
    <w:p>
      <w:pPr>
        <w:pStyle w:val="Heading2"/>
        <w:keepNext/>
        <w:spacing w:before="160" w:after="80"/>
      </w:pPr>
      <w:r>
        <w:t>Criterios para un retest fiable</w:t>
      </w:r>
    </w:p>
    <w:p>
      <w:pPr>
        <w:pStyle w:val="ListBullet"/>
        <w:spacing w:after="40"/>
      </w:pPr>
      <w:r>
        <w:t>Misma hora del día cuando sea viable, especialmente en seguimiento de rendimiento.</w:t>
      </w:r>
    </w:p>
    <w:p>
      <w:pPr>
        <w:pStyle w:val="ListBullet"/>
        <w:spacing w:after="40"/>
      </w:pPr>
      <w:r>
        <w:t>Registrar dolor, sueño, fatiga y entrenamiento de las 24–48 h previas.</w:t>
      </w:r>
    </w:p>
    <w:p>
      <w:pPr>
        <w:pStyle w:val="ListBullet"/>
        <w:spacing w:after="40"/>
      </w:pPr>
      <w:r>
        <w:t>Mantener el mismo material, configuración, calentamiento y orden de pruebas.</w:t>
      </w:r>
    </w:p>
    <w:p>
      <w:pPr>
        <w:pStyle w:val="ListBullet"/>
        <w:spacing w:after="40"/>
      </w:pPr>
      <w:r>
        <w:t>No interpretar como mejora real cambios muy pequeños si están dentro del error habitual del test o del dispositivo.</w:t>
      </w:r>
    </w:p>
    <w:p>
      <w:r>
        <w:br w:type="page"/>
      </w:r>
    </w:p>
    <w:p>
      <w:pPr>
        <w:pStyle w:val="Heading1"/>
        <w:keepNext/>
        <w:spacing w:before="160" w:after="80"/>
      </w:pPr>
      <w:r>
        <w:t>10. Referencias</w:t>
      </w:r>
    </w:p>
    <w:p>
      <w:pPr>
        <w:spacing w:after="60"/>
        <w:ind w:left="227" w:hanging="227"/>
      </w:pPr>
      <w:r>
        <w:rPr>
          <w:b/>
        </w:rPr>
        <w:t xml:space="preserve">[1] </w:t>
      </w:r>
      <w:r>
        <w:t xml:space="preserve">Functional Movement Systems. An Introduction to the Functional Movement Screen. Criterios, patrones y puntuación FMS. </w:t>
      </w:r>
      <w:r>
        <w:rPr>
          <w:color w:val="2F75B5"/>
          <w:sz w:val="16"/>
        </w:rPr>
        <w:t>https://www.functionalmovement.com/files/articles/572a_fms_article_nobleed_digital.pdf</w:t>
      </w:r>
    </w:p>
    <w:p>
      <w:pPr>
        <w:spacing w:after="60"/>
        <w:ind w:left="227" w:hanging="227"/>
      </w:pPr>
      <w:r>
        <w:rPr>
          <w:b/>
        </w:rPr>
        <w:t xml:space="preserve">[2] </w:t>
      </w:r>
      <w:r>
        <w:t xml:space="preserve">Tomkinson GR et al. International norms for adult handgrip strength. Journal of Sport and Health Science, 2025. Normas internacionales en adultos. </w:t>
      </w:r>
      <w:r>
        <w:rPr>
          <w:color w:val="2F75B5"/>
          <w:sz w:val="16"/>
        </w:rPr>
        <w:t>https://www.sciencedirect.com/science/article/pii/S2095254624001741</w:t>
      </w:r>
    </w:p>
    <w:p>
      <w:pPr>
        <w:spacing w:after="60"/>
        <w:ind w:left="227" w:hanging="227"/>
      </w:pPr>
      <w:r>
        <w:rPr>
          <w:b/>
        </w:rPr>
        <w:t xml:space="preserve">[3] </w:t>
      </w:r>
      <w:r>
        <w:t xml:space="preserve">Cruz-Jentoft AJ et al. Sarcopenia: revised European consensus on definition and diagnosis (EWGSOP2). Age and Ageing, 2019. </w:t>
      </w:r>
      <w:r>
        <w:rPr>
          <w:color w:val="2F75B5"/>
          <w:sz w:val="16"/>
        </w:rPr>
        <w:t>https://academic.oup.com/ageing/article/48/1/16/5126243</w:t>
      </w:r>
    </w:p>
    <w:p>
      <w:pPr>
        <w:spacing w:after="60"/>
        <w:ind w:left="227" w:hanging="227"/>
      </w:pPr>
      <w:r>
        <w:rPr>
          <w:b/>
        </w:rPr>
        <w:t xml:space="preserve">[4] </w:t>
      </w:r>
      <w:r>
        <w:t xml:space="preserve">Centers for Disease Control and Prevention (CDC), STEADI. 30-Second Chair Stand Assessment. </w:t>
      </w:r>
      <w:r>
        <w:rPr>
          <w:color w:val="2F75B5"/>
          <w:sz w:val="16"/>
        </w:rPr>
        <w:t>https://www.cdc.gov/steadi/media/pdfs/STEADI-Assessment-30Sec-508.pdf</w:t>
      </w:r>
    </w:p>
    <w:p>
      <w:pPr>
        <w:spacing w:after="60"/>
        <w:ind w:left="227" w:hanging="227"/>
      </w:pPr>
      <w:r>
        <w:rPr>
          <w:b/>
        </w:rPr>
        <w:t xml:space="preserve">[5] </w:t>
      </w:r>
      <w:r>
        <w:t xml:space="preserve">Centers for Disease Control and Prevention (CDC), STEADI. Timed Up &amp; Go (TUG) Assessment. </w:t>
      </w:r>
      <w:r>
        <w:rPr>
          <w:color w:val="2F75B5"/>
          <w:sz w:val="16"/>
        </w:rPr>
        <w:t>https://www.cdc.gov/steadi/media/pdfs/steadi-assessment-tug-508.pdf</w:t>
      </w:r>
    </w:p>
    <w:p>
      <w:pPr>
        <w:spacing w:after="60"/>
        <w:ind w:left="227" w:hanging="227"/>
      </w:pPr>
      <w:r>
        <w:rPr>
          <w:b/>
        </w:rPr>
        <w:t xml:space="preserve">[6] </w:t>
      </w:r>
      <w:r>
        <w:t xml:space="preserve">Harris C et al. The seated medicine ball throw as a test of upper body power in older adults. Journal of Strength and Conditioning Research, 2011. </w:t>
      </w:r>
      <w:r>
        <w:rPr>
          <w:color w:val="2F75B5"/>
          <w:sz w:val="16"/>
        </w:rPr>
        <w:t>https://pubmed.ncbi.nlm.nih.gov/21572350/</w:t>
      </w:r>
    </w:p>
    <w:p>
      <w:pPr>
        <w:spacing w:after="60"/>
        <w:ind w:left="227" w:hanging="227"/>
      </w:pPr>
      <w:r>
        <w:rPr>
          <w:b/>
        </w:rPr>
        <w:t xml:space="preserve">[7] </w:t>
      </w:r>
      <w:r>
        <w:t xml:space="preserve">Lipscomb T et al. Agreement of Air Bike and Treadmill Protocols to Assess Aerobic Capacity. 2024. </w:t>
      </w:r>
      <w:r>
        <w:rPr>
          <w:color w:val="2F75B5"/>
          <w:sz w:val="16"/>
        </w:rPr>
        <w:t>https://pmc.ncbi.nlm.nih.gov/articles/PMC11166135/</w:t>
      </w:r>
    </w:p>
    <w:p>
      <w:pPr>
        <w:spacing w:after="60"/>
        <w:ind w:left="227" w:hanging="227"/>
      </w:pPr>
      <w:r>
        <w:rPr>
          <w:b/>
        </w:rPr>
        <w:t xml:space="preserve">[8] </w:t>
      </w:r>
      <w:r>
        <w:t xml:space="preserve">McMahon JJ et al. Sex differences / CMJ literature and normative context for trained populations; plus force-plate-derived CMJ normative research. </w:t>
      </w:r>
      <w:r>
        <w:rPr>
          <w:color w:val="2F75B5"/>
          <w:sz w:val="16"/>
        </w:rPr>
        <w:t>https://pmc.ncbi.nlm.nih.gov/articles/PMC5969005/</w:t>
      </w:r>
    </w:p>
    <w:tbl>
      <w:tblPr>
        <w:tblStyle w:val="TableGrid"/>
        <w:tblW w:type="auto" w:w="0"/>
        <w:jc w:val="center"/>
        <w:tblLook w:firstColumn="1" w:firstRow="1" w:lastColumn="0" w:lastRow="0" w:noHBand="0" w:noVBand="1" w:val="04A0"/>
      </w:tblPr>
      <w:tblGrid>
        <w:gridCol w:w="10200"/>
      </w:tblGrid>
      <w:tr>
        <w:tc>
          <w:tcPr>
            <w:tcW w:type="dxa" w:w="10200"/>
            <w:shd w:fill="FFF2CC"/>
            <w:tcMar>
              <w:top w:w="80" w:type="dxa"/>
              <w:left w:w="90" w:type="dxa"/>
              <w:bottom w:w="80" w:type="dxa"/>
              <w:right w:w="90" w:type="dxa"/>
            </w:tcMar>
          </w:tcPr>
          <w:p>
            <w:pPr>
              <w:spacing w:after="40"/>
            </w:pPr>
            <w:r>
              <w:rPr>
                <w:i/>
                <w:sz w:val="17"/>
              </w:rPr>
              <w:t>Documento de apoyo para evaluación física. No sustituye una valoración médica o fisioterapéutica cuando existe dolor, lesión, síntomas cardiovasculares o riesgo clínico.</w:t>
            </w:r>
          </w:p>
        </w:tc>
      </w:tr>
    </w:tbl>
    <w:p>
      <w:pPr>
        <w:spacing w:after="20"/>
      </w:pPr>
    </w:p>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Documento de protocolo y referencias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BATERÍA DE TESTS · VALORACIÓN FÍSICA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Batería de tests de valoración física</dc:title>
  <dc:subject>Protocolos, interpretación y tablas de referencia</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