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08BD1B">
      <w:pPr>
        <w:spacing w:before="60" w:after="60"/>
        <w:jc w:val="center"/>
        <w:rPr>
          <w:rFonts w:ascii="Arial" w:hAnsi="Arial" w:eastAsia="Arial" w:cs="Arial"/>
          <w:b/>
          <w:bCs/>
          <w:color w:val="1565C0"/>
          <w:sz w:val="26"/>
          <w:szCs w:val="26"/>
        </w:rPr>
      </w:pPr>
      <w:r>
        <w:rPr>
          <w:rFonts w:ascii="Times New Roman" w:hAnsi="Times New Roman"/>
        </w:rPr>
        <w:drawing>
          <wp:inline distT="0" distB="0" distL="0" distR="0">
            <wp:extent cx="4362450" cy="971550"/>
            <wp:effectExtent l="0" t="0" r="11430" b="381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noChangeArrowheads="1"/>
                    </pic:cNvPicPr>
                  </pic:nvPicPr>
                  <pic:blipFill>
                    <a:blip r:embed="rId6"/>
                    <a:stretch>
                      <a:fillRect/>
                    </a:stretch>
                  </pic:blipFill>
                  <pic:spPr>
                    <a:xfrm>
                      <a:off x="0" y="0"/>
                      <a:ext cx="4362450" cy="971550"/>
                    </a:xfrm>
                    <a:prstGeom prst="rect">
                      <a:avLst/>
                    </a:prstGeom>
                  </pic:spPr>
                </pic:pic>
              </a:graphicData>
            </a:graphic>
          </wp:inline>
        </w:drawing>
      </w:r>
    </w:p>
    <w:p w14:paraId="07E609BA">
      <w:pPr>
        <w:spacing w:before="200" w:after="200"/>
        <w:jc w:val="center"/>
        <w:rPr>
          <w:rFonts w:ascii="Arial" w:hAnsi="Arial" w:eastAsia="Arial" w:cs="Arial"/>
          <w:b/>
          <w:bCs/>
          <w:color w:val="1565C0"/>
          <w:sz w:val="26"/>
          <w:szCs w:val="26"/>
        </w:rPr>
      </w:pPr>
    </w:p>
    <w:p w14:paraId="1F70D866">
      <w:pPr>
        <w:numPr>
          <w:ilvl w:val="0"/>
          <w:numId w:val="1"/>
        </w:numPr>
        <w:pBdr>
          <w:top w:val="single" w:color="1A237E" w:sz="16" w:space="0"/>
          <w:bottom w:val="single" w:color="1A237E" w:sz="16" w:space="0"/>
        </w:pBdr>
        <w:spacing w:before="200" w:after="160"/>
        <w:jc w:val="center"/>
        <w:rPr>
          <w:rFonts w:hint="default" w:ascii="Arial" w:hAnsi="Arial" w:eastAsia="Arial" w:cs="Arial"/>
          <w:b/>
          <w:bCs/>
          <w:color w:val="1A237E"/>
          <w:sz w:val="52"/>
          <w:szCs w:val="52"/>
          <w:lang w:val="en-IN"/>
        </w:rPr>
      </w:pPr>
      <w:r>
        <w:rPr>
          <w:rFonts w:ascii="Arial" w:hAnsi="Arial" w:eastAsia="Arial" w:cs="Arial"/>
          <w:b/>
          <w:bCs/>
          <w:color w:val="1A237E"/>
          <w:sz w:val="52"/>
          <w:szCs w:val="52"/>
        </w:rPr>
        <w:t xml:space="preserve">Commerce Sales </w:t>
      </w:r>
      <w:r>
        <w:rPr>
          <w:rFonts w:cs="Arial"/>
          <w:b/>
          <w:bCs/>
          <w:color w:val="1A237E"/>
          <w:sz w:val="52"/>
          <w:szCs w:val="52"/>
          <w:lang w:val="en-IN"/>
        </w:rPr>
        <w:t>Analytics</w:t>
      </w:r>
      <w:r>
        <w:rPr>
          <w:rFonts w:ascii="Arial" w:hAnsi="Arial" w:eastAsia="Arial" w:cs="Arial"/>
          <w:b/>
          <w:bCs/>
          <w:color w:val="1A237E"/>
          <w:sz w:val="52"/>
          <w:szCs w:val="52"/>
        </w:rPr>
        <w:t xml:space="preserve"> and Interactive</w:t>
      </w:r>
      <w:r>
        <w:rPr>
          <w:rFonts w:hint="default" w:cs="Arial"/>
          <w:b/>
          <w:bCs/>
          <w:color w:val="1A237E"/>
          <w:sz w:val="52"/>
          <w:szCs w:val="52"/>
          <w:lang w:val="en-IN"/>
        </w:rPr>
        <w:t xml:space="preserve"> </w:t>
      </w:r>
      <w:r>
        <w:rPr>
          <w:rFonts w:ascii="Arial" w:hAnsi="Arial" w:eastAsia="Arial" w:cs="Arial"/>
          <w:b/>
          <w:bCs/>
          <w:color w:val="1A237E"/>
          <w:sz w:val="52"/>
          <w:szCs w:val="52"/>
        </w:rPr>
        <w:t>Business Intelligence Visualization System</w:t>
      </w:r>
    </w:p>
    <w:p w14:paraId="3C9771D0">
      <w:pPr>
        <w:jc w:val="center"/>
        <w:rPr>
          <w:sz w:val="28"/>
          <w:szCs w:val="28"/>
        </w:rPr>
      </w:pPr>
    </w:p>
    <w:p w14:paraId="0944CBA2">
      <w:pPr>
        <w:jc w:val="center"/>
        <w:rPr>
          <w:sz w:val="28"/>
          <w:szCs w:val="28"/>
        </w:rPr>
      </w:pPr>
    </w:p>
    <w:p w14:paraId="5EDB3EDF">
      <w:pPr>
        <w:jc w:val="center"/>
        <w:rPr>
          <w:sz w:val="28"/>
          <w:szCs w:val="28"/>
        </w:rPr>
      </w:pPr>
      <w:r>
        <w:rPr>
          <w:sz w:val="28"/>
          <w:szCs w:val="28"/>
        </w:rPr>
        <w:t xml:space="preserve">Submitted in partial fulfillment of the requirements for the award of the </w:t>
      </w:r>
    </w:p>
    <w:p w14:paraId="35555056">
      <w:pPr>
        <w:jc w:val="center"/>
        <w:rPr>
          <w:sz w:val="28"/>
          <w:szCs w:val="28"/>
        </w:rPr>
      </w:pPr>
    </w:p>
    <w:p w14:paraId="2CAD2D27">
      <w:pPr>
        <w:jc w:val="center"/>
        <w:rPr>
          <w:sz w:val="28"/>
          <w:szCs w:val="28"/>
        </w:rPr>
      </w:pPr>
      <w:r>
        <w:rPr>
          <w:sz w:val="28"/>
          <w:szCs w:val="28"/>
        </w:rPr>
        <w:t>degree of</w:t>
      </w:r>
    </w:p>
    <w:p w14:paraId="0AAA0F0F">
      <w:pPr>
        <w:jc w:val="center"/>
        <w:rPr>
          <w:sz w:val="28"/>
          <w:szCs w:val="28"/>
        </w:rPr>
      </w:pPr>
      <w:r>
        <w:rPr>
          <w:sz w:val="28"/>
          <w:szCs w:val="28"/>
        </w:rPr>
        <w:br w:type="textWrapping"/>
      </w:r>
      <w:bookmarkStart w:id="0" w:name="_Hlk222481201"/>
      <w:r>
        <w:rPr>
          <w:sz w:val="28"/>
          <w:szCs w:val="28"/>
        </w:rPr>
        <w:t xml:space="preserve"> Master of Computer Application (MCA)</w:t>
      </w:r>
      <w:bookmarkEnd w:id="0"/>
    </w:p>
    <w:p w14:paraId="3910566A">
      <w:pPr>
        <w:jc w:val="center"/>
        <w:rPr>
          <w:sz w:val="28"/>
          <w:szCs w:val="28"/>
        </w:rPr>
      </w:pPr>
      <w:r>
        <w:rPr>
          <w:sz w:val="28"/>
          <w:szCs w:val="28"/>
        </w:rPr>
        <w:t>By</w:t>
      </w:r>
    </w:p>
    <w:p w14:paraId="7DEC96C7">
      <w:pPr>
        <w:spacing w:before="60" w:after="60"/>
      </w:pPr>
    </w:p>
    <w:p w14:paraId="5B78B75F">
      <w:pPr>
        <w:spacing w:before="60" w:after="60"/>
      </w:pPr>
    </w:p>
    <w:tbl>
      <w:tblPr>
        <w:tblStyle w:val="9"/>
        <w:tblW w:w="94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98"/>
        <w:gridCol w:w="5921"/>
      </w:tblGrid>
      <w:tr w14:paraId="6B548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06" w:hRule="atLeast"/>
        </w:trPr>
        <w:tc>
          <w:tcPr>
            <w:tcW w:w="3498" w:type="dxa"/>
            <w:tcBorders>
              <w:top w:val="nil"/>
              <w:left w:val="nil"/>
              <w:bottom w:val="nil"/>
              <w:right w:val="nil"/>
            </w:tcBorders>
            <w:tcMar>
              <w:top w:w="100" w:type="dxa"/>
              <w:left w:w="180" w:type="dxa"/>
              <w:bottom w:w="100" w:type="dxa"/>
              <w:right w:w="180" w:type="dxa"/>
            </w:tcMar>
          </w:tcPr>
          <w:p w14:paraId="00F4B726">
            <w:pPr>
              <w:jc w:val="right"/>
            </w:pPr>
            <w:r>
              <w:rPr>
                <w:rFonts w:ascii="Arial" w:hAnsi="Arial" w:eastAsia="Arial" w:cs="Arial"/>
                <w:b/>
                <w:bCs/>
                <w:color w:val="1A237E"/>
                <w:sz w:val="23"/>
                <w:szCs w:val="23"/>
              </w:rPr>
              <w:t>Submitted by:</w:t>
            </w:r>
          </w:p>
        </w:tc>
        <w:tc>
          <w:tcPr>
            <w:tcW w:w="5921" w:type="dxa"/>
            <w:tcBorders>
              <w:top w:val="nil"/>
              <w:left w:val="nil"/>
              <w:bottom w:val="nil"/>
              <w:right w:val="nil"/>
            </w:tcBorders>
            <w:tcMar>
              <w:top w:w="100" w:type="dxa"/>
              <w:left w:w="180" w:type="dxa"/>
              <w:bottom w:w="100" w:type="dxa"/>
              <w:right w:w="180" w:type="dxa"/>
            </w:tcMar>
          </w:tcPr>
          <w:p w14:paraId="0FB81A70">
            <w:pPr>
              <w:rPr>
                <w:rFonts w:hint="default"/>
                <w:lang w:val="en-US"/>
              </w:rPr>
            </w:pPr>
            <w:r>
              <w:rPr>
                <w:rFonts w:hint="default"/>
                <w:lang w:val="en-US"/>
              </w:rPr>
              <w:t>DEEPANSH JAIN</w:t>
            </w:r>
          </w:p>
        </w:tc>
      </w:tr>
      <w:tr w14:paraId="63265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06" w:hRule="atLeast"/>
        </w:trPr>
        <w:tc>
          <w:tcPr>
            <w:tcW w:w="3498" w:type="dxa"/>
            <w:tcBorders>
              <w:top w:val="nil"/>
              <w:left w:val="nil"/>
              <w:bottom w:val="nil"/>
              <w:right w:val="nil"/>
            </w:tcBorders>
            <w:tcMar>
              <w:top w:w="100" w:type="dxa"/>
              <w:left w:w="180" w:type="dxa"/>
              <w:bottom w:w="100" w:type="dxa"/>
              <w:right w:w="180" w:type="dxa"/>
            </w:tcMar>
          </w:tcPr>
          <w:p w14:paraId="11E62B53">
            <w:pPr>
              <w:jc w:val="right"/>
            </w:pPr>
            <w:r>
              <w:rPr>
                <w:rFonts w:ascii="Arial" w:hAnsi="Arial" w:eastAsia="Arial" w:cs="Arial"/>
                <w:b/>
                <w:bCs/>
                <w:color w:val="1A237E"/>
                <w:sz w:val="23"/>
                <w:szCs w:val="23"/>
              </w:rPr>
              <w:t>Enrollment No.:</w:t>
            </w:r>
          </w:p>
        </w:tc>
        <w:tc>
          <w:tcPr>
            <w:tcW w:w="5921" w:type="dxa"/>
            <w:tcBorders>
              <w:top w:val="nil"/>
              <w:left w:val="nil"/>
              <w:bottom w:val="nil"/>
              <w:right w:val="nil"/>
            </w:tcBorders>
            <w:tcMar>
              <w:top w:w="100" w:type="dxa"/>
              <w:left w:w="180" w:type="dxa"/>
              <w:bottom w:w="100" w:type="dxa"/>
              <w:right w:w="180" w:type="dxa"/>
            </w:tcMar>
          </w:tcPr>
          <w:p w14:paraId="7043EF04">
            <w:pPr>
              <w:rPr>
                <w:rFonts w:hint="default"/>
                <w:lang w:val="en-US"/>
              </w:rPr>
            </w:pPr>
            <w:r>
              <w:rPr>
                <w:rFonts w:hint="default" w:ascii="Arial" w:hAnsi="Arial" w:eastAsia="Arial" w:cs="Arial"/>
                <w:lang w:val="en-US"/>
              </w:rPr>
              <w:t>O24MCA112123</w:t>
            </w:r>
          </w:p>
        </w:tc>
      </w:tr>
      <w:tr w14:paraId="52D58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06" w:hRule="atLeast"/>
        </w:trPr>
        <w:tc>
          <w:tcPr>
            <w:tcW w:w="3498" w:type="dxa"/>
            <w:tcBorders>
              <w:top w:val="nil"/>
              <w:left w:val="nil"/>
              <w:bottom w:val="nil"/>
              <w:right w:val="nil"/>
            </w:tcBorders>
            <w:tcMar>
              <w:top w:w="100" w:type="dxa"/>
              <w:left w:w="180" w:type="dxa"/>
              <w:bottom w:w="100" w:type="dxa"/>
              <w:right w:w="180" w:type="dxa"/>
            </w:tcMar>
          </w:tcPr>
          <w:p w14:paraId="774C0BD2">
            <w:pPr>
              <w:jc w:val="right"/>
            </w:pPr>
            <w:r>
              <w:rPr>
                <w:rFonts w:ascii="Arial" w:hAnsi="Arial" w:eastAsia="Arial" w:cs="Arial"/>
                <w:b/>
                <w:bCs/>
                <w:color w:val="1A237E"/>
                <w:sz w:val="23"/>
                <w:szCs w:val="23"/>
              </w:rPr>
              <w:t>Guide:</w:t>
            </w:r>
          </w:p>
        </w:tc>
        <w:tc>
          <w:tcPr>
            <w:tcW w:w="5921" w:type="dxa"/>
            <w:tcBorders>
              <w:top w:val="nil"/>
              <w:left w:val="nil"/>
              <w:bottom w:val="nil"/>
              <w:right w:val="nil"/>
            </w:tcBorders>
            <w:tcMar>
              <w:top w:w="100" w:type="dxa"/>
              <w:left w:w="180" w:type="dxa"/>
              <w:bottom w:w="100" w:type="dxa"/>
              <w:right w:w="180" w:type="dxa"/>
            </w:tcMar>
          </w:tcPr>
          <w:p w14:paraId="72B21E6C">
            <w:r>
              <w:rPr>
                <w:rFonts w:hint="default" w:ascii="Arial" w:hAnsi="Arial" w:eastAsia="Arial" w:cs="Arial"/>
                <w:b/>
                <w:bCs/>
                <w:lang w:val="en-US"/>
              </w:rPr>
              <w:t>Mr. Alok Srivastava Sir</w:t>
            </w:r>
          </w:p>
        </w:tc>
      </w:tr>
      <w:tr w14:paraId="09124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06" w:hRule="atLeast"/>
        </w:trPr>
        <w:tc>
          <w:tcPr>
            <w:tcW w:w="3498" w:type="dxa"/>
            <w:tcBorders>
              <w:top w:val="nil"/>
              <w:left w:val="nil"/>
              <w:bottom w:val="nil"/>
              <w:right w:val="nil"/>
            </w:tcBorders>
            <w:tcMar>
              <w:top w:w="100" w:type="dxa"/>
              <w:left w:w="180" w:type="dxa"/>
              <w:bottom w:w="100" w:type="dxa"/>
              <w:right w:w="180" w:type="dxa"/>
            </w:tcMar>
          </w:tcPr>
          <w:p w14:paraId="46226371">
            <w:pPr>
              <w:jc w:val="right"/>
            </w:pPr>
            <w:r>
              <w:rPr>
                <w:rFonts w:ascii="Arial" w:hAnsi="Arial" w:eastAsia="Arial" w:cs="Arial"/>
                <w:b/>
                <w:bCs/>
                <w:color w:val="1A237E"/>
                <w:sz w:val="23"/>
                <w:szCs w:val="23"/>
              </w:rPr>
              <w:t>Institution:</w:t>
            </w:r>
          </w:p>
        </w:tc>
        <w:tc>
          <w:tcPr>
            <w:tcW w:w="5921" w:type="dxa"/>
            <w:tcBorders>
              <w:top w:val="nil"/>
              <w:left w:val="nil"/>
              <w:bottom w:val="nil"/>
              <w:right w:val="nil"/>
            </w:tcBorders>
            <w:tcMar>
              <w:top w:w="100" w:type="dxa"/>
              <w:left w:w="180" w:type="dxa"/>
              <w:bottom w:w="100" w:type="dxa"/>
              <w:right w:w="180" w:type="dxa"/>
            </w:tcMar>
          </w:tcPr>
          <w:p w14:paraId="4694470C">
            <w:pPr>
              <w:rPr>
                <w:rFonts w:hint="default"/>
                <w:lang w:val="en-US"/>
              </w:rPr>
            </w:pPr>
            <w:r>
              <w:rPr>
                <w:rFonts w:hint="default" w:cs="Arial"/>
                <w:color w:val="212121"/>
                <w:sz w:val="23"/>
                <w:szCs w:val="23"/>
                <w:lang w:val="en-US"/>
              </w:rPr>
              <w:t>CHANDIGARH UNIVERSITY</w:t>
            </w:r>
          </w:p>
        </w:tc>
      </w:tr>
      <w:tr w14:paraId="2D80F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06" w:hRule="atLeast"/>
        </w:trPr>
        <w:tc>
          <w:tcPr>
            <w:tcW w:w="3498" w:type="dxa"/>
            <w:tcBorders>
              <w:top w:val="nil"/>
              <w:left w:val="nil"/>
              <w:bottom w:val="nil"/>
              <w:right w:val="nil"/>
            </w:tcBorders>
            <w:tcMar>
              <w:top w:w="100" w:type="dxa"/>
              <w:left w:w="180" w:type="dxa"/>
              <w:bottom w:w="100" w:type="dxa"/>
              <w:right w:w="180" w:type="dxa"/>
            </w:tcMar>
          </w:tcPr>
          <w:p w14:paraId="34AE17EF">
            <w:pPr>
              <w:jc w:val="right"/>
            </w:pPr>
            <w:r>
              <w:rPr>
                <w:rFonts w:ascii="Arial" w:hAnsi="Arial" w:eastAsia="Arial" w:cs="Arial"/>
                <w:b/>
                <w:bCs/>
                <w:color w:val="1A237E"/>
                <w:sz w:val="23"/>
                <w:szCs w:val="23"/>
              </w:rPr>
              <w:t>Academic Year:</w:t>
            </w:r>
          </w:p>
        </w:tc>
        <w:tc>
          <w:tcPr>
            <w:tcW w:w="5921" w:type="dxa"/>
            <w:tcBorders>
              <w:top w:val="nil"/>
              <w:left w:val="nil"/>
              <w:bottom w:val="nil"/>
              <w:right w:val="nil"/>
            </w:tcBorders>
            <w:tcMar>
              <w:top w:w="100" w:type="dxa"/>
              <w:left w:w="180" w:type="dxa"/>
              <w:bottom w:w="100" w:type="dxa"/>
              <w:right w:w="180" w:type="dxa"/>
            </w:tcMar>
          </w:tcPr>
          <w:p w14:paraId="51258168">
            <w:pPr>
              <w:rPr>
                <w:rFonts w:hint="default"/>
                <w:lang w:val="en-US"/>
              </w:rPr>
            </w:pPr>
            <w:r>
              <w:rPr>
                <w:rFonts w:ascii="Arial" w:hAnsi="Arial" w:eastAsia="Arial" w:cs="Arial"/>
                <w:color w:val="212121"/>
                <w:sz w:val="23"/>
                <w:szCs w:val="23"/>
              </w:rPr>
              <w:t>2024 – 202</w:t>
            </w:r>
            <w:r>
              <w:rPr>
                <w:rFonts w:hint="default" w:cs="Arial"/>
                <w:color w:val="212121"/>
                <w:sz w:val="23"/>
                <w:szCs w:val="23"/>
                <w:lang w:val="en-US"/>
              </w:rPr>
              <w:t>6</w:t>
            </w:r>
          </w:p>
        </w:tc>
      </w:tr>
    </w:tbl>
    <w:p w14:paraId="340FBE1C">
      <w:r>
        <w:br w:type="page"/>
      </w:r>
    </w:p>
    <w:p w14:paraId="405C7C99">
      <w:pPr>
        <w:pStyle w:val="2"/>
        <w:pBdr>
          <w:bottom w:val="single" w:color="1565C0" w:sz="8" w:space="4"/>
        </w:pBdr>
        <w:spacing w:before="360" w:after="200"/>
        <w:jc w:val="center"/>
      </w:pPr>
      <w:bookmarkStart w:id="1" w:name="_Toc24273"/>
      <w:r>
        <w:rPr>
          <w:rFonts w:ascii="Arial" w:hAnsi="Arial" w:eastAsia="Arial" w:cs="Arial"/>
          <w:b/>
          <w:bCs/>
          <w:color w:val="1A237E"/>
          <w:sz w:val="36"/>
          <w:szCs w:val="36"/>
        </w:rPr>
        <w:t>Certificate</w:t>
      </w:r>
      <w:bookmarkEnd w:id="1"/>
    </w:p>
    <w:p w14:paraId="33E7648A">
      <w:pPr>
        <w:spacing w:before="60" w:after="60"/>
      </w:pPr>
    </w:p>
    <w:p w14:paraId="2F9C846E">
      <w:pPr>
        <w:spacing w:before="60" w:after="60"/>
      </w:pPr>
    </w:p>
    <w:p w14:paraId="246515C5">
      <w:pPr>
        <w:jc w:val="left"/>
        <w:rPr>
          <w:rFonts w:ascii="Times New Roman" w:hAnsi="Times New Roman"/>
          <w:sz w:val="28"/>
          <w:szCs w:val="28"/>
        </w:rPr>
      </w:pPr>
    </w:p>
    <w:p w14:paraId="014C39B8">
      <w:pPr>
        <w:spacing w:before="60" w:after="60"/>
      </w:pPr>
    </w:p>
    <w:p w14:paraId="6EA43C29">
      <w:r>
        <w:br w:type="page"/>
      </w:r>
    </w:p>
    <w:p w14:paraId="7BD013DC">
      <w:pPr>
        <w:pStyle w:val="2"/>
        <w:pBdr>
          <w:bottom w:val="single" w:color="1565C0" w:sz="8" w:space="4"/>
        </w:pBdr>
        <w:spacing w:before="360" w:after="200"/>
        <w:jc w:val="center"/>
      </w:pPr>
      <w:bookmarkStart w:id="2" w:name="_Toc1101"/>
      <w:r>
        <w:rPr>
          <w:rFonts w:ascii="Arial" w:hAnsi="Arial" w:eastAsia="Arial" w:cs="Arial"/>
          <w:b/>
          <w:bCs/>
          <w:color w:val="1A237E"/>
          <w:sz w:val="36"/>
          <w:szCs w:val="36"/>
        </w:rPr>
        <w:t>Declaration</w:t>
      </w:r>
      <w:bookmarkEnd w:id="2"/>
    </w:p>
    <w:p w14:paraId="13D13BC9">
      <w:pPr>
        <w:spacing w:before="60" w:after="60"/>
      </w:pPr>
    </w:p>
    <w:p w14:paraId="03928C50">
      <w:pPr>
        <w:spacing w:before="80" w:after="120" w:line="360" w:lineRule="auto"/>
        <w:jc w:val="both"/>
      </w:pPr>
      <w:r>
        <w:rPr>
          <w:rFonts w:ascii="Arial" w:hAnsi="Arial" w:eastAsia="Arial" w:cs="Arial"/>
          <w:b w:val="0"/>
          <w:bCs w:val="0"/>
          <w:i w:val="0"/>
          <w:iCs w:val="0"/>
          <w:color w:val="212121"/>
          <w:sz w:val="22"/>
          <w:szCs w:val="22"/>
        </w:rPr>
        <w:t xml:space="preserve">I, </w:t>
      </w:r>
      <w:r>
        <w:rPr>
          <w:rFonts w:hint="default" w:cs="Arial"/>
          <w:b w:val="0"/>
          <w:bCs w:val="0"/>
          <w:i w:val="0"/>
          <w:iCs w:val="0"/>
          <w:color w:val="212121"/>
          <w:sz w:val="22"/>
          <w:szCs w:val="22"/>
          <w:lang w:val="en-IN"/>
        </w:rPr>
        <w:t>DEEPANSH JAIN</w:t>
      </w:r>
      <w:r>
        <w:rPr>
          <w:rFonts w:ascii="Arial" w:hAnsi="Arial" w:eastAsia="Arial" w:cs="Arial"/>
          <w:b w:val="0"/>
          <w:bCs w:val="0"/>
          <w:i w:val="0"/>
          <w:iCs w:val="0"/>
          <w:color w:val="212121"/>
          <w:sz w:val="22"/>
          <w:szCs w:val="22"/>
        </w:rPr>
        <w:t xml:space="preserve">, hereby declare that the project report entitled "E-Commerce Sales Analytics and Interactive Business Intelligence Visualization System" submitted to </w:t>
      </w:r>
      <w:r>
        <w:rPr>
          <w:rFonts w:hint="default" w:cs="Arial"/>
          <w:b w:val="0"/>
          <w:bCs w:val="0"/>
          <w:i w:val="0"/>
          <w:iCs w:val="0"/>
          <w:color w:val="212121"/>
          <w:sz w:val="22"/>
          <w:szCs w:val="22"/>
          <w:lang w:val="en-IN"/>
        </w:rPr>
        <w:t>CHANDIGARH UNIVERSITY</w:t>
      </w:r>
      <w:r>
        <w:rPr>
          <w:rFonts w:ascii="Arial" w:hAnsi="Arial" w:eastAsia="Arial" w:cs="Arial"/>
          <w:b w:val="0"/>
          <w:bCs w:val="0"/>
          <w:i w:val="0"/>
          <w:iCs w:val="0"/>
          <w:color w:val="212121"/>
          <w:sz w:val="22"/>
          <w:szCs w:val="22"/>
        </w:rPr>
        <w:t xml:space="preserve"> in partial fulfillment of the requirements for the degree of Master of Computer Applications (MCA) is a genuine and original work carried out by me.</w:t>
      </w:r>
    </w:p>
    <w:p w14:paraId="32F2E8E7">
      <w:pPr>
        <w:spacing w:before="60" w:after="60"/>
      </w:pPr>
    </w:p>
    <w:p w14:paraId="0238DB3C">
      <w:pPr>
        <w:spacing w:before="80" w:after="120" w:line="360" w:lineRule="auto"/>
        <w:jc w:val="both"/>
      </w:pPr>
      <w:r>
        <w:rPr>
          <w:rFonts w:ascii="Arial" w:hAnsi="Arial" w:eastAsia="Arial" w:cs="Arial"/>
          <w:b w:val="0"/>
          <w:bCs w:val="0"/>
          <w:i w:val="0"/>
          <w:iCs w:val="0"/>
          <w:color w:val="212121"/>
          <w:sz w:val="22"/>
          <w:szCs w:val="22"/>
        </w:rPr>
        <w:t>The work presented in this report has not been submitted elsewhere for the award of any degree, diploma, or certificate. All the information, data, and facts used in this project have been duly acknowledged and referenced wherever applicable. The analysis, findings, and conclusions drawn are entirely my own and are based on authentic data sources.</w:t>
      </w:r>
    </w:p>
    <w:p w14:paraId="5EBB2432">
      <w:pPr>
        <w:spacing w:before="60" w:after="60"/>
      </w:pPr>
    </w:p>
    <w:p w14:paraId="5D7AED01">
      <w:pPr>
        <w:spacing w:before="80" w:after="120" w:line="360" w:lineRule="auto"/>
        <w:jc w:val="both"/>
      </w:pPr>
      <w:r>
        <w:rPr>
          <w:rFonts w:ascii="Arial" w:hAnsi="Arial" w:eastAsia="Arial" w:cs="Arial"/>
          <w:b w:val="0"/>
          <w:bCs w:val="0"/>
          <w:i w:val="0"/>
          <w:iCs w:val="0"/>
          <w:color w:val="212121"/>
          <w:sz w:val="22"/>
          <w:szCs w:val="22"/>
        </w:rPr>
        <w:t>I further declare that the project has been developed exclusively using legitimate software tools, publicly available datasets, and academic resources in conformity with the ethical guidelines prescribed by the institution.</w:t>
      </w:r>
    </w:p>
    <w:p w14:paraId="044BA594">
      <w:pPr>
        <w:spacing w:before="60" w:after="60"/>
      </w:pPr>
    </w:p>
    <w:p w14:paraId="7324064D">
      <w:pPr>
        <w:spacing w:before="60" w:after="60"/>
      </w:pPr>
    </w:p>
    <w:p w14:paraId="4F7394B9">
      <w:pPr>
        <w:spacing w:before="60" w:after="60"/>
      </w:pPr>
    </w:p>
    <w:p w14:paraId="38690C21">
      <w:pPr>
        <w:spacing w:before="200"/>
        <w:jc w:val="left"/>
        <w:rPr>
          <w:rFonts w:hint="default" w:ascii="Arial" w:hAnsi="Arial" w:eastAsia="Arial" w:cs="Arial"/>
          <w:b/>
          <w:bCs/>
          <w:color w:val="1A237E"/>
          <w:sz w:val="22"/>
          <w:szCs w:val="22"/>
          <w:lang w:val="en-IN"/>
        </w:rPr>
      </w:pPr>
      <w:r>
        <w:rPr>
          <w:rFonts w:ascii="Arial" w:hAnsi="Arial" w:eastAsia="Arial" w:cs="Arial"/>
          <w:b/>
          <w:bCs/>
          <w:color w:val="1A237E"/>
          <w:sz w:val="22"/>
          <w:szCs w:val="22"/>
        </w:rPr>
        <w:t xml:space="preserve">Place: </w:t>
      </w:r>
      <w:r>
        <w:rPr>
          <w:rFonts w:hint="default" w:ascii="Arial" w:hAnsi="Arial" w:eastAsia="Arial" w:cs="Arial"/>
          <w:b/>
          <w:bCs/>
          <w:color w:val="1A237E"/>
          <w:sz w:val="22"/>
          <w:szCs w:val="22"/>
          <w:lang w:val="en-IN"/>
        </w:rPr>
        <w:t>INDORE</w:t>
      </w:r>
    </w:p>
    <w:p w14:paraId="43C9E14A">
      <w:pPr>
        <w:spacing w:before="200"/>
        <w:jc w:val="left"/>
        <w:rPr>
          <w:rFonts w:hint="default" w:ascii="Arial" w:hAnsi="Arial" w:eastAsia="Arial" w:cs="Arial"/>
          <w:b/>
          <w:bCs/>
          <w:color w:val="1A237E"/>
          <w:sz w:val="22"/>
          <w:szCs w:val="22"/>
          <w:lang w:val="en-IN"/>
        </w:rPr>
      </w:pPr>
      <w:r>
        <w:rPr>
          <w:rFonts w:ascii="Arial" w:hAnsi="Arial" w:eastAsia="Arial" w:cs="Arial"/>
          <w:b/>
          <w:bCs/>
          <w:color w:val="1A237E"/>
          <w:sz w:val="22"/>
          <w:szCs w:val="22"/>
        </w:rPr>
        <w:t xml:space="preserve">Date:  </w:t>
      </w:r>
      <w:r>
        <w:rPr>
          <w:rFonts w:hint="default" w:ascii="Arial" w:hAnsi="Arial" w:eastAsia="Arial" w:cs="Arial"/>
          <w:b/>
          <w:bCs/>
          <w:color w:val="1A237E"/>
          <w:sz w:val="22"/>
          <w:szCs w:val="22"/>
          <w:lang w:val="en-IN"/>
        </w:rPr>
        <w:t>10-05-2026</w:t>
      </w:r>
    </w:p>
    <w:p w14:paraId="0B68CFEC">
      <w:pPr>
        <w:spacing w:before="200"/>
        <w:jc w:val="left"/>
        <w:rPr>
          <w:rFonts w:hint="default" w:ascii="Arial" w:hAnsi="Arial" w:eastAsia="Arial" w:cs="Arial"/>
          <w:b/>
          <w:bCs/>
          <w:color w:val="1A237E"/>
          <w:sz w:val="22"/>
          <w:szCs w:val="22"/>
          <w:lang w:val="en-IN"/>
        </w:rPr>
      </w:pPr>
      <w:r>
        <w:rPr>
          <w:rFonts w:hint="default" w:ascii="Arial" w:hAnsi="Arial" w:eastAsia="Arial" w:cs="Arial"/>
          <w:b/>
          <w:bCs/>
          <w:color w:val="1A237E"/>
          <w:sz w:val="22"/>
          <w:szCs w:val="22"/>
          <w:lang w:val="en-IN"/>
        </w:rPr>
        <w:t>NAME: DEEPANSH JAIN</w:t>
      </w:r>
    </w:p>
    <w:p w14:paraId="00E8AD29">
      <w:pPr>
        <w:spacing w:before="200"/>
        <w:jc w:val="left"/>
        <w:rPr>
          <w:rFonts w:hint="default" w:ascii="Arial" w:hAnsi="Arial" w:eastAsia="Arial" w:cs="Arial"/>
          <w:b/>
          <w:bCs/>
          <w:color w:val="1A237E"/>
          <w:sz w:val="22"/>
          <w:szCs w:val="22"/>
          <w:lang w:val="en-IN"/>
        </w:rPr>
      </w:pPr>
      <w:r>
        <w:rPr>
          <w:rFonts w:hint="default" w:ascii="Arial" w:hAnsi="Arial" w:eastAsia="Arial" w:cs="Arial"/>
          <w:b/>
          <w:bCs/>
          <w:color w:val="1A237E"/>
          <w:sz w:val="22"/>
          <w:szCs w:val="22"/>
          <w:lang w:val="en-IN"/>
        </w:rPr>
        <w:t xml:space="preserve">ENROLLMENT NO: </w:t>
      </w:r>
      <w:r>
        <w:rPr>
          <w:rFonts w:hint="default" w:ascii="Arial" w:hAnsi="Arial" w:eastAsia="Arial" w:cs="Arial"/>
          <w:b/>
          <w:bCs/>
          <w:color w:val="1A237E"/>
          <w:sz w:val="22"/>
          <w:szCs w:val="22"/>
          <w:lang w:val="en-US"/>
        </w:rPr>
        <w:t>O24MCA112123</w:t>
      </w:r>
    </w:p>
    <w:p w14:paraId="0635A97F">
      <w:pPr>
        <w:spacing w:before="200"/>
        <w:jc w:val="left"/>
        <w:rPr>
          <w:rFonts w:hint="default" w:ascii="Arial" w:hAnsi="Arial" w:eastAsia="Arial" w:cs="Arial"/>
          <w:b/>
          <w:bCs/>
          <w:color w:val="1A237E"/>
          <w:sz w:val="22"/>
          <w:szCs w:val="22"/>
          <w:lang w:val="en-IN"/>
        </w:rPr>
      </w:pPr>
      <w:r>
        <w:rPr>
          <w:rFonts w:ascii="Arial" w:hAnsi="Arial" w:eastAsia="Arial" w:cs="Arial"/>
          <w:b/>
          <w:bCs/>
          <w:color w:val="1A237E"/>
          <w:sz w:val="22"/>
          <w:szCs w:val="22"/>
        </w:rPr>
        <w:t xml:space="preserve">Signature: </w:t>
      </w:r>
      <w:r>
        <w:rPr>
          <w:rFonts w:hint="default" w:ascii="Arial" w:hAnsi="Arial" w:eastAsia="Arial" w:cs="Arial"/>
          <w:b/>
          <w:bCs/>
          <w:color w:val="1A237E"/>
          <w:sz w:val="22"/>
          <w:szCs w:val="22"/>
          <w:lang w:val="en-IN"/>
        </w:rPr>
        <w:t>DEEPANSH JAIN</w:t>
      </w:r>
    </w:p>
    <w:p w14:paraId="65D68F8E">
      <w:bookmarkStart w:id="92" w:name="_GoBack"/>
      <w:bookmarkEnd w:id="92"/>
      <w:r>
        <w:br w:type="page"/>
      </w:r>
    </w:p>
    <w:p w14:paraId="6CACABEB">
      <w:pPr>
        <w:pStyle w:val="2"/>
        <w:pBdr>
          <w:bottom w:val="single" w:color="1565C0" w:sz="8" w:space="4"/>
        </w:pBdr>
        <w:spacing w:before="360" w:after="200"/>
        <w:jc w:val="center"/>
      </w:pPr>
      <w:bookmarkStart w:id="3" w:name="_Toc2127"/>
      <w:r>
        <w:rPr>
          <w:rFonts w:ascii="Arial" w:hAnsi="Arial" w:eastAsia="Arial" w:cs="Arial"/>
          <w:b/>
          <w:bCs/>
          <w:color w:val="1A237E"/>
          <w:sz w:val="36"/>
          <w:szCs w:val="36"/>
        </w:rPr>
        <w:t>Acknowledgement</w:t>
      </w:r>
      <w:bookmarkEnd w:id="3"/>
    </w:p>
    <w:p w14:paraId="728EB13E">
      <w:pPr>
        <w:spacing w:before="60" w:after="60"/>
      </w:pPr>
    </w:p>
    <w:p w14:paraId="2B290026">
      <w:pPr>
        <w:spacing w:before="80" w:after="120" w:line="360" w:lineRule="auto"/>
        <w:jc w:val="both"/>
      </w:pPr>
      <w:r>
        <w:rPr>
          <w:rFonts w:ascii="Arial" w:hAnsi="Arial" w:eastAsia="Arial" w:cs="Arial"/>
          <w:b w:val="0"/>
          <w:bCs w:val="0"/>
          <w:i w:val="0"/>
          <w:iCs w:val="0"/>
          <w:color w:val="212121"/>
          <w:sz w:val="22"/>
          <w:szCs w:val="22"/>
        </w:rPr>
        <w:t>I would like to express my profound gratitude and heartfelt thanks to all those who have contributed to the successful completion of this project.</w:t>
      </w:r>
    </w:p>
    <w:p w14:paraId="52584582">
      <w:pPr>
        <w:spacing w:before="60" w:after="60"/>
      </w:pPr>
    </w:p>
    <w:p w14:paraId="09015873">
      <w:pPr>
        <w:spacing w:before="80" w:after="120" w:line="360" w:lineRule="auto"/>
        <w:jc w:val="both"/>
      </w:pPr>
      <w:r>
        <w:rPr>
          <w:rFonts w:ascii="Arial" w:hAnsi="Arial" w:eastAsia="Arial" w:cs="Arial"/>
          <w:b w:val="0"/>
          <w:bCs w:val="0"/>
          <w:i w:val="0"/>
          <w:iCs w:val="0"/>
          <w:color w:val="212121"/>
          <w:sz w:val="22"/>
          <w:szCs w:val="22"/>
        </w:rPr>
        <w:t xml:space="preserve">First and foremost, I am deeply grateful to my project guide, </w:t>
      </w:r>
      <w:r>
        <w:rPr>
          <w:rFonts w:hint="default" w:ascii="Arial" w:hAnsi="Arial" w:eastAsia="Arial" w:cs="Arial"/>
          <w:b/>
          <w:bCs/>
          <w:lang w:val="en-US"/>
        </w:rPr>
        <w:t>Mr. Alok Srivastava Sir</w:t>
      </w:r>
      <w:r>
        <w:rPr>
          <w:rFonts w:ascii="Arial" w:hAnsi="Arial" w:eastAsia="Arial" w:cs="Arial"/>
          <w:b w:val="0"/>
          <w:bCs w:val="0"/>
          <w:i w:val="0"/>
          <w:iCs w:val="0"/>
          <w:color w:val="212121"/>
          <w:sz w:val="22"/>
          <w:szCs w:val="22"/>
        </w:rPr>
        <w:t>, for the invaluable guidance, constructive suggestions, and continuous encouragement throughout the course of this project. His/Her expertise and support have been instrumental in shaping this work.</w:t>
      </w:r>
    </w:p>
    <w:p w14:paraId="5E67E8D7">
      <w:pPr>
        <w:spacing w:before="60" w:after="60"/>
      </w:pPr>
    </w:p>
    <w:p w14:paraId="27DCB26E">
      <w:pPr>
        <w:spacing w:before="80" w:after="120" w:line="360" w:lineRule="auto"/>
        <w:jc w:val="both"/>
      </w:pPr>
      <w:r>
        <w:rPr>
          <w:rFonts w:ascii="Arial" w:hAnsi="Arial" w:eastAsia="Arial" w:cs="Arial"/>
          <w:b w:val="0"/>
          <w:bCs w:val="0"/>
          <w:i w:val="0"/>
          <w:iCs w:val="0"/>
          <w:color w:val="212121"/>
          <w:sz w:val="22"/>
          <w:szCs w:val="22"/>
        </w:rPr>
        <w:t>I wish to acknowledge the contribution of the teaching and technical staff of the computer laboratory for their timely assistance in providing access to software tools and hardware resources required for the development and testing of this system.</w:t>
      </w:r>
    </w:p>
    <w:p w14:paraId="118B8CE7">
      <w:pPr>
        <w:spacing w:before="60" w:after="60"/>
      </w:pPr>
    </w:p>
    <w:p w14:paraId="0E3FA827">
      <w:pPr>
        <w:spacing w:before="80" w:after="120" w:line="360" w:lineRule="auto"/>
        <w:jc w:val="both"/>
      </w:pPr>
      <w:r>
        <w:rPr>
          <w:rFonts w:ascii="Arial" w:hAnsi="Arial" w:eastAsia="Arial" w:cs="Arial"/>
          <w:b w:val="0"/>
          <w:bCs w:val="0"/>
          <w:i w:val="0"/>
          <w:iCs w:val="0"/>
          <w:color w:val="212121"/>
          <w:sz w:val="22"/>
          <w:szCs w:val="22"/>
        </w:rPr>
        <w:t>I am thankful to my fellow students and colleagues for their peer feedback, stimulating discussions, and moral support during the course of this project. Their inputs have helped me refine and improve the quality of this work.</w:t>
      </w:r>
    </w:p>
    <w:p w14:paraId="7DFE50AB">
      <w:pPr>
        <w:spacing w:before="60" w:after="60"/>
      </w:pPr>
    </w:p>
    <w:p w14:paraId="27C5621D">
      <w:pPr>
        <w:spacing w:before="80" w:after="120" w:line="360" w:lineRule="auto"/>
        <w:jc w:val="both"/>
      </w:pPr>
      <w:r>
        <w:rPr>
          <w:rFonts w:ascii="Arial" w:hAnsi="Arial" w:eastAsia="Arial" w:cs="Arial"/>
          <w:b w:val="0"/>
          <w:bCs w:val="0"/>
          <w:i w:val="0"/>
          <w:iCs w:val="0"/>
          <w:color w:val="212121"/>
          <w:sz w:val="22"/>
          <w:szCs w:val="22"/>
        </w:rPr>
        <w:t>Finally, I express my sincere gratitude to my family for their unwavering support, patience, and encouragement throughout my academic journey. Their belief in my abilities has always been my greatest source of motivation.</w:t>
      </w:r>
    </w:p>
    <w:p w14:paraId="05679D1F">
      <w:pPr>
        <w:spacing w:before="60" w:after="60"/>
      </w:pPr>
    </w:p>
    <w:p w14:paraId="5F8419CD">
      <w:pPr>
        <w:spacing w:before="60" w:after="60"/>
      </w:pPr>
    </w:p>
    <w:p w14:paraId="30DC045E">
      <w:pPr>
        <w:spacing w:before="200"/>
        <w:jc w:val="left"/>
        <w:rPr>
          <w:rFonts w:hint="default" w:ascii="Arial" w:hAnsi="Arial" w:eastAsia="Arial" w:cs="Arial"/>
          <w:b/>
          <w:bCs/>
          <w:color w:val="1A237E"/>
          <w:sz w:val="22"/>
          <w:szCs w:val="22"/>
          <w:lang w:val="en-IN"/>
        </w:rPr>
      </w:pPr>
      <w:r>
        <w:rPr>
          <w:rFonts w:ascii="Arial" w:hAnsi="Arial" w:eastAsia="Arial" w:cs="Arial"/>
          <w:b/>
          <w:bCs/>
          <w:color w:val="1A237E"/>
          <w:sz w:val="22"/>
          <w:szCs w:val="22"/>
        </w:rPr>
        <w:t xml:space="preserve">Place: </w:t>
      </w:r>
      <w:r>
        <w:rPr>
          <w:rFonts w:hint="default" w:ascii="Arial" w:hAnsi="Arial" w:eastAsia="Arial" w:cs="Arial"/>
          <w:b/>
          <w:bCs/>
          <w:color w:val="1A237E"/>
          <w:sz w:val="22"/>
          <w:szCs w:val="22"/>
          <w:lang w:val="en-IN"/>
        </w:rPr>
        <w:t>INDORE</w:t>
      </w:r>
    </w:p>
    <w:p w14:paraId="19940009">
      <w:pPr>
        <w:spacing w:before="200"/>
        <w:jc w:val="left"/>
        <w:rPr>
          <w:rFonts w:hint="default" w:ascii="Arial" w:hAnsi="Arial" w:eastAsia="Arial" w:cs="Arial"/>
          <w:b/>
          <w:bCs/>
          <w:color w:val="1A237E"/>
          <w:sz w:val="22"/>
          <w:szCs w:val="22"/>
          <w:lang w:val="en-IN"/>
        </w:rPr>
      </w:pPr>
      <w:r>
        <w:rPr>
          <w:rFonts w:ascii="Arial" w:hAnsi="Arial" w:eastAsia="Arial" w:cs="Arial"/>
          <w:b/>
          <w:bCs/>
          <w:color w:val="1A237E"/>
          <w:sz w:val="22"/>
          <w:szCs w:val="22"/>
        </w:rPr>
        <w:t xml:space="preserve">Date:  </w:t>
      </w:r>
      <w:r>
        <w:rPr>
          <w:rFonts w:hint="default" w:ascii="Arial" w:hAnsi="Arial" w:eastAsia="Arial" w:cs="Arial"/>
          <w:b/>
          <w:bCs/>
          <w:color w:val="1A237E"/>
          <w:sz w:val="22"/>
          <w:szCs w:val="22"/>
          <w:lang w:val="en-IN"/>
        </w:rPr>
        <w:t>10-05-2026</w:t>
      </w:r>
    </w:p>
    <w:p w14:paraId="04CBD8FE">
      <w:pPr>
        <w:spacing w:before="200"/>
        <w:jc w:val="left"/>
        <w:rPr>
          <w:rFonts w:hint="default" w:ascii="Arial" w:hAnsi="Arial" w:eastAsia="Arial" w:cs="Arial"/>
          <w:b/>
          <w:bCs/>
          <w:color w:val="1A237E"/>
          <w:sz w:val="22"/>
          <w:szCs w:val="22"/>
          <w:lang w:val="en-IN"/>
        </w:rPr>
      </w:pPr>
      <w:r>
        <w:rPr>
          <w:rFonts w:hint="default" w:ascii="Arial" w:hAnsi="Arial" w:eastAsia="Arial" w:cs="Arial"/>
          <w:b/>
          <w:bCs/>
          <w:color w:val="1A237E"/>
          <w:sz w:val="22"/>
          <w:szCs w:val="22"/>
          <w:lang w:val="en-IN"/>
        </w:rPr>
        <w:t>NAME: DEEPANSH JAIN</w:t>
      </w:r>
    </w:p>
    <w:p w14:paraId="0134BD87">
      <w:pPr>
        <w:spacing w:before="200"/>
        <w:jc w:val="left"/>
        <w:rPr>
          <w:rFonts w:hint="default" w:ascii="Arial" w:hAnsi="Arial" w:eastAsia="Arial" w:cs="Arial"/>
          <w:b/>
          <w:bCs/>
          <w:color w:val="1A237E"/>
          <w:sz w:val="22"/>
          <w:szCs w:val="22"/>
          <w:lang w:val="en-IN"/>
        </w:rPr>
      </w:pPr>
      <w:r>
        <w:rPr>
          <w:rFonts w:hint="default" w:ascii="Arial" w:hAnsi="Arial" w:eastAsia="Arial" w:cs="Arial"/>
          <w:b/>
          <w:bCs/>
          <w:color w:val="1A237E"/>
          <w:sz w:val="22"/>
          <w:szCs w:val="22"/>
          <w:lang w:val="en-IN"/>
        </w:rPr>
        <w:t xml:space="preserve">ENROLLMENT NO: </w:t>
      </w:r>
      <w:r>
        <w:rPr>
          <w:rFonts w:hint="default" w:ascii="Arial" w:hAnsi="Arial" w:eastAsia="Arial" w:cs="Arial"/>
          <w:b/>
          <w:bCs/>
          <w:color w:val="1A237E"/>
          <w:sz w:val="22"/>
          <w:szCs w:val="22"/>
          <w:lang w:val="en-US"/>
        </w:rPr>
        <w:t>O24MCA112123</w:t>
      </w:r>
    </w:p>
    <w:p w14:paraId="222F0CEB">
      <w:pPr>
        <w:spacing w:before="200"/>
        <w:jc w:val="left"/>
        <w:rPr>
          <w:rFonts w:hint="default" w:ascii="Arial" w:hAnsi="Arial" w:eastAsia="Arial" w:cs="Arial"/>
          <w:b/>
          <w:bCs/>
          <w:color w:val="1A237E"/>
          <w:sz w:val="22"/>
          <w:szCs w:val="22"/>
          <w:lang w:val="en-IN"/>
        </w:rPr>
      </w:pPr>
      <w:r>
        <w:rPr>
          <w:rFonts w:ascii="Arial" w:hAnsi="Arial" w:eastAsia="Arial" w:cs="Arial"/>
          <w:b/>
          <w:bCs/>
          <w:color w:val="1A237E"/>
          <w:sz w:val="22"/>
          <w:szCs w:val="22"/>
        </w:rPr>
        <w:t xml:space="preserve">Signature: </w:t>
      </w:r>
      <w:r>
        <w:rPr>
          <w:rFonts w:hint="default" w:ascii="Arial" w:hAnsi="Arial" w:eastAsia="Arial" w:cs="Arial"/>
          <w:b/>
          <w:bCs/>
          <w:color w:val="1A237E"/>
          <w:sz w:val="22"/>
          <w:szCs w:val="22"/>
          <w:lang w:val="en-IN"/>
        </w:rPr>
        <w:t>DEEPANSH JAIN</w:t>
      </w:r>
    </w:p>
    <w:p w14:paraId="2467D557">
      <w:pPr>
        <w:spacing w:before="200"/>
        <w:jc w:val="right"/>
        <w:rPr>
          <w:rFonts w:ascii="Arial" w:hAnsi="Arial" w:eastAsia="Arial" w:cs="Arial"/>
          <w:b/>
          <w:bCs/>
          <w:color w:val="1A237E"/>
          <w:sz w:val="22"/>
          <w:szCs w:val="22"/>
        </w:rPr>
      </w:pPr>
    </w:p>
    <w:p w14:paraId="2451EE14">
      <w:r>
        <w:br w:type="page"/>
      </w:r>
    </w:p>
    <w:p w14:paraId="47F8578F">
      <w:pPr>
        <w:pStyle w:val="2"/>
        <w:pBdr>
          <w:bottom w:val="single" w:color="1565C0" w:sz="8" w:space="4"/>
        </w:pBdr>
        <w:spacing w:before="360" w:after="200"/>
        <w:jc w:val="center"/>
      </w:pPr>
      <w:bookmarkStart w:id="4" w:name="_Toc26452"/>
      <w:r>
        <w:rPr>
          <w:rFonts w:ascii="Arial" w:hAnsi="Arial" w:eastAsia="Arial" w:cs="Arial"/>
          <w:b/>
          <w:bCs/>
          <w:color w:val="1A237E"/>
          <w:sz w:val="36"/>
          <w:szCs w:val="36"/>
        </w:rPr>
        <w:t>Abstract</w:t>
      </w:r>
      <w:bookmarkEnd w:id="4"/>
    </w:p>
    <w:p w14:paraId="0F1799FE">
      <w:pPr>
        <w:spacing w:before="60" w:after="60"/>
      </w:pPr>
    </w:p>
    <w:p w14:paraId="744BEEAE">
      <w:pPr>
        <w:spacing w:before="80" w:after="120" w:line="360" w:lineRule="auto"/>
        <w:jc w:val="both"/>
      </w:pPr>
      <w:r>
        <w:rPr>
          <w:rFonts w:ascii="Arial" w:hAnsi="Arial" w:eastAsia="Arial" w:cs="Arial"/>
          <w:b w:val="0"/>
          <w:bCs w:val="0"/>
          <w:i w:val="0"/>
          <w:iCs w:val="0"/>
          <w:color w:val="212121"/>
          <w:sz w:val="22"/>
          <w:szCs w:val="22"/>
        </w:rPr>
        <w:t>The exponential growth of e-commerce in India and globally has generated enormous volumes of transactional data that, when properly analyzed, can yield actionable intelligence for strategic decision-making. This project presents the design, development, and analytical evaluation of an E-Commerce Sales Analytics and Interactive Business Intelligence Visualization System built upon a real-world dataset of 500 orders and 1,500+ order detail records spanning the complete financial year 2018.</w:t>
      </w:r>
    </w:p>
    <w:p w14:paraId="60C79CE4">
      <w:pPr>
        <w:spacing w:before="60" w:after="60"/>
      </w:pPr>
    </w:p>
    <w:p w14:paraId="46B1569A">
      <w:pPr>
        <w:spacing w:before="80" w:after="120" w:line="360" w:lineRule="auto"/>
        <w:jc w:val="both"/>
      </w:pPr>
      <w:r>
        <w:rPr>
          <w:rFonts w:ascii="Arial" w:hAnsi="Arial" w:eastAsia="Arial" w:cs="Arial"/>
          <w:b w:val="0"/>
          <w:bCs w:val="0"/>
          <w:i w:val="0"/>
          <w:iCs w:val="0"/>
          <w:color w:val="212121"/>
          <w:sz w:val="22"/>
          <w:szCs w:val="22"/>
        </w:rPr>
        <w:t>The system integrates a normalized relational database schema with an interactive Power BI dashboard to deliver multi-dimensional analytics across four primary business dimensions: geographic revenue distribution, product category performance, payment mode behavior, and temporal profitability trends. The dataset encompasses three major product categories — Electronics, Furniture, and Clothing — sold across 19 Indian states, with transactions processed through five payment modes including Cash on Delivery (COD), UPI, Credit Card, Debit Card, and EMI.</w:t>
      </w:r>
    </w:p>
    <w:p w14:paraId="7D3E9EA4">
      <w:pPr>
        <w:spacing w:before="60" w:after="60"/>
      </w:pPr>
    </w:p>
    <w:p w14:paraId="01573919">
      <w:pPr>
        <w:spacing w:before="80" w:after="120" w:line="360" w:lineRule="auto"/>
        <w:jc w:val="both"/>
      </w:pPr>
      <w:r>
        <w:rPr>
          <w:rFonts w:ascii="Arial" w:hAnsi="Arial" w:eastAsia="Arial" w:cs="Arial"/>
          <w:b w:val="0"/>
          <w:bCs w:val="0"/>
          <w:i w:val="0"/>
          <w:iCs w:val="0"/>
          <w:color w:val="212121"/>
          <w:sz w:val="22"/>
          <w:szCs w:val="22"/>
        </w:rPr>
        <w:t>Key findings reveal that the platform generated a total revenue of INR 438,000 across 500 orders with an aggregate profit margin of INR 37,000. Maharashtra emerged as the highest-revenue state (INR 102K), while Printers led sub-category profitability at INR 8,600. COD dominated as the preferred payment mode at 44% of transaction volume. The system exposed significant profitability anomalies including months of negative margin (July and December) and loss-making sub-categories including certain Electronic Games and Saree lines.</w:t>
      </w:r>
    </w:p>
    <w:p w14:paraId="46E10164">
      <w:pPr>
        <w:spacing w:before="60" w:after="60"/>
      </w:pPr>
    </w:p>
    <w:p w14:paraId="6F6820DE">
      <w:pPr>
        <w:spacing w:before="80" w:after="120" w:line="360" w:lineRule="auto"/>
        <w:jc w:val="both"/>
      </w:pPr>
      <w:r>
        <w:rPr>
          <w:rFonts w:ascii="Arial" w:hAnsi="Arial" w:eastAsia="Arial" w:cs="Arial"/>
          <w:b w:val="0"/>
          <w:bCs w:val="0"/>
          <w:i w:val="0"/>
          <w:iCs w:val="0"/>
          <w:color w:val="212121"/>
          <w:sz w:val="22"/>
          <w:szCs w:val="22"/>
        </w:rPr>
        <w:t>The technology stack comprises Microsoft Power BI for visualization, PostgreSQL for backend data management, Python for data preprocessing and ETL operations, and a Star Schema data warehouse design for analytical query optimization. The system architecture follows a layered BI pipeline: data ingestion, transformation, warehousing, and interactive reporting. This project demonstrates the practical applicability of business intelligence technologies in transforming raw transactional data into strategic insights for e-commerce enterprises.</w:t>
      </w:r>
    </w:p>
    <w:p w14:paraId="2929824C">
      <w:pPr>
        <w:spacing w:before="200"/>
      </w:pPr>
      <w:r>
        <w:rPr>
          <w:rFonts w:ascii="Arial" w:hAnsi="Arial" w:eastAsia="Arial" w:cs="Arial"/>
          <w:b/>
          <w:bCs/>
          <w:color w:val="1A237E"/>
          <w:sz w:val="22"/>
          <w:szCs w:val="22"/>
        </w:rPr>
        <w:t xml:space="preserve">Keywords: </w:t>
      </w:r>
      <w:r>
        <w:rPr>
          <w:rFonts w:ascii="Arial" w:hAnsi="Arial" w:eastAsia="Arial" w:cs="Arial"/>
          <w:i/>
          <w:iCs/>
          <w:color w:val="212121"/>
          <w:sz w:val="22"/>
          <w:szCs w:val="22"/>
        </w:rPr>
        <w:t>E-Commerce Analytics, Business Intelligence, Power BI, Data Visualization, Sales Dashboard, Data Warehouse, ETL, KPI, Profitability Analysis, Geospatial Analytics</w:t>
      </w:r>
    </w:p>
    <w:p w14:paraId="76CAF7F4">
      <w:r>
        <w:br w:type="page"/>
      </w:r>
    </w:p>
    <w:p w14:paraId="141543D9">
      <w:pPr>
        <w:pStyle w:val="2"/>
        <w:pBdr>
          <w:bottom w:val="single" w:color="1565C0" w:sz="8" w:space="4"/>
        </w:pBdr>
        <w:spacing w:before="360" w:after="200"/>
        <w:jc w:val="center"/>
      </w:pPr>
      <w:bookmarkStart w:id="5" w:name="_Toc28630"/>
      <w:r>
        <w:rPr>
          <w:rFonts w:ascii="Arial" w:hAnsi="Arial" w:eastAsia="Arial" w:cs="Arial"/>
          <w:b/>
          <w:bCs/>
          <w:color w:val="1A237E"/>
          <w:sz w:val="36"/>
          <w:szCs w:val="36"/>
        </w:rPr>
        <w:t>Table of Contents</w:t>
      </w:r>
      <w:bookmarkEnd w:id="5"/>
    </w:p>
    <w:p w14:paraId="74474AB1">
      <w:pPr>
        <w:spacing w:before="200" w:after="100"/>
        <w:jc w:val="left"/>
      </w:pPr>
      <w:r>
        <w:rPr>
          <w:rFonts w:ascii="Arial" w:hAnsi="Arial" w:eastAsia="Arial" w:cs="Arial"/>
          <w:i/>
          <w:iCs/>
          <w:color w:val="666666"/>
          <w:sz w:val="18"/>
          <w:szCs w:val="18"/>
        </w:rPr>
        <w:t>Note: Update field codes in Microsoft Word (Ctrl+A, then F9) to generate page numbers.</w:t>
      </w:r>
    </w:p>
    <w:sdt>
      <w:sdtPr>
        <w:alias w:val="Table of Contents"/>
        <w:id w:val="147468168"/>
      </w:sdtPr>
      <w:sdtContent>
        <w:p w14:paraId="11DC0172">
          <w:pPr>
            <w:rPr>
              <w:rFonts w:ascii="Arial" w:hAnsi="Arial" w:eastAsia="Arial" w:cs="Arial"/>
              <w:color w:val="212121"/>
              <w:sz w:val="22"/>
              <w:szCs w:val="22"/>
            </w:rPr>
          </w:pPr>
          <w:r>
            <w:fldChar w:fldCharType="begin"/>
          </w:r>
          <w:r>
            <w:instrText xml:space="preserve">TOC \h \o "1-3"</w:instrText>
          </w:r>
          <w:r>
            <w:fldChar w:fldCharType="separate"/>
          </w:r>
        </w:p>
        <w:p w14:paraId="79FD7194">
          <w:pPr>
            <w:pStyle w:val="17"/>
            <w:tabs>
              <w:tab w:val="right" w:leader="dot" w:pos="9540"/>
            </w:tabs>
            <w:jc w:val="distribute"/>
          </w:pPr>
          <w:r>
            <w:fldChar w:fldCharType="begin"/>
          </w:r>
          <w:r>
            <w:instrText xml:space="preserve"> HYPERLINK \l _Toc24273 </w:instrText>
          </w:r>
          <w:r>
            <w:fldChar w:fldCharType="separate"/>
          </w:r>
          <w:r>
            <w:rPr>
              <w:rFonts w:ascii="Arial" w:hAnsi="Arial" w:eastAsia="Arial" w:cs="Arial"/>
              <w:bCs/>
              <w:szCs w:val="36"/>
            </w:rPr>
            <w:t>Certificate</w:t>
          </w:r>
          <w:r>
            <w:tab/>
          </w:r>
          <w:r>
            <w:fldChar w:fldCharType="begin"/>
          </w:r>
          <w:r>
            <w:instrText xml:space="preserve"> PAGEREF _Toc24273 \h </w:instrText>
          </w:r>
          <w:r>
            <w:fldChar w:fldCharType="separate"/>
          </w:r>
          <w:r>
            <w:t>2</w:t>
          </w:r>
          <w:r>
            <w:fldChar w:fldCharType="end"/>
          </w:r>
          <w:r>
            <w:fldChar w:fldCharType="end"/>
          </w:r>
        </w:p>
        <w:p w14:paraId="17E1531A">
          <w:pPr>
            <w:pStyle w:val="17"/>
            <w:tabs>
              <w:tab w:val="right" w:leader="dot" w:pos="9540"/>
            </w:tabs>
          </w:pPr>
          <w:r>
            <w:fldChar w:fldCharType="begin"/>
          </w:r>
          <w:r>
            <w:instrText xml:space="preserve"> HYPERLINK \l _Toc1101 </w:instrText>
          </w:r>
          <w:r>
            <w:fldChar w:fldCharType="separate"/>
          </w:r>
          <w:r>
            <w:rPr>
              <w:rFonts w:ascii="Arial" w:hAnsi="Arial" w:eastAsia="Arial" w:cs="Arial"/>
              <w:bCs/>
              <w:szCs w:val="36"/>
            </w:rPr>
            <w:t>Declaration</w:t>
          </w:r>
          <w:r>
            <w:tab/>
          </w:r>
          <w:r>
            <w:fldChar w:fldCharType="begin"/>
          </w:r>
          <w:r>
            <w:instrText xml:space="preserve"> PAGEREF _Toc1101 \h </w:instrText>
          </w:r>
          <w:r>
            <w:fldChar w:fldCharType="separate"/>
          </w:r>
          <w:r>
            <w:t>3</w:t>
          </w:r>
          <w:r>
            <w:fldChar w:fldCharType="end"/>
          </w:r>
          <w:r>
            <w:fldChar w:fldCharType="end"/>
          </w:r>
        </w:p>
        <w:p w14:paraId="40DB833E">
          <w:pPr>
            <w:pStyle w:val="17"/>
            <w:tabs>
              <w:tab w:val="right" w:leader="dot" w:pos="9540"/>
            </w:tabs>
          </w:pPr>
          <w:r>
            <w:fldChar w:fldCharType="begin"/>
          </w:r>
          <w:r>
            <w:instrText xml:space="preserve"> HYPERLINK \l _Toc2127 </w:instrText>
          </w:r>
          <w:r>
            <w:fldChar w:fldCharType="separate"/>
          </w:r>
          <w:r>
            <w:rPr>
              <w:rFonts w:ascii="Arial" w:hAnsi="Arial" w:eastAsia="Arial" w:cs="Arial"/>
              <w:bCs/>
              <w:szCs w:val="36"/>
            </w:rPr>
            <w:t>Acknowledgement</w:t>
          </w:r>
          <w:r>
            <w:tab/>
          </w:r>
          <w:r>
            <w:fldChar w:fldCharType="begin"/>
          </w:r>
          <w:r>
            <w:instrText xml:space="preserve"> PAGEREF _Toc2127 \h </w:instrText>
          </w:r>
          <w:r>
            <w:fldChar w:fldCharType="separate"/>
          </w:r>
          <w:r>
            <w:t>4</w:t>
          </w:r>
          <w:r>
            <w:fldChar w:fldCharType="end"/>
          </w:r>
          <w:r>
            <w:fldChar w:fldCharType="end"/>
          </w:r>
        </w:p>
        <w:p w14:paraId="24329927">
          <w:pPr>
            <w:pStyle w:val="17"/>
            <w:tabs>
              <w:tab w:val="right" w:leader="dot" w:pos="9540"/>
            </w:tabs>
          </w:pPr>
          <w:r>
            <w:fldChar w:fldCharType="begin"/>
          </w:r>
          <w:r>
            <w:instrText xml:space="preserve"> HYPERLINK \l _Toc26452 </w:instrText>
          </w:r>
          <w:r>
            <w:fldChar w:fldCharType="separate"/>
          </w:r>
          <w:r>
            <w:rPr>
              <w:rFonts w:ascii="Arial" w:hAnsi="Arial" w:eastAsia="Arial" w:cs="Arial"/>
              <w:bCs/>
              <w:szCs w:val="36"/>
            </w:rPr>
            <w:t>Abstract</w:t>
          </w:r>
          <w:r>
            <w:tab/>
          </w:r>
          <w:r>
            <w:fldChar w:fldCharType="begin"/>
          </w:r>
          <w:r>
            <w:instrText xml:space="preserve"> PAGEREF _Toc26452 \h </w:instrText>
          </w:r>
          <w:r>
            <w:fldChar w:fldCharType="separate"/>
          </w:r>
          <w:r>
            <w:t>5</w:t>
          </w:r>
          <w:r>
            <w:fldChar w:fldCharType="end"/>
          </w:r>
          <w:r>
            <w:fldChar w:fldCharType="end"/>
          </w:r>
        </w:p>
        <w:p w14:paraId="2E92DE4E">
          <w:pPr>
            <w:pStyle w:val="17"/>
            <w:tabs>
              <w:tab w:val="right" w:leader="dot" w:pos="9540"/>
            </w:tabs>
          </w:pPr>
          <w:r>
            <w:fldChar w:fldCharType="begin"/>
          </w:r>
          <w:r>
            <w:instrText xml:space="preserve"> HYPERLINK \l _Toc28630 </w:instrText>
          </w:r>
          <w:r>
            <w:fldChar w:fldCharType="separate"/>
          </w:r>
          <w:r>
            <w:rPr>
              <w:rFonts w:ascii="Arial" w:hAnsi="Arial" w:eastAsia="Arial" w:cs="Arial"/>
              <w:bCs/>
              <w:szCs w:val="36"/>
            </w:rPr>
            <w:t>Table of Contents</w:t>
          </w:r>
          <w:r>
            <w:tab/>
          </w:r>
          <w:r>
            <w:fldChar w:fldCharType="begin"/>
          </w:r>
          <w:r>
            <w:instrText xml:space="preserve"> PAGEREF _Toc28630 \h </w:instrText>
          </w:r>
          <w:r>
            <w:fldChar w:fldCharType="separate"/>
          </w:r>
          <w:r>
            <w:t>6</w:t>
          </w:r>
          <w:r>
            <w:fldChar w:fldCharType="end"/>
          </w:r>
          <w:r>
            <w:fldChar w:fldCharType="end"/>
          </w:r>
        </w:p>
        <w:p w14:paraId="2693AD71">
          <w:pPr>
            <w:pStyle w:val="17"/>
            <w:tabs>
              <w:tab w:val="right" w:leader="dot" w:pos="9540"/>
            </w:tabs>
          </w:pPr>
          <w:r>
            <w:fldChar w:fldCharType="begin"/>
          </w:r>
          <w:r>
            <w:instrText xml:space="preserve"> HYPERLINK \l _Toc29066 </w:instrText>
          </w:r>
          <w:r>
            <w:fldChar w:fldCharType="separate"/>
          </w:r>
          <w:r>
            <w:rPr>
              <w:rFonts w:ascii="Arial" w:hAnsi="Arial" w:eastAsia="Arial" w:cs="Arial"/>
              <w:bCs/>
              <w:szCs w:val="36"/>
            </w:rPr>
            <w:t>Chapter 1: Introduction</w:t>
          </w:r>
          <w:r>
            <w:tab/>
          </w:r>
          <w:r>
            <w:fldChar w:fldCharType="begin"/>
          </w:r>
          <w:r>
            <w:instrText xml:space="preserve"> PAGEREF _Toc29066 \h </w:instrText>
          </w:r>
          <w:r>
            <w:fldChar w:fldCharType="separate"/>
          </w:r>
          <w:r>
            <w:t>8</w:t>
          </w:r>
          <w:r>
            <w:fldChar w:fldCharType="end"/>
          </w:r>
          <w:r>
            <w:fldChar w:fldCharType="end"/>
          </w:r>
        </w:p>
        <w:p w14:paraId="41E60BBF">
          <w:pPr>
            <w:pStyle w:val="18"/>
            <w:tabs>
              <w:tab w:val="right" w:leader="dot" w:pos="9540"/>
            </w:tabs>
          </w:pPr>
          <w:r>
            <w:fldChar w:fldCharType="begin"/>
          </w:r>
          <w:r>
            <w:instrText xml:space="preserve"> HYPERLINK \l _Toc14068 </w:instrText>
          </w:r>
          <w:r>
            <w:fldChar w:fldCharType="separate"/>
          </w:r>
          <w:r>
            <w:rPr>
              <w:rFonts w:ascii="Arial" w:hAnsi="Arial" w:eastAsia="Arial" w:cs="Arial"/>
              <w:bCs/>
              <w:szCs w:val="28"/>
            </w:rPr>
            <w:t>1.1 Background and Motivation</w:t>
          </w:r>
          <w:r>
            <w:tab/>
          </w:r>
          <w:r>
            <w:fldChar w:fldCharType="begin"/>
          </w:r>
          <w:r>
            <w:instrText xml:space="preserve"> PAGEREF _Toc14068 \h </w:instrText>
          </w:r>
          <w:r>
            <w:fldChar w:fldCharType="separate"/>
          </w:r>
          <w:r>
            <w:t>8</w:t>
          </w:r>
          <w:r>
            <w:fldChar w:fldCharType="end"/>
          </w:r>
          <w:r>
            <w:fldChar w:fldCharType="end"/>
          </w:r>
        </w:p>
        <w:p w14:paraId="64F94421">
          <w:pPr>
            <w:pStyle w:val="18"/>
            <w:tabs>
              <w:tab w:val="right" w:leader="dot" w:pos="9540"/>
            </w:tabs>
          </w:pPr>
          <w:r>
            <w:fldChar w:fldCharType="begin"/>
          </w:r>
          <w:r>
            <w:instrText xml:space="preserve"> HYPERLINK \l _Toc29336 </w:instrText>
          </w:r>
          <w:r>
            <w:fldChar w:fldCharType="separate"/>
          </w:r>
          <w:r>
            <w:rPr>
              <w:rFonts w:ascii="Arial" w:hAnsi="Arial" w:eastAsia="Arial" w:cs="Arial"/>
              <w:bCs/>
              <w:szCs w:val="28"/>
            </w:rPr>
            <w:t>1.2 Problem Statement</w:t>
          </w:r>
          <w:r>
            <w:tab/>
          </w:r>
          <w:r>
            <w:fldChar w:fldCharType="begin"/>
          </w:r>
          <w:r>
            <w:instrText xml:space="preserve"> PAGEREF _Toc29336 \h </w:instrText>
          </w:r>
          <w:r>
            <w:fldChar w:fldCharType="separate"/>
          </w:r>
          <w:r>
            <w:t>8</w:t>
          </w:r>
          <w:r>
            <w:fldChar w:fldCharType="end"/>
          </w:r>
          <w:r>
            <w:fldChar w:fldCharType="end"/>
          </w:r>
        </w:p>
        <w:p w14:paraId="78F81065">
          <w:pPr>
            <w:pStyle w:val="18"/>
            <w:tabs>
              <w:tab w:val="right" w:leader="dot" w:pos="9540"/>
            </w:tabs>
          </w:pPr>
          <w:r>
            <w:fldChar w:fldCharType="begin"/>
          </w:r>
          <w:r>
            <w:instrText xml:space="preserve"> HYPERLINK \l _Toc6576 </w:instrText>
          </w:r>
          <w:r>
            <w:fldChar w:fldCharType="separate"/>
          </w:r>
          <w:r>
            <w:rPr>
              <w:rFonts w:ascii="Arial" w:hAnsi="Arial" w:eastAsia="Arial" w:cs="Arial"/>
              <w:bCs/>
              <w:szCs w:val="28"/>
            </w:rPr>
            <w:t>1.3 Objectives of the Project</w:t>
          </w:r>
          <w:r>
            <w:tab/>
          </w:r>
          <w:r>
            <w:fldChar w:fldCharType="begin"/>
          </w:r>
          <w:r>
            <w:instrText xml:space="preserve"> PAGEREF _Toc6576 \h </w:instrText>
          </w:r>
          <w:r>
            <w:fldChar w:fldCharType="separate"/>
          </w:r>
          <w:r>
            <w:t>9</w:t>
          </w:r>
          <w:r>
            <w:fldChar w:fldCharType="end"/>
          </w:r>
          <w:r>
            <w:fldChar w:fldCharType="end"/>
          </w:r>
        </w:p>
        <w:p w14:paraId="6E4FE0D6">
          <w:pPr>
            <w:pStyle w:val="18"/>
            <w:tabs>
              <w:tab w:val="right" w:leader="dot" w:pos="9540"/>
            </w:tabs>
          </w:pPr>
          <w:r>
            <w:fldChar w:fldCharType="begin"/>
          </w:r>
          <w:r>
            <w:instrText xml:space="preserve"> HYPERLINK \l _Toc23882 </w:instrText>
          </w:r>
          <w:r>
            <w:fldChar w:fldCharType="separate"/>
          </w:r>
          <w:r>
            <w:rPr>
              <w:rFonts w:ascii="Arial" w:hAnsi="Arial" w:eastAsia="Arial" w:cs="Arial"/>
              <w:bCs/>
              <w:szCs w:val="28"/>
            </w:rPr>
            <w:t>1.4 Scope of the Project</w:t>
          </w:r>
          <w:r>
            <w:tab/>
          </w:r>
          <w:r>
            <w:fldChar w:fldCharType="begin"/>
          </w:r>
          <w:r>
            <w:instrText xml:space="preserve"> PAGEREF _Toc23882 \h </w:instrText>
          </w:r>
          <w:r>
            <w:fldChar w:fldCharType="separate"/>
          </w:r>
          <w:r>
            <w:t>9</w:t>
          </w:r>
          <w:r>
            <w:fldChar w:fldCharType="end"/>
          </w:r>
          <w:r>
            <w:fldChar w:fldCharType="end"/>
          </w:r>
        </w:p>
        <w:p w14:paraId="410F02B4">
          <w:pPr>
            <w:pStyle w:val="18"/>
            <w:tabs>
              <w:tab w:val="right" w:leader="dot" w:pos="9540"/>
            </w:tabs>
          </w:pPr>
          <w:r>
            <w:fldChar w:fldCharType="begin"/>
          </w:r>
          <w:r>
            <w:instrText xml:space="preserve"> HYPERLINK \l _Toc21258 </w:instrText>
          </w:r>
          <w:r>
            <w:fldChar w:fldCharType="separate"/>
          </w:r>
          <w:r>
            <w:rPr>
              <w:rFonts w:ascii="Arial" w:hAnsi="Arial" w:eastAsia="Arial" w:cs="Arial"/>
              <w:bCs/>
              <w:szCs w:val="28"/>
            </w:rPr>
            <w:t>1.5 Organization of the Report</w:t>
          </w:r>
          <w:r>
            <w:tab/>
          </w:r>
          <w:r>
            <w:fldChar w:fldCharType="begin"/>
          </w:r>
          <w:r>
            <w:instrText xml:space="preserve"> PAGEREF _Toc21258 \h </w:instrText>
          </w:r>
          <w:r>
            <w:fldChar w:fldCharType="separate"/>
          </w:r>
          <w:r>
            <w:t>10</w:t>
          </w:r>
          <w:r>
            <w:fldChar w:fldCharType="end"/>
          </w:r>
          <w:r>
            <w:fldChar w:fldCharType="end"/>
          </w:r>
        </w:p>
        <w:p w14:paraId="68DF78FE">
          <w:pPr>
            <w:pStyle w:val="17"/>
            <w:tabs>
              <w:tab w:val="right" w:leader="dot" w:pos="9540"/>
            </w:tabs>
          </w:pPr>
          <w:r>
            <w:fldChar w:fldCharType="begin"/>
          </w:r>
          <w:r>
            <w:instrText xml:space="preserve"> HYPERLINK \l _Toc11923 </w:instrText>
          </w:r>
          <w:r>
            <w:fldChar w:fldCharType="separate"/>
          </w:r>
          <w:r>
            <w:rPr>
              <w:rFonts w:ascii="Arial" w:hAnsi="Arial" w:eastAsia="Arial" w:cs="Arial"/>
              <w:bCs/>
              <w:szCs w:val="36"/>
            </w:rPr>
            <w:t>Chapter 2: Literature Review</w:t>
          </w:r>
          <w:r>
            <w:tab/>
          </w:r>
          <w:r>
            <w:fldChar w:fldCharType="begin"/>
          </w:r>
          <w:r>
            <w:instrText xml:space="preserve"> PAGEREF _Toc11923 \h </w:instrText>
          </w:r>
          <w:r>
            <w:fldChar w:fldCharType="separate"/>
          </w:r>
          <w:r>
            <w:t>11</w:t>
          </w:r>
          <w:r>
            <w:fldChar w:fldCharType="end"/>
          </w:r>
          <w:r>
            <w:fldChar w:fldCharType="end"/>
          </w:r>
        </w:p>
        <w:p w14:paraId="1F6AF4BB">
          <w:pPr>
            <w:pStyle w:val="18"/>
            <w:tabs>
              <w:tab w:val="right" w:leader="dot" w:pos="9540"/>
            </w:tabs>
          </w:pPr>
          <w:r>
            <w:fldChar w:fldCharType="begin"/>
          </w:r>
          <w:r>
            <w:instrText xml:space="preserve"> HYPERLINK \l _Toc10826 </w:instrText>
          </w:r>
          <w:r>
            <w:fldChar w:fldCharType="separate"/>
          </w:r>
          <w:r>
            <w:rPr>
              <w:rFonts w:ascii="Arial" w:hAnsi="Arial" w:eastAsia="Arial" w:cs="Arial"/>
              <w:bCs/>
              <w:szCs w:val="28"/>
            </w:rPr>
            <w:t>2.1 Evolution of Business Intelligence</w:t>
          </w:r>
          <w:r>
            <w:tab/>
          </w:r>
          <w:r>
            <w:fldChar w:fldCharType="begin"/>
          </w:r>
          <w:r>
            <w:instrText xml:space="preserve"> PAGEREF _Toc10826 \h </w:instrText>
          </w:r>
          <w:r>
            <w:fldChar w:fldCharType="separate"/>
          </w:r>
          <w:r>
            <w:t>11</w:t>
          </w:r>
          <w:r>
            <w:fldChar w:fldCharType="end"/>
          </w:r>
          <w:r>
            <w:fldChar w:fldCharType="end"/>
          </w:r>
        </w:p>
        <w:p w14:paraId="75EB8985">
          <w:pPr>
            <w:pStyle w:val="18"/>
            <w:tabs>
              <w:tab w:val="right" w:leader="dot" w:pos="9540"/>
            </w:tabs>
          </w:pPr>
          <w:r>
            <w:fldChar w:fldCharType="begin"/>
          </w:r>
          <w:r>
            <w:instrText xml:space="preserve"> HYPERLINK \l _Toc32283 </w:instrText>
          </w:r>
          <w:r>
            <w:fldChar w:fldCharType="separate"/>
          </w:r>
          <w:r>
            <w:rPr>
              <w:rFonts w:ascii="Arial" w:hAnsi="Arial" w:eastAsia="Arial" w:cs="Arial"/>
              <w:bCs/>
              <w:szCs w:val="28"/>
            </w:rPr>
            <w:t>2.2 E-Commerce Analytics: Research Context</w:t>
          </w:r>
          <w:r>
            <w:tab/>
          </w:r>
          <w:r>
            <w:fldChar w:fldCharType="begin"/>
          </w:r>
          <w:r>
            <w:instrText xml:space="preserve"> PAGEREF _Toc32283 \h </w:instrText>
          </w:r>
          <w:r>
            <w:fldChar w:fldCharType="separate"/>
          </w:r>
          <w:r>
            <w:t>11</w:t>
          </w:r>
          <w:r>
            <w:fldChar w:fldCharType="end"/>
          </w:r>
          <w:r>
            <w:fldChar w:fldCharType="end"/>
          </w:r>
        </w:p>
        <w:p w14:paraId="22D88063">
          <w:pPr>
            <w:pStyle w:val="18"/>
            <w:tabs>
              <w:tab w:val="right" w:leader="dot" w:pos="9540"/>
            </w:tabs>
          </w:pPr>
          <w:r>
            <w:fldChar w:fldCharType="begin"/>
          </w:r>
          <w:r>
            <w:instrText xml:space="preserve"> HYPERLINK \l _Toc6139 </w:instrText>
          </w:r>
          <w:r>
            <w:fldChar w:fldCharType="separate"/>
          </w:r>
          <w:r>
            <w:rPr>
              <w:rFonts w:ascii="Arial" w:hAnsi="Arial" w:eastAsia="Arial" w:cs="Arial"/>
              <w:bCs/>
              <w:szCs w:val="28"/>
            </w:rPr>
            <w:t>2.3 Power BI as a Business Intelligence Platform</w:t>
          </w:r>
          <w:r>
            <w:tab/>
          </w:r>
          <w:r>
            <w:fldChar w:fldCharType="begin"/>
          </w:r>
          <w:r>
            <w:instrText xml:space="preserve"> PAGEREF _Toc6139 \h </w:instrText>
          </w:r>
          <w:r>
            <w:fldChar w:fldCharType="separate"/>
          </w:r>
          <w:r>
            <w:t>11</w:t>
          </w:r>
          <w:r>
            <w:fldChar w:fldCharType="end"/>
          </w:r>
          <w:r>
            <w:fldChar w:fldCharType="end"/>
          </w:r>
        </w:p>
        <w:p w14:paraId="17FE75FA">
          <w:pPr>
            <w:pStyle w:val="18"/>
            <w:tabs>
              <w:tab w:val="right" w:leader="dot" w:pos="9540"/>
            </w:tabs>
          </w:pPr>
          <w:r>
            <w:fldChar w:fldCharType="begin"/>
          </w:r>
          <w:r>
            <w:instrText xml:space="preserve"> HYPERLINK \l _Toc3030 </w:instrText>
          </w:r>
          <w:r>
            <w:fldChar w:fldCharType="separate"/>
          </w:r>
          <w:r>
            <w:rPr>
              <w:rFonts w:ascii="Arial" w:hAnsi="Arial" w:eastAsia="Arial" w:cs="Arial"/>
              <w:bCs/>
              <w:szCs w:val="28"/>
            </w:rPr>
            <w:t>2.4 Data Warehouse Design for Retail Analytics</w:t>
          </w:r>
          <w:r>
            <w:tab/>
          </w:r>
          <w:r>
            <w:fldChar w:fldCharType="begin"/>
          </w:r>
          <w:r>
            <w:instrText xml:space="preserve"> PAGEREF _Toc3030 \h </w:instrText>
          </w:r>
          <w:r>
            <w:fldChar w:fldCharType="separate"/>
          </w:r>
          <w:r>
            <w:t>12</w:t>
          </w:r>
          <w:r>
            <w:fldChar w:fldCharType="end"/>
          </w:r>
          <w:r>
            <w:fldChar w:fldCharType="end"/>
          </w:r>
        </w:p>
        <w:p w14:paraId="2229517B">
          <w:pPr>
            <w:pStyle w:val="18"/>
            <w:tabs>
              <w:tab w:val="right" w:leader="dot" w:pos="9540"/>
            </w:tabs>
          </w:pPr>
          <w:r>
            <w:fldChar w:fldCharType="begin"/>
          </w:r>
          <w:r>
            <w:instrText xml:space="preserve"> HYPERLINK \l _Toc10114 </w:instrText>
          </w:r>
          <w:r>
            <w:fldChar w:fldCharType="separate"/>
          </w:r>
          <w:r>
            <w:rPr>
              <w:rFonts w:ascii="Arial" w:hAnsi="Arial" w:eastAsia="Arial" w:cs="Arial"/>
              <w:bCs/>
              <w:szCs w:val="28"/>
            </w:rPr>
            <w:t>2.5 KPIs in E-Commerce Performance Measurement</w:t>
          </w:r>
          <w:r>
            <w:tab/>
          </w:r>
          <w:r>
            <w:fldChar w:fldCharType="begin"/>
          </w:r>
          <w:r>
            <w:instrText xml:space="preserve"> PAGEREF _Toc10114 \h </w:instrText>
          </w:r>
          <w:r>
            <w:fldChar w:fldCharType="separate"/>
          </w:r>
          <w:r>
            <w:t>12</w:t>
          </w:r>
          <w:r>
            <w:fldChar w:fldCharType="end"/>
          </w:r>
          <w:r>
            <w:fldChar w:fldCharType="end"/>
          </w:r>
        </w:p>
        <w:p w14:paraId="5B4BC68F">
          <w:pPr>
            <w:pStyle w:val="18"/>
            <w:tabs>
              <w:tab w:val="right" w:leader="dot" w:pos="9540"/>
            </w:tabs>
          </w:pPr>
          <w:r>
            <w:fldChar w:fldCharType="begin"/>
          </w:r>
          <w:r>
            <w:instrText xml:space="preserve"> HYPERLINK \l _Toc31666 </w:instrText>
          </w:r>
          <w:r>
            <w:fldChar w:fldCharType="separate"/>
          </w:r>
          <w:r>
            <w:rPr>
              <w:rFonts w:ascii="Arial" w:hAnsi="Arial" w:eastAsia="Arial" w:cs="Arial"/>
              <w:bCs/>
              <w:szCs w:val="28"/>
            </w:rPr>
            <w:t>2.6 Geospatial Analytics in Indian E-Commerce</w:t>
          </w:r>
          <w:r>
            <w:tab/>
          </w:r>
          <w:r>
            <w:fldChar w:fldCharType="begin"/>
          </w:r>
          <w:r>
            <w:instrText xml:space="preserve"> PAGEREF _Toc31666 \h </w:instrText>
          </w:r>
          <w:r>
            <w:fldChar w:fldCharType="separate"/>
          </w:r>
          <w:r>
            <w:t>13</w:t>
          </w:r>
          <w:r>
            <w:fldChar w:fldCharType="end"/>
          </w:r>
          <w:r>
            <w:fldChar w:fldCharType="end"/>
          </w:r>
        </w:p>
        <w:p w14:paraId="0C215723">
          <w:pPr>
            <w:pStyle w:val="17"/>
            <w:tabs>
              <w:tab w:val="right" w:leader="dot" w:pos="9540"/>
            </w:tabs>
          </w:pPr>
          <w:r>
            <w:fldChar w:fldCharType="begin"/>
          </w:r>
          <w:r>
            <w:instrText xml:space="preserve"> HYPERLINK \l _Toc8885 </w:instrText>
          </w:r>
          <w:r>
            <w:fldChar w:fldCharType="separate"/>
          </w:r>
          <w:r>
            <w:rPr>
              <w:rFonts w:ascii="Arial" w:hAnsi="Arial" w:eastAsia="Arial" w:cs="Arial"/>
              <w:bCs/>
              <w:szCs w:val="36"/>
            </w:rPr>
            <w:t>Chapter 3: Dataset Description and Analysis</w:t>
          </w:r>
          <w:r>
            <w:tab/>
          </w:r>
          <w:r>
            <w:fldChar w:fldCharType="begin"/>
          </w:r>
          <w:r>
            <w:instrText xml:space="preserve"> PAGEREF _Toc8885 \h </w:instrText>
          </w:r>
          <w:r>
            <w:fldChar w:fldCharType="separate"/>
          </w:r>
          <w:r>
            <w:t>14</w:t>
          </w:r>
          <w:r>
            <w:fldChar w:fldCharType="end"/>
          </w:r>
          <w:r>
            <w:fldChar w:fldCharType="end"/>
          </w:r>
        </w:p>
        <w:p w14:paraId="4BEA0F43">
          <w:pPr>
            <w:pStyle w:val="18"/>
            <w:tabs>
              <w:tab w:val="right" w:leader="dot" w:pos="9540"/>
            </w:tabs>
          </w:pPr>
          <w:r>
            <w:fldChar w:fldCharType="begin"/>
          </w:r>
          <w:r>
            <w:instrText xml:space="preserve"> HYPERLINK \l _Toc14180 </w:instrText>
          </w:r>
          <w:r>
            <w:fldChar w:fldCharType="separate"/>
          </w:r>
          <w:r>
            <w:rPr>
              <w:rFonts w:ascii="Arial" w:hAnsi="Arial" w:eastAsia="Arial" w:cs="Arial"/>
              <w:bCs/>
              <w:szCs w:val="28"/>
            </w:rPr>
            <w:t>3.1 Data Sources and Collection</w:t>
          </w:r>
          <w:r>
            <w:tab/>
          </w:r>
          <w:r>
            <w:fldChar w:fldCharType="begin"/>
          </w:r>
          <w:r>
            <w:instrText xml:space="preserve"> PAGEREF _Toc14180 \h </w:instrText>
          </w:r>
          <w:r>
            <w:fldChar w:fldCharType="separate"/>
          </w:r>
          <w:r>
            <w:t>14</w:t>
          </w:r>
          <w:r>
            <w:fldChar w:fldCharType="end"/>
          </w:r>
          <w:r>
            <w:fldChar w:fldCharType="end"/>
          </w:r>
        </w:p>
        <w:p w14:paraId="67FA98C8">
          <w:pPr>
            <w:pStyle w:val="18"/>
            <w:tabs>
              <w:tab w:val="right" w:leader="dot" w:pos="9540"/>
            </w:tabs>
          </w:pPr>
          <w:r>
            <w:fldChar w:fldCharType="begin"/>
          </w:r>
          <w:r>
            <w:instrText xml:space="preserve"> HYPERLINK \l _Toc16093 </w:instrText>
          </w:r>
          <w:r>
            <w:fldChar w:fldCharType="separate"/>
          </w:r>
          <w:r>
            <w:rPr>
              <w:rFonts w:ascii="Arial" w:hAnsi="Arial" w:eastAsia="Arial" w:cs="Arial"/>
              <w:bCs/>
              <w:szCs w:val="28"/>
            </w:rPr>
            <w:t>3.2 Dataset Structure and Schema</w:t>
          </w:r>
          <w:r>
            <w:tab/>
          </w:r>
          <w:r>
            <w:fldChar w:fldCharType="begin"/>
          </w:r>
          <w:r>
            <w:instrText xml:space="preserve"> PAGEREF _Toc16093 \h </w:instrText>
          </w:r>
          <w:r>
            <w:fldChar w:fldCharType="separate"/>
          </w:r>
          <w:r>
            <w:t>14</w:t>
          </w:r>
          <w:r>
            <w:fldChar w:fldCharType="end"/>
          </w:r>
          <w:r>
            <w:fldChar w:fldCharType="end"/>
          </w:r>
        </w:p>
        <w:p w14:paraId="5C5929D5">
          <w:pPr>
            <w:pStyle w:val="18"/>
            <w:tabs>
              <w:tab w:val="right" w:leader="dot" w:pos="9540"/>
            </w:tabs>
          </w:pPr>
          <w:r>
            <w:fldChar w:fldCharType="begin"/>
          </w:r>
          <w:r>
            <w:instrText xml:space="preserve"> HYPERLINK \l _Toc28627 </w:instrText>
          </w:r>
          <w:r>
            <w:fldChar w:fldCharType="separate"/>
          </w:r>
          <w:r>
            <w:rPr>
              <w:rFonts w:ascii="Arial" w:hAnsi="Arial" w:eastAsia="Arial" w:cs="Arial"/>
              <w:bCs/>
              <w:szCs w:val="28"/>
            </w:rPr>
            <w:t>3.3 Exploratory Data Statistics</w:t>
          </w:r>
          <w:r>
            <w:tab/>
          </w:r>
          <w:r>
            <w:fldChar w:fldCharType="begin"/>
          </w:r>
          <w:r>
            <w:instrText xml:space="preserve"> PAGEREF _Toc28627 \h </w:instrText>
          </w:r>
          <w:r>
            <w:fldChar w:fldCharType="separate"/>
          </w:r>
          <w:r>
            <w:t>14</w:t>
          </w:r>
          <w:r>
            <w:fldChar w:fldCharType="end"/>
          </w:r>
          <w:r>
            <w:fldChar w:fldCharType="end"/>
          </w:r>
        </w:p>
        <w:p w14:paraId="3CB2392E">
          <w:pPr>
            <w:pStyle w:val="19"/>
            <w:tabs>
              <w:tab w:val="right" w:leader="dot" w:pos="9540"/>
            </w:tabs>
          </w:pPr>
          <w:r>
            <w:fldChar w:fldCharType="begin"/>
          </w:r>
          <w:r>
            <w:instrText xml:space="preserve"> HYPERLINK \l _Toc32513 </w:instrText>
          </w:r>
          <w:r>
            <w:fldChar w:fldCharType="separate"/>
          </w:r>
          <w:r>
            <w:rPr>
              <w:rFonts w:ascii="Arial" w:hAnsi="Arial" w:eastAsia="Arial" w:cs="Arial"/>
              <w:bCs/>
              <w:szCs w:val="24"/>
            </w:rPr>
            <w:t>3.3.1 Revenue and Profit Summary</w:t>
          </w:r>
          <w:r>
            <w:tab/>
          </w:r>
          <w:r>
            <w:fldChar w:fldCharType="begin"/>
          </w:r>
          <w:r>
            <w:instrText xml:space="preserve"> PAGEREF _Toc32513 \h </w:instrText>
          </w:r>
          <w:r>
            <w:fldChar w:fldCharType="separate"/>
          </w:r>
          <w:r>
            <w:t>15</w:t>
          </w:r>
          <w:r>
            <w:fldChar w:fldCharType="end"/>
          </w:r>
          <w:r>
            <w:fldChar w:fldCharType="end"/>
          </w:r>
        </w:p>
        <w:p w14:paraId="180758DD">
          <w:pPr>
            <w:pStyle w:val="19"/>
            <w:tabs>
              <w:tab w:val="right" w:leader="dot" w:pos="9540"/>
            </w:tabs>
          </w:pPr>
          <w:r>
            <w:fldChar w:fldCharType="begin"/>
          </w:r>
          <w:r>
            <w:instrText xml:space="preserve"> HYPERLINK \l _Toc17081 </w:instrText>
          </w:r>
          <w:r>
            <w:fldChar w:fldCharType="separate"/>
          </w:r>
          <w:r>
            <w:rPr>
              <w:rFonts w:ascii="Arial" w:hAnsi="Arial" w:eastAsia="Arial" w:cs="Arial"/>
              <w:bCs/>
              <w:szCs w:val="24"/>
            </w:rPr>
            <w:t>3.3.2 Geographic Distribution</w:t>
          </w:r>
          <w:r>
            <w:tab/>
          </w:r>
          <w:r>
            <w:fldChar w:fldCharType="begin"/>
          </w:r>
          <w:r>
            <w:instrText xml:space="preserve"> PAGEREF _Toc17081 \h </w:instrText>
          </w:r>
          <w:r>
            <w:fldChar w:fldCharType="separate"/>
          </w:r>
          <w:r>
            <w:t>15</w:t>
          </w:r>
          <w:r>
            <w:fldChar w:fldCharType="end"/>
          </w:r>
          <w:r>
            <w:fldChar w:fldCharType="end"/>
          </w:r>
        </w:p>
        <w:p w14:paraId="450E0260">
          <w:pPr>
            <w:pStyle w:val="19"/>
            <w:tabs>
              <w:tab w:val="right" w:leader="dot" w:pos="9540"/>
            </w:tabs>
          </w:pPr>
          <w:r>
            <w:fldChar w:fldCharType="begin"/>
          </w:r>
          <w:r>
            <w:instrText xml:space="preserve"> HYPERLINK \l _Toc23929 </w:instrText>
          </w:r>
          <w:r>
            <w:fldChar w:fldCharType="separate"/>
          </w:r>
          <w:r>
            <w:rPr>
              <w:rFonts w:ascii="Arial" w:hAnsi="Arial" w:eastAsia="Arial" w:cs="Arial"/>
              <w:bCs/>
              <w:szCs w:val="24"/>
            </w:rPr>
            <w:t>3.3.3 Product Category Distribution</w:t>
          </w:r>
          <w:r>
            <w:tab/>
          </w:r>
          <w:r>
            <w:fldChar w:fldCharType="begin"/>
          </w:r>
          <w:r>
            <w:instrText xml:space="preserve"> PAGEREF _Toc23929 \h </w:instrText>
          </w:r>
          <w:r>
            <w:fldChar w:fldCharType="separate"/>
          </w:r>
          <w:r>
            <w:t>15</w:t>
          </w:r>
          <w:r>
            <w:fldChar w:fldCharType="end"/>
          </w:r>
          <w:r>
            <w:fldChar w:fldCharType="end"/>
          </w:r>
        </w:p>
        <w:p w14:paraId="525AC124">
          <w:pPr>
            <w:pStyle w:val="19"/>
            <w:tabs>
              <w:tab w:val="right" w:leader="dot" w:pos="9540"/>
            </w:tabs>
          </w:pPr>
          <w:r>
            <w:fldChar w:fldCharType="begin"/>
          </w:r>
          <w:r>
            <w:instrText xml:space="preserve"> HYPERLINK \l _Toc28273 </w:instrText>
          </w:r>
          <w:r>
            <w:fldChar w:fldCharType="separate"/>
          </w:r>
          <w:r>
            <w:rPr>
              <w:rFonts w:ascii="Arial" w:hAnsi="Arial" w:eastAsia="Arial" w:cs="Arial"/>
              <w:bCs/>
              <w:szCs w:val="24"/>
            </w:rPr>
            <w:t>3.3.4 Payment Mode Distribution</w:t>
          </w:r>
          <w:r>
            <w:tab/>
          </w:r>
          <w:r>
            <w:fldChar w:fldCharType="begin"/>
          </w:r>
          <w:r>
            <w:instrText xml:space="preserve"> PAGEREF _Toc28273 \h </w:instrText>
          </w:r>
          <w:r>
            <w:fldChar w:fldCharType="separate"/>
          </w:r>
          <w:r>
            <w:t>15</w:t>
          </w:r>
          <w:r>
            <w:fldChar w:fldCharType="end"/>
          </w:r>
          <w:r>
            <w:fldChar w:fldCharType="end"/>
          </w:r>
        </w:p>
        <w:p w14:paraId="2055134A">
          <w:pPr>
            <w:pStyle w:val="18"/>
            <w:tabs>
              <w:tab w:val="right" w:leader="dot" w:pos="9540"/>
            </w:tabs>
          </w:pPr>
          <w:r>
            <w:fldChar w:fldCharType="begin"/>
          </w:r>
          <w:r>
            <w:instrText xml:space="preserve"> HYPERLINK \l _Toc7952 </w:instrText>
          </w:r>
          <w:r>
            <w:fldChar w:fldCharType="separate"/>
          </w:r>
          <w:r>
            <w:rPr>
              <w:rFonts w:ascii="Arial" w:hAnsi="Arial" w:eastAsia="Arial" w:cs="Arial"/>
              <w:bCs/>
              <w:szCs w:val="28"/>
            </w:rPr>
            <w:t>3.4 Data Quality Assessment</w:t>
          </w:r>
          <w:r>
            <w:tab/>
          </w:r>
          <w:r>
            <w:fldChar w:fldCharType="begin"/>
          </w:r>
          <w:r>
            <w:instrText xml:space="preserve"> PAGEREF _Toc7952 \h </w:instrText>
          </w:r>
          <w:r>
            <w:fldChar w:fldCharType="separate"/>
          </w:r>
          <w:r>
            <w:t>16</w:t>
          </w:r>
          <w:r>
            <w:fldChar w:fldCharType="end"/>
          </w:r>
          <w:r>
            <w:fldChar w:fldCharType="end"/>
          </w:r>
        </w:p>
        <w:p w14:paraId="2EB8C42B">
          <w:pPr>
            <w:pStyle w:val="17"/>
            <w:tabs>
              <w:tab w:val="right" w:leader="dot" w:pos="9540"/>
            </w:tabs>
          </w:pPr>
          <w:r>
            <w:fldChar w:fldCharType="begin"/>
          </w:r>
          <w:r>
            <w:instrText xml:space="preserve"> HYPERLINK \l _Toc3339 </w:instrText>
          </w:r>
          <w:r>
            <w:fldChar w:fldCharType="separate"/>
          </w:r>
          <w:r>
            <w:rPr>
              <w:rFonts w:ascii="Arial" w:hAnsi="Arial" w:eastAsia="Arial" w:cs="Arial"/>
              <w:bCs/>
              <w:szCs w:val="36"/>
            </w:rPr>
            <w:t>Chapter 4: System Design</w:t>
          </w:r>
          <w:r>
            <w:tab/>
          </w:r>
          <w:r>
            <w:fldChar w:fldCharType="begin"/>
          </w:r>
          <w:r>
            <w:instrText xml:space="preserve"> PAGEREF _Toc3339 \h </w:instrText>
          </w:r>
          <w:r>
            <w:fldChar w:fldCharType="separate"/>
          </w:r>
          <w:r>
            <w:t>17</w:t>
          </w:r>
          <w:r>
            <w:fldChar w:fldCharType="end"/>
          </w:r>
          <w:r>
            <w:fldChar w:fldCharType="end"/>
          </w:r>
        </w:p>
        <w:p w14:paraId="29316D27">
          <w:pPr>
            <w:pStyle w:val="18"/>
            <w:tabs>
              <w:tab w:val="right" w:leader="dot" w:pos="9540"/>
            </w:tabs>
          </w:pPr>
          <w:r>
            <w:fldChar w:fldCharType="begin"/>
          </w:r>
          <w:r>
            <w:instrText xml:space="preserve"> HYPERLINK \l _Toc1091 </w:instrText>
          </w:r>
          <w:r>
            <w:fldChar w:fldCharType="separate"/>
          </w:r>
          <w:r>
            <w:rPr>
              <w:rFonts w:ascii="Arial" w:hAnsi="Arial" w:eastAsia="Arial" w:cs="Arial"/>
              <w:bCs/>
              <w:szCs w:val="28"/>
            </w:rPr>
            <w:t>4.1 System Architecture Overview</w:t>
          </w:r>
          <w:r>
            <w:tab/>
          </w:r>
          <w:r>
            <w:fldChar w:fldCharType="begin"/>
          </w:r>
          <w:r>
            <w:instrText xml:space="preserve"> PAGEREF _Toc1091 \h </w:instrText>
          </w:r>
          <w:r>
            <w:fldChar w:fldCharType="separate"/>
          </w:r>
          <w:r>
            <w:t>17</w:t>
          </w:r>
          <w:r>
            <w:fldChar w:fldCharType="end"/>
          </w:r>
          <w:r>
            <w:fldChar w:fldCharType="end"/>
          </w:r>
        </w:p>
        <w:p w14:paraId="577016B0">
          <w:pPr>
            <w:pStyle w:val="18"/>
            <w:tabs>
              <w:tab w:val="right" w:leader="dot" w:pos="9540"/>
            </w:tabs>
          </w:pPr>
          <w:r>
            <w:fldChar w:fldCharType="begin"/>
          </w:r>
          <w:r>
            <w:instrText xml:space="preserve"> HYPERLINK \l _Toc22807 </w:instrText>
          </w:r>
          <w:r>
            <w:fldChar w:fldCharType="separate"/>
          </w:r>
          <w:r>
            <w:rPr>
              <w:rFonts w:ascii="Arial" w:hAnsi="Arial" w:eastAsia="Arial" w:cs="Arial"/>
              <w:bCs/>
              <w:szCs w:val="28"/>
            </w:rPr>
            <w:t>4.2 Database Schema Design (OLTP)</w:t>
          </w:r>
          <w:r>
            <w:tab/>
          </w:r>
          <w:r>
            <w:fldChar w:fldCharType="begin"/>
          </w:r>
          <w:r>
            <w:instrText xml:space="preserve"> PAGEREF _Toc22807 \h </w:instrText>
          </w:r>
          <w:r>
            <w:fldChar w:fldCharType="separate"/>
          </w:r>
          <w:r>
            <w:t>17</w:t>
          </w:r>
          <w:r>
            <w:fldChar w:fldCharType="end"/>
          </w:r>
          <w:r>
            <w:fldChar w:fldCharType="end"/>
          </w:r>
        </w:p>
        <w:p w14:paraId="33CE8316">
          <w:pPr>
            <w:pStyle w:val="19"/>
            <w:tabs>
              <w:tab w:val="right" w:leader="dot" w:pos="9540"/>
            </w:tabs>
          </w:pPr>
          <w:r>
            <w:fldChar w:fldCharType="begin"/>
          </w:r>
          <w:r>
            <w:instrText xml:space="preserve"> HYPERLINK \l _Toc29015 </w:instrText>
          </w:r>
          <w:r>
            <w:fldChar w:fldCharType="separate"/>
          </w:r>
          <w:r>
            <w:rPr>
              <w:rFonts w:ascii="Arial" w:hAnsi="Arial" w:eastAsia="Arial" w:cs="Arial"/>
              <w:bCs/>
              <w:szCs w:val="24"/>
            </w:rPr>
            <w:t>4.2.1 Table Definitions</w:t>
          </w:r>
          <w:r>
            <w:tab/>
          </w:r>
          <w:r>
            <w:fldChar w:fldCharType="begin"/>
          </w:r>
          <w:r>
            <w:instrText xml:space="preserve"> PAGEREF _Toc29015 \h </w:instrText>
          </w:r>
          <w:r>
            <w:fldChar w:fldCharType="separate"/>
          </w:r>
          <w:r>
            <w:t>17</w:t>
          </w:r>
          <w:r>
            <w:fldChar w:fldCharType="end"/>
          </w:r>
          <w:r>
            <w:fldChar w:fldCharType="end"/>
          </w:r>
        </w:p>
        <w:p w14:paraId="04AFF1DC">
          <w:pPr>
            <w:pStyle w:val="19"/>
            <w:tabs>
              <w:tab w:val="right" w:leader="dot" w:pos="9540"/>
            </w:tabs>
          </w:pPr>
          <w:r>
            <w:fldChar w:fldCharType="begin"/>
          </w:r>
          <w:r>
            <w:instrText xml:space="preserve"> HYPERLINK \l _Toc20943 </w:instrText>
          </w:r>
          <w:r>
            <w:fldChar w:fldCharType="separate"/>
          </w:r>
          <w:r>
            <w:rPr>
              <w:rFonts w:ascii="Arial" w:hAnsi="Arial" w:eastAsia="Arial" w:cs="Arial"/>
              <w:bCs/>
              <w:szCs w:val="24"/>
            </w:rPr>
            <w:t>4.2.2 Entity Relationship Diagram (Textual Representation)</w:t>
          </w:r>
          <w:r>
            <w:tab/>
          </w:r>
          <w:r>
            <w:fldChar w:fldCharType="begin"/>
          </w:r>
          <w:r>
            <w:instrText xml:space="preserve"> PAGEREF _Toc20943 \h </w:instrText>
          </w:r>
          <w:r>
            <w:fldChar w:fldCharType="separate"/>
          </w:r>
          <w:r>
            <w:t>18</w:t>
          </w:r>
          <w:r>
            <w:fldChar w:fldCharType="end"/>
          </w:r>
          <w:r>
            <w:fldChar w:fldCharType="end"/>
          </w:r>
        </w:p>
        <w:p w14:paraId="7AFD454E">
          <w:pPr>
            <w:pStyle w:val="18"/>
            <w:tabs>
              <w:tab w:val="right" w:leader="dot" w:pos="9540"/>
            </w:tabs>
          </w:pPr>
          <w:r>
            <w:fldChar w:fldCharType="begin"/>
          </w:r>
          <w:r>
            <w:instrText xml:space="preserve"> HYPERLINK \l _Toc11369 </w:instrText>
          </w:r>
          <w:r>
            <w:fldChar w:fldCharType="separate"/>
          </w:r>
          <w:r>
            <w:rPr>
              <w:rFonts w:ascii="Arial" w:hAnsi="Arial" w:eastAsia="Arial" w:cs="Arial"/>
              <w:bCs/>
              <w:szCs w:val="28"/>
            </w:rPr>
            <w:t>4.3 Data Warehouse Design (Star Schema)</w:t>
          </w:r>
          <w:r>
            <w:tab/>
          </w:r>
          <w:r>
            <w:fldChar w:fldCharType="begin"/>
          </w:r>
          <w:r>
            <w:instrText xml:space="preserve"> PAGEREF _Toc11369 \h </w:instrText>
          </w:r>
          <w:r>
            <w:fldChar w:fldCharType="separate"/>
          </w:r>
          <w:r>
            <w:t>18</w:t>
          </w:r>
          <w:r>
            <w:fldChar w:fldCharType="end"/>
          </w:r>
          <w:r>
            <w:fldChar w:fldCharType="end"/>
          </w:r>
        </w:p>
        <w:p w14:paraId="0AF0FBAF">
          <w:pPr>
            <w:pStyle w:val="19"/>
            <w:tabs>
              <w:tab w:val="right" w:leader="dot" w:pos="9540"/>
            </w:tabs>
          </w:pPr>
          <w:r>
            <w:fldChar w:fldCharType="begin"/>
          </w:r>
          <w:r>
            <w:instrText xml:space="preserve"> HYPERLINK \l _Toc390 </w:instrText>
          </w:r>
          <w:r>
            <w:fldChar w:fldCharType="separate"/>
          </w:r>
          <w:r>
            <w:rPr>
              <w:rFonts w:ascii="Arial" w:hAnsi="Arial" w:eastAsia="Arial" w:cs="Arial"/>
              <w:bCs/>
              <w:szCs w:val="24"/>
            </w:rPr>
            <w:t>4.3.1 Fact Table: FactSales</w:t>
          </w:r>
          <w:r>
            <w:tab/>
          </w:r>
          <w:r>
            <w:fldChar w:fldCharType="begin"/>
          </w:r>
          <w:r>
            <w:instrText xml:space="preserve"> PAGEREF _Toc390 \h </w:instrText>
          </w:r>
          <w:r>
            <w:fldChar w:fldCharType="separate"/>
          </w:r>
          <w:r>
            <w:t>18</w:t>
          </w:r>
          <w:r>
            <w:fldChar w:fldCharType="end"/>
          </w:r>
          <w:r>
            <w:fldChar w:fldCharType="end"/>
          </w:r>
        </w:p>
        <w:p w14:paraId="15B2D628">
          <w:pPr>
            <w:pStyle w:val="19"/>
            <w:tabs>
              <w:tab w:val="right" w:leader="dot" w:pos="9540"/>
            </w:tabs>
          </w:pPr>
          <w:r>
            <w:fldChar w:fldCharType="begin"/>
          </w:r>
          <w:r>
            <w:instrText xml:space="preserve"> HYPERLINK \l _Toc2206 </w:instrText>
          </w:r>
          <w:r>
            <w:fldChar w:fldCharType="separate"/>
          </w:r>
          <w:r>
            <w:rPr>
              <w:rFonts w:ascii="Arial" w:hAnsi="Arial" w:eastAsia="Arial" w:cs="Arial"/>
              <w:bCs/>
              <w:szCs w:val="24"/>
            </w:rPr>
            <w:t>4.3.2 Dimension Tables</w:t>
          </w:r>
          <w:r>
            <w:tab/>
          </w:r>
          <w:r>
            <w:fldChar w:fldCharType="begin"/>
          </w:r>
          <w:r>
            <w:instrText xml:space="preserve"> PAGEREF _Toc2206 \h </w:instrText>
          </w:r>
          <w:r>
            <w:fldChar w:fldCharType="separate"/>
          </w:r>
          <w:r>
            <w:t>18</w:t>
          </w:r>
          <w:r>
            <w:fldChar w:fldCharType="end"/>
          </w:r>
          <w:r>
            <w:fldChar w:fldCharType="end"/>
          </w:r>
        </w:p>
        <w:p w14:paraId="03D0B203">
          <w:pPr>
            <w:pStyle w:val="18"/>
            <w:tabs>
              <w:tab w:val="right" w:leader="dot" w:pos="9540"/>
            </w:tabs>
          </w:pPr>
          <w:r>
            <w:fldChar w:fldCharType="begin"/>
          </w:r>
          <w:r>
            <w:instrText xml:space="preserve"> HYPERLINK \l _Toc127 </w:instrText>
          </w:r>
          <w:r>
            <w:fldChar w:fldCharType="separate"/>
          </w:r>
          <w:r>
            <w:rPr>
              <w:rFonts w:ascii="Arial" w:hAnsi="Arial" w:eastAsia="Arial" w:cs="Arial"/>
              <w:bCs/>
              <w:szCs w:val="28"/>
            </w:rPr>
            <w:t>4.4 ETL Pipeline Design</w:t>
          </w:r>
          <w:r>
            <w:tab/>
          </w:r>
          <w:r>
            <w:fldChar w:fldCharType="begin"/>
          </w:r>
          <w:r>
            <w:instrText xml:space="preserve"> PAGEREF _Toc127 \h </w:instrText>
          </w:r>
          <w:r>
            <w:fldChar w:fldCharType="separate"/>
          </w:r>
          <w:r>
            <w:t>19</w:t>
          </w:r>
          <w:r>
            <w:fldChar w:fldCharType="end"/>
          </w:r>
          <w:r>
            <w:fldChar w:fldCharType="end"/>
          </w:r>
        </w:p>
        <w:p w14:paraId="034ADE4F">
          <w:pPr>
            <w:pStyle w:val="19"/>
            <w:tabs>
              <w:tab w:val="right" w:leader="dot" w:pos="9540"/>
            </w:tabs>
          </w:pPr>
          <w:r>
            <w:fldChar w:fldCharType="begin"/>
          </w:r>
          <w:r>
            <w:instrText xml:space="preserve"> HYPERLINK \l _Toc20499 </w:instrText>
          </w:r>
          <w:r>
            <w:fldChar w:fldCharType="separate"/>
          </w:r>
          <w:r>
            <w:rPr>
              <w:rFonts w:ascii="Arial" w:hAnsi="Arial" w:eastAsia="Arial" w:cs="Arial"/>
              <w:bCs/>
              <w:szCs w:val="24"/>
            </w:rPr>
            <w:t>4.4.1 Extract</w:t>
          </w:r>
          <w:r>
            <w:tab/>
          </w:r>
          <w:r>
            <w:fldChar w:fldCharType="begin"/>
          </w:r>
          <w:r>
            <w:instrText xml:space="preserve"> PAGEREF _Toc20499 \h </w:instrText>
          </w:r>
          <w:r>
            <w:fldChar w:fldCharType="separate"/>
          </w:r>
          <w:r>
            <w:t>19</w:t>
          </w:r>
          <w:r>
            <w:fldChar w:fldCharType="end"/>
          </w:r>
          <w:r>
            <w:fldChar w:fldCharType="end"/>
          </w:r>
        </w:p>
        <w:p w14:paraId="10EF9DCF">
          <w:pPr>
            <w:pStyle w:val="19"/>
            <w:tabs>
              <w:tab w:val="right" w:leader="dot" w:pos="9540"/>
            </w:tabs>
          </w:pPr>
          <w:r>
            <w:fldChar w:fldCharType="begin"/>
          </w:r>
          <w:r>
            <w:instrText xml:space="preserve"> HYPERLINK \l _Toc24480 </w:instrText>
          </w:r>
          <w:r>
            <w:fldChar w:fldCharType="separate"/>
          </w:r>
          <w:r>
            <w:rPr>
              <w:rFonts w:ascii="Arial" w:hAnsi="Arial" w:eastAsia="Arial" w:cs="Arial"/>
              <w:bCs/>
              <w:szCs w:val="24"/>
            </w:rPr>
            <w:t>4.4.2 Transform</w:t>
          </w:r>
          <w:r>
            <w:tab/>
          </w:r>
          <w:r>
            <w:fldChar w:fldCharType="begin"/>
          </w:r>
          <w:r>
            <w:instrText xml:space="preserve"> PAGEREF _Toc24480 \h </w:instrText>
          </w:r>
          <w:r>
            <w:fldChar w:fldCharType="separate"/>
          </w:r>
          <w:r>
            <w:t>19</w:t>
          </w:r>
          <w:r>
            <w:fldChar w:fldCharType="end"/>
          </w:r>
          <w:r>
            <w:fldChar w:fldCharType="end"/>
          </w:r>
        </w:p>
        <w:p w14:paraId="0CE83C4F">
          <w:pPr>
            <w:pStyle w:val="19"/>
            <w:tabs>
              <w:tab w:val="right" w:leader="dot" w:pos="9540"/>
            </w:tabs>
          </w:pPr>
          <w:r>
            <w:fldChar w:fldCharType="begin"/>
          </w:r>
          <w:r>
            <w:instrText xml:space="preserve"> HYPERLINK \l _Toc2643 </w:instrText>
          </w:r>
          <w:r>
            <w:fldChar w:fldCharType="separate"/>
          </w:r>
          <w:r>
            <w:rPr>
              <w:rFonts w:ascii="Arial" w:hAnsi="Arial" w:eastAsia="Arial" w:cs="Arial"/>
              <w:bCs/>
              <w:szCs w:val="24"/>
            </w:rPr>
            <w:t>4.4.3 Load</w:t>
          </w:r>
          <w:r>
            <w:tab/>
          </w:r>
          <w:r>
            <w:fldChar w:fldCharType="begin"/>
          </w:r>
          <w:r>
            <w:instrText xml:space="preserve"> PAGEREF _Toc2643 \h </w:instrText>
          </w:r>
          <w:r>
            <w:fldChar w:fldCharType="separate"/>
          </w:r>
          <w:r>
            <w:t>19</w:t>
          </w:r>
          <w:r>
            <w:fldChar w:fldCharType="end"/>
          </w:r>
          <w:r>
            <w:fldChar w:fldCharType="end"/>
          </w:r>
        </w:p>
        <w:p w14:paraId="0BDC8991">
          <w:pPr>
            <w:pStyle w:val="18"/>
            <w:tabs>
              <w:tab w:val="right" w:leader="dot" w:pos="9540"/>
            </w:tabs>
          </w:pPr>
          <w:r>
            <w:fldChar w:fldCharType="begin"/>
          </w:r>
          <w:r>
            <w:instrText xml:space="preserve"> HYPERLINK \l _Toc16795 </w:instrText>
          </w:r>
          <w:r>
            <w:fldChar w:fldCharType="separate"/>
          </w:r>
          <w:r>
            <w:rPr>
              <w:rFonts w:ascii="Arial" w:hAnsi="Arial" w:eastAsia="Arial" w:cs="Arial"/>
              <w:bCs/>
              <w:szCs w:val="28"/>
            </w:rPr>
            <w:t>4.5 Power BI Integration Architecture</w:t>
          </w:r>
          <w:r>
            <w:tab/>
          </w:r>
          <w:r>
            <w:fldChar w:fldCharType="begin"/>
          </w:r>
          <w:r>
            <w:instrText xml:space="preserve"> PAGEREF _Toc16795 \h </w:instrText>
          </w:r>
          <w:r>
            <w:fldChar w:fldCharType="separate"/>
          </w:r>
          <w:r>
            <w:t>19</w:t>
          </w:r>
          <w:r>
            <w:fldChar w:fldCharType="end"/>
          </w:r>
          <w:r>
            <w:fldChar w:fldCharType="end"/>
          </w:r>
        </w:p>
        <w:p w14:paraId="072814F7">
          <w:pPr>
            <w:pStyle w:val="17"/>
            <w:tabs>
              <w:tab w:val="right" w:leader="dot" w:pos="9540"/>
            </w:tabs>
          </w:pPr>
          <w:r>
            <w:fldChar w:fldCharType="begin"/>
          </w:r>
          <w:r>
            <w:instrText xml:space="preserve"> HYPERLINK \l _Toc27470 </w:instrText>
          </w:r>
          <w:r>
            <w:fldChar w:fldCharType="separate"/>
          </w:r>
          <w:r>
            <w:rPr>
              <w:rFonts w:ascii="Arial" w:hAnsi="Arial" w:eastAsia="Arial" w:cs="Arial"/>
              <w:bCs/>
              <w:szCs w:val="36"/>
            </w:rPr>
            <w:t>Chapter 5: Dashboard Design and Visualization</w:t>
          </w:r>
          <w:r>
            <w:tab/>
          </w:r>
          <w:r>
            <w:fldChar w:fldCharType="begin"/>
          </w:r>
          <w:r>
            <w:instrText xml:space="preserve"> PAGEREF _Toc27470 \h </w:instrText>
          </w:r>
          <w:r>
            <w:fldChar w:fldCharType="separate"/>
          </w:r>
          <w:r>
            <w:t>20</w:t>
          </w:r>
          <w:r>
            <w:fldChar w:fldCharType="end"/>
          </w:r>
          <w:r>
            <w:fldChar w:fldCharType="end"/>
          </w:r>
        </w:p>
        <w:p w14:paraId="4C0C5EB6">
          <w:pPr>
            <w:pStyle w:val="18"/>
            <w:tabs>
              <w:tab w:val="right" w:leader="dot" w:pos="9540"/>
            </w:tabs>
          </w:pPr>
          <w:r>
            <w:fldChar w:fldCharType="begin"/>
          </w:r>
          <w:r>
            <w:instrText xml:space="preserve"> HYPERLINK \l _Toc24196 </w:instrText>
          </w:r>
          <w:r>
            <w:fldChar w:fldCharType="separate"/>
          </w:r>
          <w:r>
            <w:rPr>
              <w:rFonts w:ascii="Arial" w:hAnsi="Arial" w:eastAsia="Arial" w:cs="Arial"/>
              <w:bCs/>
              <w:szCs w:val="28"/>
            </w:rPr>
            <w:t>5.1 Dashboard Overview and Design Philosophy</w:t>
          </w:r>
          <w:r>
            <w:tab/>
          </w:r>
          <w:r>
            <w:fldChar w:fldCharType="begin"/>
          </w:r>
          <w:r>
            <w:instrText xml:space="preserve"> PAGEREF _Toc24196 \h </w:instrText>
          </w:r>
          <w:r>
            <w:fldChar w:fldCharType="separate"/>
          </w:r>
          <w:r>
            <w:t>20</w:t>
          </w:r>
          <w:r>
            <w:fldChar w:fldCharType="end"/>
          </w:r>
          <w:r>
            <w:fldChar w:fldCharType="end"/>
          </w:r>
        </w:p>
        <w:p w14:paraId="2C259BBB">
          <w:pPr>
            <w:pStyle w:val="18"/>
            <w:tabs>
              <w:tab w:val="right" w:leader="dot" w:pos="9540"/>
            </w:tabs>
          </w:pPr>
          <w:r>
            <w:fldChar w:fldCharType="begin"/>
          </w:r>
          <w:r>
            <w:instrText xml:space="preserve"> HYPERLINK \l _Toc22307 </w:instrText>
          </w:r>
          <w:r>
            <w:fldChar w:fldCharType="separate"/>
          </w:r>
          <w:r>
            <w:rPr>
              <w:rFonts w:ascii="Arial" w:hAnsi="Arial" w:eastAsia="Arial" w:cs="Arial"/>
              <w:bCs/>
              <w:szCs w:val="28"/>
            </w:rPr>
            <w:t>5.2 KPI Cards (Top Row)</w:t>
          </w:r>
          <w:r>
            <w:tab/>
          </w:r>
          <w:r>
            <w:fldChar w:fldCharType="begin"/>
          </w:r>
          <w:r>
            <w:instrText xml:space="preserve"> PAGEREF _Toc22307 \h </w:instrText>
          </w:r>
          <w:r>
            <w:fldChar w:fldCharType="separate"/>
          </w:r>
          <w:r>
            <w:t>20</w:t>
          </w:r>
          <w:r>
            <w:fldChar w:fldCharType="end"/>
          </w:r>
          <w:r>
            <w:fldChar w:fldCharType="end"/>
          </w:r>
        </w:p>
        <w:p w14:paraId="37937A8C">
          <w:pPr>
            <w:pStyle w:val="19"/>
            <w:tabs>
              <w:tab w:val="right" w:leader="dot" w:pos="9540"/>
            </w:tabs>
          </w:pPr>
          <w:r>
            <w:fldChar w:fldCharType="begin"/>
          </w:r>
          <w:r>
            <w:instrText xml:space="preserve"> HYPERLINK \l _Toc19694 </w:instrText>
          </w:r>
          <w:r>
            <w:fldChar w:fldCharType="separate"/>
          </w:r>
          <w:r>
            <w:rPr>
              <w:rFonts w:ascii="Arial" w:hAnsi="Arial" w:eastAsia="Arial" w:cs="Arial"/>
              <w:bCs/>
              <w:szCs w:val="24"/>
            </w:rPr>
            <w:t>5.2.1 Total Revenue Card — INR 438K</w:t>
          </w:r>
          <w:r>
            <w:tab/>
          </w:r>
          <w:r>
            <w:fldChar w:fldCharType="begin"/>
          </w:r>
          <w:r>
            <w:instrText xml:space="preserve"> PAGEREF _Toc19694 \h </w:instrText>
          </w:r>
          <w:r>
            <w:fldChar w:fldCharType="separate"/>
          </w:r>
          <w:r>
            <w:t>20</w:t>
          </w:r>
          <w:r>
            <w:fldChar w:fldCharType="end"/>
          </w:r>
          <w:r>
            <w:fldChar w:fldCharType="end"/>
          </w:r>
        </w:p>
        <w:p w14:paraId="35B63243">
          <w:pPr>
            <w:pStyle w:val="19"/>
            <w:tabs>
              <w:tab w:val="right" w:leader="dot" w:pos="9540"/>
            </w:tabs>
          </w:pPr>
          <w:r>
            <w:fldChar w:fldCharType="begin"/>
          </w:r>
          <w:r>
            <w:instrText xml:space="preserve"> HYPERLINK \l _Toc2376 </w:instrText>
          </w:r>
          <w:r>
            <w:fldChar w:fldCharType="separate"/>
          </w:r>
          <w:r>
            <w:rPr>
              <w:rFonts w:ascii="Arial" w:hAnsi="Arial" w:eastAsia="Arial" w:cs="Arial"/>
              <w:bCs/>
              <w:szCs w:val="24"/>
            </w:rPr>
            <w:t>5.2.2 Profit Margin Card — INR 37K</w:t>
          </w:r>
          <w:r>
            <w:tab/>
          </w:r>
          <w:r>
            <w:fldChar w:fldCharType="begin"/>
          </w:r>
          <w:r>
            <w:instrText xml:space="preserve"> PAGEREF _Toc2376 \h </w:instrText>
          </w:r>
          <w:r>
            <w:fldChar w:fldCharType="separate"/>
          </w:r>
          <w:r>
            <w:t>20</w:t>
          </w:r>
          <w:r>
            <w:fldChar w:fldCharType="end"/>
          </w:r>
          <w:r>
            <w:fldChar w:fldCharType="end"/>
          </w:r>
        </w:p>
        <w:p w14:paraId="2E21923A">
          <w:pPr>
            <w:pStyle w:val="19"/>
            <w:tabs>
              <w:tab w:val="right" w:leader="dot" w:pos="9540"/>
            </w:tabs>
          </w:pPr>
          <w:r>
            <w:fldChar w:fldCharType="begin"/>
          </w:r>
          <w:r>
            <w:instrText xml:space="preserve"> HYPERLINK \l _Toc1275 </w:instrText>
          </w:r>
          <w:r>
            <w:fldChar w:fldCharType="separate"/>
          </w:r>
          <w:r>
            <w:rPr>
              <w:rFonts w:ascii="Arial" w:hAnsi="Arial" w:eastAsia="Arial" w:cs="Arial"/>
              <w:bCs/>
              <w:szCs w:val="24"/>
            </w:rPr>
            <w:t>5.2.3 Orders Count Card — 500</w:t>
          </w:r>
          <w:r>
            <w:tab/>
          </w:r>
          <w:r>
            <w:fldChar w:fldCharType="begin"/>
          </w:r>
          <w:r>
            <w:instrText xml:space="preserve"> PAGEREF _Toc1275 \h </w:instrText>
          </w:r>
          <w:r>
            <w:fldChar w:fldCharType="separate"/>
          </w:r>
          <w:r>
            <w:t>21</w:t>
          </w:r>
          <w:r>
            <w:fldChar w:fldCharType="end"/>
          </w:r>
          <w:r>
            <w:fldChar w:fldCharType="end"/>
          </w:r>
        </w:p>
        <w:p w14:paraId="75B852D0">
          <w:pPr>
            <w:pStyle w:val="19"/>
            <w:tabs>
              <w:tab w:val="right" w:leader="dot" w:pos="9540"/>
            </w:tabs>
          </w:pPr>
          <w:r>
            <w:fldChar w:fldCharType="begin"/>
          </w:r>
          <w:r>
            <w:instrText xml:space="preserve"> HYPERLINK \l _Toc8652 </w:instrText>
          </w:r>
          <w:r>
            <w:fldChar w:fldCharType="separate"/>
          </w:r>
          <w:r>
            <w:rPr>
              <w:rFonts w:ascii="Arial" w:hAnsi="Arial" w:eastAsia="Arial" w:cs="Arial"/>
              <w:bCs/>
              <w:szCs w:val="24"/>
            </w:rPr>
            <w:t>5.2.4 AOV Card — INR 121K</w:t>
          </w:r>
          <w:r>
            <w:tab/>
          </w:r>
          <w:r>
            <w:fldChar w:fldCharType="begin"/>
          </w:r>
          <w:r>
            <w:instrText xml:space="preserve"> PAGEREF _Toc8652 \h </w:instrText>
          </w:r>
          <w:r>
            <w:fldChar w:fldCharType="separate"/>
          </w:r>
          <w:r>
            <w:t>21</w:t>
          </w:r>
          <w:r>
            <w:fldChar w:fldCharType="end"/>
          </w:r>
          <w:r>
            <w:fldChar w:fldCharType="end"/>
          </w:r>
        </w:p>
        <w:p w14:paraId="783B0E20">
          <w:pPr>
            <w:pStyle w:val="18"/>
            <w:tabs>
              <w:tab w:val="right" w:leader="dot" w:pos="9540"/>
            </w:tabs>
          </w:pPr>
          <w:r>
            <w:fldChar w:fldCharType="begin"/>
          </w:r>
          <w:r>
            <w:instrText xml:space="preserve"> HYPERLINK \l _Toc29970 </w:instrText>
          </w:r>
          <w:r>
            <w:fldChar w:fldCharType="separate"/>
          </w:r>
          <w:r>
            <w:rPr>
              <w:rFonts w:ascii="Arial" w:hAnsi="Arial" w:eastAsia="Arial" w:cs="Arial"/>
              <w:bCs/>
              <w:szCs w:val="28"/>
            </w:rPr>
            <w:t>5.3 Chart Analysis: Total Revenue by State</w:t>
          </w:r>
          <w:r>
            <w:tab/>
          </w:r>
          <w:r>
            <w:fldChar w:fldCharType="begin"/>
          </w:r>
          <w:r>
            <w:instrText xml:space="preserve"> PAGEREF _Toc29970 \h </w:instrText>
          </w:r>
          <w:r>
            <w:fldChar w:fldCharType="separate"/>
          </w:r>
          <w:r>
            <w:t>21</w:t>
          </w:r>
          <w:r>
            <w:fldChar w:fldCharType="end"/>
          </w:r>
          <w:r>
            <w:fldChar w:fldCharType="end"/>
          </w:r>
        </w:p>
        <w:p w14:paraId="4C47436C">
          <w:pPr>
            <w:pStyle w:val="18"/>
            <w:tabs>
              <w:tab w:val="right" w:leader="dot" w:pos="9540"/>
            </w:tabs>
          </w:pPr>
          <w:r>
            <w:fldChar w:fldCharType="begin"/>
          </w:r>
          <w:r>
            <w:instrText xml:space="preserve"> HYPERLINK \l _Toc12739 </w:instrText>
          </w:r>
          <w:r>
            <w:fldChar w:fldCharType="separate"/>
          </w:r>
          <w:r>
            <w:rPr>
              <w:rFonts w:ascii="Arial" w:hAnsi="Arial" w:eastAsia="Arial" w:cs="Arial"/>
              <w:bCs/>
              <w:szCs w:val="28"/>
            </w:rPr>
            <w:t>5.4 Chart Analysis: Quantity by Payment Mode</w:t>
          </w:r>
          <w:r>
            <w:tab/>
          </w:r>
          <w:r>
            <w:fldChar w:fldCharType="begin"/>
          </w:r>
          <w:r>
            <w:instrText xml:space="preserve"> PAGEREF _Toc12739 \h </w:instrText>
          </w:r>
          <w:r>
            <w:fldChar w:fldCharType="separate"/>
          </w:r>
          <w:r>
            <w:t>22</w:t>
          </w:r>
          <w:r>
            <w:fldChar w:fldCharType="end"/>
          </w:r>
          <w:r>
            <w:fldChar w:fldCharType="end"/>
          </w:r>
        </w:p>
        <w:p w14:paraId="297357ED">
          <w:pPr>
            <w:pStyle w:val="18"/>
            <w:tabs>
              <w:tab w:val="right" w:leader="dot" w:pos="9540"/>
            </w:tabs>
          </w:pPr>
          <w:r>
            <w:fldChar w:fldCharType="begin"/>
          </w:r>
          <w:r>
            <w:instrText xml:space="preserve"> HYPERLINK \l _Toc32019 </w:instrText>
          </w:r>
          <w:r>
            <w:fldChar w:fldCharType="separate"/>
          </w:r>
          <w:r>
            <w:rPr>
              <w:rFonts w:ascii="Arial" w:hAnsi="Arial" w:eastAsia="Arial" w:cs="Arial"/>
              <w:bCs/>
              <w:szCs w:val="28"/>
            </w:rPr>
            <w:t>5.5 Chart Analysis: Profit Margin by Sub-Category</w:t>
          </w:r>
          <w:r>
            <w:tab/>
          </w:r>
          <w:r>
            <w:fldChar w:fldCharType="begin"/>
          </w:r>
          <w:r>
            <w:instrText xml:space="preserve"> PAGEREF _Toc32019 \h </w:instrText>
          </w:r>
          <w:r>
            <w:fldChar w:fldCharType="separate"/>
          </w:r>
          <w:r>
            <w:t>22</w:t>
          </w:r>
          <w:r>
            <w:fldChar w:fldCharType="end"/>
          </w:r>
          <w:r>
            <w:fldChar w:fldCharType="end"/>
          </w:r>
        </w:p>
        <w:p w14:paraId="2A5ECE47">
          <w:pPr>
            <w:pStyle w:val="18"/>
            <w:tabs>
              <w:tab w:val="right" w:leader="dot" w:pos="9540"/>
            </w:tabs>
          </w:pPr>
          <w:r>
            <w:fldChar w:fldCharType="begin"/>
          </w:r>
          <w:r>
            <w:instrText xml:space="preserve"> HYPERLINK \l _Toc26668 </w:instrText>
          </w:r>
          <w:r>
            <w:fldChar w:fldCharType="separate"/>
          </w:r>
          <w:r>
            <w:rPr>
              <w:rFonts w:ascii="Arial" w:hAnsi="Arial" w:eastAsia="Arial" w:cs="Arial"/>
              <w:bCs/>
              <w:szCs w:val="28"/>
            </w:rPr>
            <w:t>5.6 Chart Analysis: Quantity by Category</w:t>
          </w:r>
          <w:r>
            <w:tab/>
          </w:r>
          <w:r>
            <w:fldChar w:fldCharType="begin"/>
          </w:r>
          <w:r>
            <w:instrText xml:space="preserve"> PAGEREF _Toc26668 \h </w:instrText>
          </w:r>
          <w:r>
            <w:fldChar w:fldCharType="separate"/>
          </w:r>
          <w:r>
            <w:t>22</w:t>
          </w:r>
          <w:r>
            <w:fldChar w:fldCharType="end"/>
          </w:r>
          <w:r>
            <w:fldChar w:fldCharType="end"/>
          </w:r>
        </w:p>
        <w:p w14:paraId="0AB53A22">
          <w:pPr>
            <w:pStyle w:val="18"/>
            <w:tabs>
              <w:tab w:val="right" w:leader="dot" w:pos="9540"/>
            </w:tabs>
          </w:pPr>
          <w:r>
            <w:fldChar w:fldCharType="begin"/>
          </w:r>
          <w:r>
            <w:instrText xml:space="preserve"> HYPERLINK \l _Toc3126 </w:instrText>
          </w:r>
          <w:r>
            <w:fldChar w:fldCharType="separate"/>
          </w:r>
          <w:r>
            <w:rPr>
              <w:rFonts w:ascii="Arial" w:hAnsi="Arial" w:eastAsia="Arial" w:cs="Arial"/>
              <w:bCs/>
              <w:szCs w:val="28"/>
            </w:rPr>
            <w:t>5.7 Chart Analysis: Total Revenue by Customer Name</w:t>
          </w:r>
          <w:r>
            <w:tab/>
          </w:r>
          <w:r>
            <w:fldChar w:fldCharType="begin"/>
          </w:r>
          <w:r>
            <w:instrText xml:space="preserve"> PAGEREF _Toc3126 \h </w:instrText>
          </w:r>
          <w:r>
            <w:fldChar w:fldCharType="separate"/>
          </w:r>
          <w:r>
            <w:t>23</w:t>
          </w:r>
          <w:r>
            <w:fldChar w:fldCharType="end"/>
          </w:r>
          <w:r>
            <w:fldChar w:fldCharType="end"/>
          </w:r>
        </w:p>
        <w:p w14:paraId="71ABF7E4">
          <w:pPr>
            <w:pStyle w:val="18"/>
            <w:tabs>
              <w:tab w:val="right" w:leader="dot" w:pos="9540"/>
            </w:tabs>
          </w:pPr>
          <w:r>
            <w:fldChar w:fldCharType="begin"/>
          </w:r>
          <w:r>
            <w:instrText xml:space="preserve"> HYPERLINK \l _Toc19140 </w:instrText>
          </w:r>
          <w:r>
            <w:fldChar w:fldCharType="separate"/>
          </w:r>
          <w:r>
            <w:rPr>
              <w:rFonts w:ascii="Arial" w:hAnsi="Arial" w:eastAsia="Arial" w:cs="Arial"/>
              <w:bCs/>
              <w:szCs w:val="28"/>
            </w:rPr>
            <w:t>5.8 Chart Analysis: Orders by City (Geographic Map)</w:t>
          </w:r>
          <w:r>
            <w:tab/>
          </w:r>
          <w:r>
            <w:fldChar w:fldCharType="begin"/>
          </w:r>
          <w:r>
            <w:instrText xml:space="preserve"> PAGEREF _Toc19140 \h </w:instrText>
          </w:r>
          <w:r>
            <w:fldChar w:fldCharType="separate"/>
          </w:r>
          <w:r>
            <w:t>23</w:t>
          </w:r>
          <w:r>
            <w:fldChar w:fldCharType="end"/>
          </w:r>
          <w:r>
            <w:fldChar w:fldCharType="end"/>
          </w:r>
        </w:p>
        <w:p w14:paraId="03AE4080">
          <w:pPr>
            <w:pStyle w:val="18"/>
            <w:tabs>
              <w:tab w:val="right" w:leader="dot" w:pos="9540"/>
            </w:tabs>
          </w:pPr>
          <w:r>
            <w:fldChar w:fldCharType="begin"/>
          </w:r>
          <w:r>
            <w:instrText xml:space="preserve"> HYPERLINK \l _Toc16137 </w:instrText>
          </w:r>
          <w:r>
            <w:fldChar w:fldCharType="separate"/>
          </w:r>
          <w:r>
            <w:rPr>
              <w:rFonts w:ascii="Arial" w:hAnsi="Arial" w:eastAsia="Arial" w:cs="Arial"/>
              <w:bCs/>
              <w:szCs w:val="28"/>
            </w:rPr>
            <w:t>5.9 Chart Analysis: Profit Margin by Month</w:t>
          </w:r>
          <w:r>
            <w:tab/>
          </w:r>
          <w:r>
            <w:fldChar w:fldCharType="begin"/>
          </w:r>
          <w:r>
            <w:instrText xml:space="preserve"> PAGEREF _Toc16137 \h </w:instrText>
          </w:r>
          <w:r>
            <w:fldChar w:fldCharType="separate"/>
          </w:r>
          <w:r>
            <w:t>24</w:t>
          </w:r>
          <w:r>
            <w:fldChar w:fldCharType="end"/>
          </w:r>
          <w:r>
            <w:fldChar w:fldCharType="end"/>
          </w:r>
        </w:p>
        <w:p w14:paraId="41C61DDB">
          <w:pPr>
            <w:pStyle w:val="17"/>
            <w:tabs>
              <w:tab w:val="right" w:leader="dot" w:pos="9540"/>
            </w:tabs>
          </w:pPr>
          <w:r>
            <w:fldChar w:fldCharType="begin"/>
          </w:r>
          <w:r>
            <w:instrText xml:space="preserve"> HYPERLINK \l _Toc670 </w:instrText>
          </w:r>
          <w:r>
            <w:fldChar w:fldCharType="separate"/>
          </w:r>
          <w:r>
            <w:rPr>
              <w:rFonts w:ascii="Arial" w:hAnsi="Arial" w:eastAsia="Arial" w:cs="Arial"/>
              <w:bCs/>
              <w:szCs w:val="36"/>
            </w:rPr>
            <w:t>Chapter 6: Analytical Findings and Business Insights</w:t>
          </w:r>
          <w:r>
            <w:tab/>
          </w:r>
          <w:r>
            <w:fldChar w:fldCharType="begin"/>
          </w:r>
          <w:r>
            <w:instrText xml:space="preserve"> PAGEREF _Toc670 \h </w:instrText>
          </w:r>
          <w:r>
            <w:fldChar w:fldCharType="separate"/>
          </w:r>
          <w:r>
            <w:t>25</w:t>
          </w:r>
          <w:r>
            <w:fldChar w:fldCharType="end"/>
          </w:r>
          <w:r>
            <w:fldChar w:fldCharType="end"/>
          </w:r>
        </w:p>
        <w:p w14:paraId="4C26DACE">
          <w:pPr>
            <w:pStyle w:val="18"/>
            <w:tabs>
              <w:tab w:val="right" w:leader="dot" w:pos="9540"/>
            </w:tabs>
          </w:pPr>
          <w:r>
            <w:fldChar w:fldCharType="begin"/>
          </w:r>
          <w:r>
            <w:instrText xml:space="preserve"> HYPERLINK \l _Toc1567 </w:instrText>
          </w:r>
          <w:r>
            <w:fldChar w:fldCharType="separate"/>
          </w:r>
          <w:r>
            <w:rPr>
              <w:rFonts w:ascii="Arial" w:hAnsi="Arial" w:eastAsia="Arial" w:cs="Arial"/>
              <w:bCs/>
              <w:szCs w:val="28"/>
            </w:rPr>
            <w:t>6.1 Geographic Performance Insights</w:t>
          </w:r>
          <w:r>
            <w:tab/>
          </w:r>
          <w:r>
            <w:fldChar w:fldCharType="begin"/>
          </w:r>
          <w:r>
            <w:instrText xml:space="preserve"> PAGEREF _Toc1567 \h </w:instrText>
          </w:r>
          <w:r>
            <w:fldChar w:fldCharType="separate"/>
          </w:r>
          <w:r>
            <w:t>25</w:t>
          </w:r>
          <w:r>
            <w:fldChar w:fldCharType="end"/>
          </w:r>
          <w:r>
            <w:fldChar w:fldCharType="end"/>
          </w:r>
        </w:p>
        <w:p w14:paraId="48CB7ECC">
          <w:pPr>
            <w:pStyle w:val="19"/>
            <w:tabs>
              <w:tab w:val="right" w:leader="dot" w:pos="9540"/>
            </w:tabs>
          </w:pPr>
          <w:r>
            <w:fldChar w:fldCharType="begin"/>
          </w:r>
          <w:r>
            <w:instrText xml:space="preserve"> HYPERLINK \l _Toc17035 </w:instrText>
          </w:r>
          <w:r>
            <w:fldChar w:fldCharType="separate"/>
          </w:r>
          <w:r>
            <w:rPr>
              <w:rFonts w:ascii="Arial" w:hAnsi="Arial" w:eastAsia="Arial" w:cs="Arial"/>
              <w:bCs/>
              <w:szCs w:val="24"/>
            </w:rPr>
            <w:t>6.1.1 Maharashtra: The Revenue Leader</w:t>
          </w:r>
          <w:r>
            <w:tab/>
          </w:r>
          <w:r>
            <w:fldChar w:fldCharType="begin"/>
          </w:r>
          <w:r>
            <w:instrText xml:space="preserve"> PAGEREF _Toc17035 \h </w:instrText>
          </w:r>
          <w:r>
            <w:fldChar w:fldCharType="separate"/>
          </w:r>
          <w:r>
            <w:t>25</w:t>
          </w:r>
          <w:r>
            <w:fldChar w:fldCharType="end"/>
          </w:r>
          <w:r>
            <w:fldChar w:fldCharType="end"/>
          </w:r>
        </w:p>
        <w:p w14:paraId="648263FC">
          <w:pPr>
            <w:pStyle w:val="19"/>
            <w:tabs>
              <w:tab w:val="right" w:leader="dot" w:pos="9540"/>
            </w:tabs>
          </w:pPr>
          <w:r>
            <w:fldChar w:fldCharType="begin"/>
          </w:r>
          <w:r>
            <w:instrText xml:space="preserve"> HYPERLINK \l _Toc25452 </w:instrText>
          </w:r>
          <w:r>
            <w:fldChar w:fldCharType="separate"/>
          </w:r>
          <w:r>
            <w:rPr>
              <w:rFonts w:ascii="Arial" w:hAnsi="Arial" w:eastAsia="Arial" w:cs="Arial"/>
              <w:bCs/>
              <w:szCs w:val="24"/>
            </w:rPr>
            <w:t>6.1.2 Madhya Pradesh: The Surprising Second</w:t>
          </w:r>
          <w:r>
            <w:tab/>
          </w:r>
          <w:r>
            <w:fldChar w:fldCharType="begin"/>
          </w:r>
          <w:r>
            <w:instrText xml:space="preserve"> PAGEREF _Toc25452 \h </w:instrText>
          </w:r>
          <w:r>
            <w:fldChar w:fldCharType="separate"/>
          </w:r>
          <w:r>
            <w:t>25</w:t>
          </w:r>
          <w:r>
            <w:fldChar w:fldCharType="end"/>
          </w:r>
          <w:r>
            <w:fldChar w:fldCharType="end"/>
          </w:r>
        </w:p>
        <w:p w14:paraId="1FC74FAF">
          <w:pPr>
            <w:pStyle w:val="19"/>
            <w:tabs>
              <w:tab w:val="right" w:leader="dot" w:pos="9540"/>
            </w:tabs>
          </w:pPr>
          <w:r>
            <w:fldChar w:fldCharType="begin"/>
          </w:r>
          <w:r>
            <w:instrText xml:space="preserve"> HYPERLINK \l _Toc15751 </w:instrText>
          </w:r>
          <w:r>
            <w:fldChar w:fldCharType="separate"/>
          </w:r>
          <w:r>
            <w:rPr>
              <w:rFonts w:ascii="Arial" w:hAnsi="Arial" w:eastAsia="Arial" w:cs="Arial"/>
              <w:bCs/>
              <w:szCs w:val="24"/>
            </w:rPr>
            <w:t>6.1.3 Underperforming Markets</w:t>
          </w:r>
          <w:r>
            <w:tab/>
          </w:r>
          <w:r>
            <w:fldChar w:fldCharType="begin"/>
          </w:r>
          <w:r>
            <w:instrText xml:space="preserve"> PAGEREF _Toc15751 \h </w:instrText>
          </w:r>
          <w:r>
            <w:fldChar w:fldCharType="separate"/>
          </w:r>
          <w:r>
            <w:t>25</w:t>
          </w:r>
          <w:r>
            <w:fldChar w:fldCharType="end"/>
          </w:r>
          <w:r>
            <w:fldChar w:fldCharType="end"/>
          </w:r>
        </w:p>
        <w:p w14:paraId="14BDD07A">
          <w:pPr>
            <w:pStyle w:val="18"/>
            <w:tabs>
              <w:tab w:val="right" w:leader="dot" w:pos="9540"/>
            </w:tabs>
          </w:pPr>
          <w:r>
            <w:fldChar w:fldCharType="begin"/>
          </w:r>
          <w:r>
            <w:instrText xml:space="preserve"> HYPERLINK \l _Toc31597 </w:instrText>
          </w:r>
          <w:r>
            <w:fldChar w:fldCharType="separate"/>
          </w:r>
          <w:r>
            <w:rPr>
              <w:rFonts w:ascii="Arial" w:hAnsi="Arial" w:eastAsia="Arial" w:cs="Arial"/>
              <w:bCs/>
              <w:szCs w:val="28"/>
            </w:rPr>
            <w:t>6.2 Product Category and Profitability Insights</w:t>
          </w:r>
          <w:r>
            <w:tab/>
          </w:r>
          <w:r>
            <w:fldChar w:fldCharType="begin"/>
          </w:r>
          <w:r>
            <w:instrText xml:space="preserve"> PAGEREF _Toc31597 \h </w:instrText>
          </w:r>
          <w:r>
            <w:fldChar w:fldCharType="separate"/>
          </w:r>
          <w:r>
            <w:t>25</w:t>
          </w:r>
          <w:r>
            <w:fldChar w:fldCharType="end"/>
          </w:r>
          <w:r>
            <w:fldChar w:fldCharType="end"/>
          </w:r>
        </w:p>
        <w:p w14:paraId="3348D976">
          <w:pPr>
            <w:pStyle w:val="19"/>
            <w:tabs>
              <w:tab w:val="right" w:leader="dot" w:pos="9540"/>
            </w:tabs>
          </w:pPr>
          <w:r>
            <w:fldChar w:fldCharType="begin"/>
          </w:r>
          <w:r>
            <w:instrText xml:space="preserve"> HYPERLINK \l _Toc5576 </w:instrText>
          </w:r>
          <w:r>
            <w:fldChar w:fldCharType="separate"/>
          </w:r>
          <w:r>
            <w:rPr>
              <w:rFonts w:ascii="Arial" w:hAnsi="Arial" w:eastAsia="Arial" w:cs="Arial"/>
              <w:bCs/>
              <w:szCs w:val="24"/>
            </w:rPr>
            <w:t>6.2.1 Printers: The Profit Champion</w:t>
          </w:r>
          <w:r>
            <w:tab/>
          </w:r>
          <w:r>
            <w:fldChar w:fldCharType="begin"/>
          </w:r>
          <w:r>
            <w:instrText xml:space="preserve"> PAGEREF _Toc5576 \h </w:instrText>
          </w:r>
          <w:r>
            <w:fldChar w:fldCharType="separate"/>
          </w:r>
          <w:r>
            <w:t>25</w:t>
          </w:r>
          <w:r>
            <w:fldChar w:fldCharType="end"/>
          </w:r>
          <w:r>
            <w:fldChar w:fldCharType="end"/>
          </w:r>
        </w:p>
        <w:p w14:paraId="17DD1D1E">
          <w:pPr>
            <w:pStyle w:val="19"/>
            <w:tabs>
              <w:tab w:val="right" w:leader="dot" w:pos="9540"/>
            </w:tabs>
          </w:pPr>
          <w:r>
            <w:fldChar w:fldCharType="begin"/>
          </w:r>
          <w:r>
            <w:instrText xml:space="preserve"> HYPERLINK \l _Toc24704 </w:instrText>
          </w:r>
          <w:r>
            <w:fldChar w:fldCharType="separate"/>
          </w:r>
          <w:r>
            <w:rPr>
              <w:rFonts w:ascii="Arial" w:hAnsi="Arial" w:eastAsia="Arial" w:cs="Arial"/>
              <w:bCs/>
              <w:szCs w:val="24"/>
            </w:rPr>
            <w:t>6.2.2 Loss-Making Sub-Categories</w:t>
          </w:r>
          <w:r>
            <w:tab/>
          </w:r>
          <w:r>
            <w:fldChar w:fldCharType="begin"/>
          </w:r>
          <w:r>
            <w:instrText xml:space="preserve"> PAGEREF _Toc24704 \h </w:instrText>
          </w:r>
          <w:r>
            <w:fldChar w:fldCharType="separate"/>
          </w:r>
          <w:r>
            <w:t>26</w:t>
          </w:r>
          <w:r>
            <w:fldChar w:fldCharType="end"/>
          </w:r>
          <w:r>
            <w:fldChar w:fldCharType="end"/>
          </w:r>
        </w:p>
        <w:p w14:paraId="4DBA07AA">
          <w:pPr>
            <w:pStyle w:val="19"/>
            <w:tabs>
              <w:tab w:val="right" w:leader="dot" w:pos="9540"/>
            </w:tabs>
          </w:pPr>
          <w:r>
            <w:fldChar w:fldCharType="begin"/>
          </w:r>
          <w:r>
            <w:instrText xml:space="preserve"> HYPERLINK \l _Toc12588 </w:instrText>
          </w:r>
          <w:r>
            <w:fldChar w:fldCharType="separate"/>
          </w:r>
          <w:r>
            <w:rPr>
              <w:rFonts w:ascii="Arial" w:hAnsi="Arial" w:eastAsia="Arial" w:cs="Arial"/>
              <w:bCs/>
              <w:szCs w:val="24"/>
            </w:rPr>
            <w:t>6.2.3 Category Mix Strategy</w:t>
          </w:r>
          <w:r>
            <w:tab/>
          </w:r>
          <w:r>
            <w:fldChar w:fldCharType="begin"/>
          </w:r>
          <w:r>
            <w:instrText xml:space="preserve"> PAGEREF _Toc12588 \h </w:instrText>
          </w:r>
          <w:r>
            <w:fldChar w:fldCharType="separate"/>
          </w:r>
          <w:r>
            <w:t>26</w:t>
          </w:r>
          <w:r>
            <w:fldChar w:fldCharType="end"/>
          </w:r>
          <w:r>
            <w:fldChar w:fldCharType="end"/>
          </w:r>
        </w:p>
        <w:p w14:paraId="79E953EB">
          <w:pPr>
            <w:pStyle w:val="18"/>
            <w:tabs>
              <w:tab w:val="right" w:leader="dot" w:pos="9540"/>
            </w:tabs>
          </w:pPr>
          <w:r>
            <w:fldChar w:fldCharType="begin"/>
          </w:r>
          <w:r>
            <w:instrText xml:space="preserve"> HYPERLINK \l _Toc29216 </w:instrText>
          </w:r>
          <w:r>
            <w:fldChar w:fldCharType="separate"/>
          </w:r>
          <w:r>
            <w:rPr>
              <w:rFonts w:ascii="Arial" w:hAnsi="Arial" w:eastAsia="Arial" w:cs="Arial"/>
              <w:bCs/>
              <w:szCs w:val="28"/>
            </w:rPr>
            <w:t>6.3 Payment Mode Insights</w:t>
          </w:r>
          <w:r>
            <w:tab/>
          </w:r>
          <w:r>
            <w:fldChar w:fldCharType="begin"/>
          </w:r>
          <w:r>
            <w:instrText xml:space="preserve"> PAGEREF _Toc29216 \h </w:instrText>
          </w:r>
          <w:r>
            <w:fldChar w:fldCharType="separate"/>
          </w:r>
          <w:r>
            <w:t>26</w:t>
          </w:r>
          <w:r>
            <w:fldChar w:fldCharType="end"/>
          </w:r>
          <w:r>
            <w:fldChar w:fldCharType="end"/>
          </w:r>
        </w:p>
        <w:p w14:paraId="73E394C0">
          <w:pPr>
            <w:pStyle w:val="18"/>
            <w:tabs>
              <w:tab w:val="right" w:leader="dot" w:pos="9540"/>
            </w:tabs>
          </w:pPr>
          <w:r>
            <w:fldChar w:fldCharType="begin"/>
          </w:r>
          <w:r>
            <w:instrText xml:space="preserve"> HYPERLINK \l _Toc1548 </w:instrText>
          </w:r>
          <w:r>
            <w:fldChar w:fldCharType="separate"/>
          </w:r>
          <w:r>
            <w:rPr>
              <w:rFonts w:ascii="Arial" w:hAnsi="Arial" w:eastAsia="Arial" w:cs="Arial"/>
              <w:bCs/>
              <w:szCs w:val="28"/>
            </w:rPr>
            <w:t>6.4 Temporal Profitability Insights</w:t>
          </w:r>
          <w:r>
            <w:tab/>
          </w:r>
          <w:r>
            <w:fldChar w:fldCharType="begin"/>
          </w:r>
          <w:r>
            <w:instrText xml:space="preserve"> PAGEREF _Toc1548 \h </w:instrText>
          </w:r>
          <w:r>
            <w:fldChar w:fldCharType="separate"/>
          </w:r>
          <w:r>
            <w:t>27</w:t>
          </w:r>
          <w:r>
            <w:fldChar w:fldCharType="end"/>
          </w:r>
          <w:r>
            <w:fldChar w:fldCharType="end"/>
          </w:r>
        </w:p>
        <w:p w14:paraId="2C53DAAB">
          <w:pPr>
            <w:pStyle w:val="19"/>
            <w:tabs>
              <w:tab w:val="right" w:leader="dot" w:pos="9540"/>
            </w:tabs>
          </w:pPr>
          <w:r>
            <w:fldChar w:fldCharType="begin"/>
          </w:r>
          <w:r>
            <w:instrText xml:space="preserve"> HYPERLINK \l _Toc14049 </w:instrText>
          </w:r>
          <w:r>
            <w:fldChar w:fldCharType="separate"/>
          </w:r>
          <w:r>
            <w:rPr>
              <w:rFonts w:ascii="Arial" w:hAnsi="Arial" w:eastAsia="Arial" w:cs="Arial"/>
              <w:bCs/>
              <w:szCs w:val="24"/>
            </w:rPr>
            <w:t>6.4.1 Loss Months: July and December</w:t>
          </w:r>
          <w:r>
            <w:tab/>
          </w:r>
          <w:r>
            <w:fldChar w:fldCharType="begin"/>
          </w:r>
          <w:r>
            <w:instrText xml:space="preserve"> PAGEREF _Toc14049 \h </w:instrText>
          </w:r>
          <w:r>
            <w:fldChar w:fldCharType="separate"/>
          </w:r>
          <w:r>
            <w:t>27</w:t>
          </w:r>
          <w:r>
            <w:fldChar w:fldCharType="end"/>
          </w:r>
          <w:r>
            <w:fldChar w:fldCharType="end"/>
          </w:r>
        </w:p>
        <w:p w14:paraId="46D28E2E">
          <w:pPr>
            <w:pStyle w:val="19"/>
            <w:tabs>
              <w:tab w:val="right" w:leader="dot" w:pos="9540"/>
            </w:tabs>
          </w:pPr>
          <w:r>
            <w:fldChar w:fldCharType="begin"/>
          </w:r>
          <w:r>
            <w:instrText xml:space="preserve"> HYPERLINK \l _Toc19399 </w:instrText>
          </w:r>
          <w:r>
            <w:fldChar w:fldCharType="separate"/>
          </w:r>
          <w:r>
            <w:rPr>
              <w:rFonts w:ascii="Arial" w:hAnsi="Arial" w:eastAsia="Arial" w:cs="Arial"/>
              <w:bCs/>
              <w:szCs w:val="24"/>
            </w:rPr>
            <w:t>6.4.2 Peak Profitability Periods</w:t>
          </w:r>
          <w:r>
            <w:tab/>
          </w:r>
          <w:r>
            <w:fldChar w:fldCharType="begin"/>
          </w:r>
          <w:r>
            <w:instrText xml:space="preserve"> PAGEREF _Toc19399 \h </w:instrText>
          </w:r>
          <w:r>
            <w:fldChar w:fldCharType="separate"/>
          </w:r>
          <w:r>
            <w:t>27</w:t>
          </w:r>
          <w:r>
            <w:fldChar w:fldCharType="end"/>
          </w:r>
          <w:r>
            <w:fldChar w:fldCharType="end"/>
          </w:r>
        </w:p>
        <w:p w14:paraId="79CF06F4">
          <w:pPr>
            <w:pStyle w:val="18"/>
            <w:tabs>
              <w:tab w:val="right" w:leader="dot" w:pos="9540"/>
            </w:tabs>
          </w:pPr>
          <w:r>
            <w:fldChar w:fldCharType="begin"/>
          </w:r>
          <w:r>
            <w:instrText xml:space="preserve"> HYPERLINK \l _Toc3930 </w:instrText>
          </w:r>
          <w:r>
            <w:fldChar w:fldCharType="separate"/>
          </w:r>
          <w:r>
            <w:rPr>
              <w:rFonts w:ascii="Arial" w:hAnsi="Arial" w:eastAsia="Arial" w:cs="Arial"/>
              <w:bCs/>
              <w:szCs w:val="28"/>
            </w:rPr>
            <w:t>6.5 Customer Value Insights</w:t>
          </w:r>
          <w:r>
            <w:tab/>
          </w:r>
          <w:r>
            <w:fldChar w:fldCharType="begin"/>
          </w:r>
          <w:r>
            <w:instrText xml:space="preserve"> PAGEREF _Toc3930 \h </w:instrText>
          </w:r>
          <w:r>
            <w:fldChar w:fldCharType="separate"/>
          </w:r>
          <w:r>
            <w:t>27</w:t>
          </w:r>
          <w:r>
            <w:fldChar w:fldCharType="end"/>
          </w:r>
          <w:r>
            <w:fldChar w:fldCharType="end"/>
          </w:r>
        </w:p>
        <w:p w14:paraId="43344267">
          <w:pPr>
            <w:pStyle w:val="17"/>
            <w:tabs>
              <w:tab w:val="right" w:leader="dot" w:pos="9540"/>
            </w:tabs>
          </w:pPr>
          <w:r>
            <w:fldChar w:fldCharType="begin"/>
          </w:r>
          <w:r>
            <w:instrText xml:space="preserve"> HYPERLINK \l _Toc5246 </w:instrText>
          </w:r>
          <w:r>
            <w:fldChar w:fldCharType="separate"/>
          </w:r>
          <w:r>
            <w:rPr>
              <w:rFonts w:ascii="Arial" w:hAnsi="Arial" w:eastAsia="Arial" w:cs="Arial"/>
              <w:bCs/>
              <w:szCs w:val="36"/>
            </w:rPr>
            <w:t>Chapter 7: Technology Stack</w:t>
          </w:r>
          <w:r>
            <w:tab/>
          </w:r>
          <w:r>
            <w:fldChar w:fldCharType="begin"/>
          </w:r>
          <w:r>
            <w:instrText xml:space="preserve"> PAGEREF _Toc5246 \h </w:instrText>
          </w:r>
          <w:r>
            <w:fldChar w:fldCharType="separate"/>
          </w:r>
          <w:r>
            <w:t>29</w:t>
          </w:r>
          <w:r>
            <w:fldChar w:fldCharType="end"/>
          </w:r>
          <w:r>
            <w:fldChar w:fldCharType="end"/>
          </w:r>
        </w:p>
        <w:p w14:paraId="3BE75F96">
          <w:pPr>
            <w:pStyle w:val="18"/>
            <w:tabs>
              <w:tab w:val="right" w:leader="dot" w:pos="9540"/>
            </w:tabs>
          </w:pPr>
          <w:r>
            <w:fldChar w:fldCharType="begin"/>
          </w:r>
          <w:r>
            <w:instrText xml:space="preserve"> HYPERLINK \l _Toc20840 </w:instrText>
          </w:r>
          <w:r>
            <w:fldChar w:fldCharType="separate"/>
          </w:r>
          <w:r>
            <w:rPr>
              <w:rFonts w:ascii="Arial" w:hAnsi="Arial" w:eastAsia="Arial" w:cs="Arial"/>
              <w:bCs/>
              <w:szCs w:val="28"/>
            </w:rPr>
            <w:t>7.1 Overview of Technologies Used</w:t>
          </w:r>
          <w:r>
            <w:tab/>
          </w:r>
          <w:r>
            <w:fldChar w:fldCharType="begin"/>
          </w:r>
          <w:r>
            <w:instrText xml:space="preserve"> PAGEREF _Toc20840 \h </w:instrText>
          </w:r>
          <w:r>
            <w:fldChar w:fldCharType="separate"/>
          </w:r>
          <w:r>
            <w:t>29</w:t>
          </w:r>
          <w:r>
            <w:fldChar w:fldCharType="end"/>
          </w:r>
          <w:r>
            <w:fldChar w:fldCharType="end"/>
          </w:r>
        </w:p>
        <w:p w14:paraId="7DA91E29">
          <w:pPr>
            <w:pStyle w:val="18"/>
            <w:tabs>
              <w:tab w:val="right" w:leader="dot" w:pos="9540"/>
            </w:tabs>
          </w:pPr>
          <w:r>
            <w:fldChar w:fldCharType="begin"/>
          </w:r>
          <w:r>
            <w:instrText xml:space="preserve"> HYPERLINK \l _Toc16857 </w:instrText>
          </w:r>
          <w:r>
            <w:fldChar w:fldCharType="separate"/>
          </w:r>
          <w:r>
            <w:rPr>
              <w:rFonts w:ascii="Arial" w:hAnsi="Arial" w:eastAsia="Arial" w:cs="Arial"/>
              <w:bCs/>
              <w:szCs w:val="28"/>
            </w:rPr>
            <w:t>7.2 Microsoft Power BI</w:t>
          </w:r>
          <w:r>
            <w:tab/>
          </w:r>
          <w:r>
            <w:fldChar w:fldCharType="begin"/>
          </w:r>
          <w:r>
            <w:instrText xml:space="preserve"> PAGEREF _Toc16857 \h </w:instrText>
          </w:r>
          <w:r>
            <w:fldChar w:fldCharType="separate"/>
          </w:r>
          <w:r>
            <w:t>29</w:t>
          </w:r>
          <w:r>
            <w:fldChar w:fldCharType="end"/>
          </w:r>
          <w:r>
            <w:fldChar w:fldCharType="end"/>
          </w:r>
        </w:p>
        <w:p w14:paraId="1D1A769A">
          <w:pPr>
            <w:pStyle w:val="18"/>
            <w:tabs>
              <w:tab w:val="right" w:leader="dot" w:pos="9540"/>
            </w:tabs>
          </w:pPr>
          <w:r>
            <w:fldChar w:fldCharType="begin"/>
          </w:r>
          <w:r>
            <w:instrText xml:space="preserve"> HYPERLINK \l _Toc5734 </w:instrText>
          </w:r>
          <w:r>
            <w:fldChar w:fldCharType="separate"/>
          </w:r>
          <w:r>
            <w:rPr>
              <w:rFonts w:ascii="Arial" w:hAnsi="Arial" w:eastAsia="Arial" w:cs="Arial"/>
              <w:bCs/>
              <w:szCs w:val="28"/>
            </w:rPr>
            <w:t>7.3 PostgreSQL Database</w:t>
          </w:r>
          <w:r>
            <w:tab/>
          </w:r>
          <w:r>
            <w:fldChar w:fldCharType="begin"/>
          </w:r>
          <w:r>
            <w:instrText xml:space="preserve"> PAGEREF _Toc5734 \h </w:instrText>
          </w:r>
          <w:r>
            <w:fldChar w:fldCharType="separate"/>
          </w:r>
          <w:r>
            <w:t>30</w:t>
          </w:r>
          <w:r>
            <w:fldChar w:fldCharType="end"/>
          </w:r>
          <w:r>
            <w:fldChar w:fldCharType="end"/>
          </w:r>
        </w:p>
        <w:p w14:paraId="16A58DF8">
          <w:pPr>
            <w:pStyle w:val="18"/>
            <w:tabs>
              <w:tab w:val="right" w:leader="dot" w:pos="9540"/>
            </w:tabs>
          </w:pPr>
          <w:r>
            <w:fldChar w:fldCharType="begin"/>
          </w:r>
          <w:r>
            <w:instrText xml:space="preserve"> HYPERLINK \l _Toc5327 </w:instrText>
          </w:r>
          <w:r>
            <w:fldChar w:fldCharType="separate"/>
          </w:r>
          <w:r>
            <w:rPr>
              <w:rFonts w:ascii="Arial" w:hAnsi="Arial" w:eastAsia="Arial" w:cs="Arial"/>
              <w:bCs/>
              <w:szCs w:val="28"/>
            </w:rPr>
            <w:t>7.4 Python and Pandas for ETL</w:t>
          </w:r>
          <w:r>
            <w:tab/>
          </w:r>
          <w:r>
            <w:fldChar w:fldCharType="begin"/>
          </w:r>
          <w:r>
            <w:instrText xml:space="preserve"> PAGEREF _Toc5327 \h </w:instrText>
          </w:r>
          <w:r>
            <w:fldChar w:fldCharType="separate"/>
          </w:r>
          <w:r>
            <w:t>30</w:t>
          </w:r>
          <w:r>
            <w:fldChar w:fldCharType="end"/>
          </w:r>
          <w:r>
            <w:fldChar w:fldCharType="end"/>
          </w:r>
        </w:p>
        <w:p w14:paraId="414C39B3">
          <w:pPr>
            <w:pStyle w:val="18"/>
            <w:tabs>
              <w:tab w:val="right" w:leader="dot" w:pos="9540"/>
            </w:tabs>
          </w:pPr>
          <w:r>
            <w:fldChar w:fldCharType="begin"/>
          </w:r>
          <w:r>
            <w:instrText xml:space="preserve"> HYPERLINK \l _Toc7250 </w:instrText>
          </w:r>
          <w:r>
            <w:fldChar w:fldCharType="separate"/>
          </w:r>
          <w:r>
            <w:rPr>
              <w:rFonts w:ascii="Arial" w:hAnsi="Arial" w:eastAsia="Arial" w:cs="Arial"/>
              <w:bCs/>
              <w:szCs w:val="28"/>
            </w:rPr>
            <w:t>7.5 DAX (Data Analysis Expressions)</w:t>
          </w:r>
          <w:r>
            <w:tab/>
          </w:r>
          <w:r>
            <w:fldChar w:fldCharType="begin"/>
          </w:r>
          <w:r>
            <w:instrText xml:space="preserve"> PAGEREF _Toc7250 \h </w:instrText>
          </w:r>
          <w:r>
            <w:fldChar w:fldCharType="separate"/>
          </w:r>
          <w:r>
            <w:t>30</w:t>
          </w:r>
          <w:r>
            <w:fldChar w:fldCharType="end"/>
          </w:r>
          <w:r>
            <w:fldChar w:fldCharType="end"/>
          </w:r>
        </w:p>
        <w:p w14:paraId="0CBE1D88">
          <w:pPr>
            <w:pStyle w:val="17"/>
            <w:tabs>
              <w:tab w:val="right" w:leader="dot" w:pos="9540"/>
            </w:tabs>
          </w:pPr>
          <w:r>
            <w:fldChar w:fldCharType="begin"/>
          </w:r>
          <w:r>
            <w:instrText xml:space="preserve"> HYPERLINK \l _Toc22721 </w:instrText>
          </w:r>
          <w:r>
            <w:fldChar w:fldCharType="separate"/>
          </w:r>
          <w:r>
            <w:rPr>
              <w:rFonts w:ascii="Arial" w:hAnsi="Arial" w:eastAsia="Arial" w:cs="Arial"/>
              <w:bCs/>
              <w:szCs w:val="36"/>
            </w:rPr>
            <w:t>Chapter 8: Testing and Validation</w:t>
          </w:r>
          <w:r>
            <w:tab/>
          </w:r>
          <w:r>
            <w:fldChar w:fldCharType="begin"/>
          </w:r>
          <w:r>
            <w:instrText xml:space="preserve"> PAGEREF _Toc22721 \h </w:instrText>
          </w:r>
          <w:r>
            <w:fldChar w:fldCharType="separate"/>
          </w:r>
          <w:r>
            <w:t>31</w:t>
          </w:r>
          <w:r>
            <w:fldChar w:fldCharType="end"/>
          </w:r>
          <w:r>
            <w:fldChar w:fldCharType="end"/>
          </w:r>
        </w:p>
        <w:p w14:paraId="742254E8">
          <w:pPr>
            <w:pStyle w:val="18"/>
            <w:tabs>
              <w:tab w:val="right" w:leader="dot" w:pos="9540"/>
            </w:tabs>
          </w:pPr>
          <w:r>
            <w:fldChar w:fldCharType="begin"/>
          </w:r>
          <w:r>
            <w:instrText xml:space="preserve"> HYPERLINK \l _Toc22778 </w:instrText>
          </w:r>
          <w:r>
            <w:fldChar w:fldCharType="separate"/>
          </w:r>
          <w:r>
            <w:rPr>
              <w:rFonts w:ascii="Arial" w:hAnsi="Arial" w:eastAsia="Arial" w:cs="Arial"/>
              <w:bCs/>
              <w:szCs w:val="28"/>
            </w:rPr>
            <w:t>8.1 Testing Approach</w:t>
          </w:r>
          <w:r>
            <w:tab/>
          </w:r>
          <w:r>
            <w:fldChar w:fldCharType="begin"/>
          </w:r>
          <w:r>
            <w:instrText xml:space="preserve"> PAGEREF _Toc22778 \h </w:instrText>
          </w:r>
          <w:r>
            <w:fldChar w:fldCharType="separate"/>
          </w:r>
          <w:r>
            <w:t>31</w:t>
          </w:r>
          <w:r>
            <w:fldChar w:fldCharType="end"/>
          </w:r>
          <w:r>
            <w:fldChar w:fldCharType="end"/>
          </w:r>
        </w:p>
        <w:p w14:paraId="0F76772D">
          <w:pPr>
            <w:pStyle w:val="18"/>
            <w:tabs>
              <w:tab w:val="right" w:leader="dot" w:pos="9540"/>
            </w:tabs>
          </w:pPr>
          <w:r>
            <w:fldChar w:fldCharType="begin"/>
          </w:r>
          <w:r>
            <w:instrText xml:space="preserve"> HYPERLINK \l _Toc27760 </w:instrText>
          </w:r>
          <w:r>
            <w:fldChar w:fldCharType="separate"/>
          </w:r>
          <w:r>
            <w:rPr>
              <w:rFonts w:ascii="Arial" w:hAnsi="Arial" w:eastAsia="Arial" w:cs="Arial"/>
              <w:bCs/>
              <w:szCs w:val="28"/>
            </w:rPr>
            <w:t>8.2 Data Quality Testing</w:t>
          </w:r>
          <w:r>
            <w:tab/>
          </w:r>
          <w:r>
            <w:fldChar w:fldCharType="begin"/>
          </w:r>
          <w:r>
            <w:instrText xml:space="preserve"> PAGEREF _Toc27760 \h </w:instrText>
          </w:r>
          <w:r>
            <w:fldChar w:fldCharType="separate"/>
          </w:r>
          <w:r>
            <w:t>31</w:t>
          </w:r>
          <w:r>
            <w:fldChar w:fldCharType="end"/>
          </w:r>
          <w:r>
            <w:fldChar w:fldCharType="end"/>
          </w:r>
        </w:p>
        <w:p w14:paraId="15EB5906">
          <w:pPr>
            <w:pStyle w:val="19"/>
            <w:tabs>
              <w:tab w:val="right" w:leader="dot" w:pos="9540"/>
            </w:tabs>
          </w:pPr>
          <w:r>
            <w:fldChar w:fldCharType="begin"/>
          </w:r>
          <w:r>
            <w:instrText xml:space="preserve"> HYPERLINK \l _Toc6047 </w:instrText>
          </w:r>
          <w:r>
            <w:fldChar w:fldCharType="separate"/>
          </w:r>
          <w:r>
            <w:rPr>
              <w:rFonts w:ascii="Arial" w:hAnsi="Arial" w:eastAsia="Arial" w:cs="Arial"/>
              <w:bCs/>
              <w:szCs w:val="24"/>
            </w:rPr>
            <w:t>8.2.1 Completeness Tests</w:t>
          </w:r>
          <w:r>
            <w:tab/>
          </w:r>
          <w:r>
            <w:fldChar w:fldCharType="begin"/>
          </w:r>
          <w:r>
            <w:instrText xml:space="preserve"> PAGEREF _Toc6047 \h </w:instrText>
          </w:r>
          <w:r>
            <w:fldChar w:fldCharType="separate"/>
          </w:r>
          <w:r>
            <w:t>31</w:t>
          </w:r>
          <w:r>
            <w:fldChar w:fldCharType="end"/>
          </w:r>
          <w:r>
            <w:fldChar w:fldCharType="end"/>
          </w:r>
        </w:p>
        <w:p w14:paraId="1F4C6EF4">
          <w:pPr>
            <w:pStyle w:val="19"/>
            <w:tabs>
              <w:tab w:val="right" w:leader="dot" w:pos="9540"/>
            </w:tabs>
          </w:pPr>
          <w:r>
            <w:fldChar w:fldCharType="begin"/>
          </w:r>
          <w:r>
            <w:instrText xml:space="preserve"> HYPERLINK \l _Toc16270 </w:instrText>
          </w:r>
          <w:r>
            <w:fldChar w:fldCharType="separate"/>
          </w:r>
          <w:r>
            <w:rPr>
              <w:rFonts w:ascii="Arial" w:hAnsi="Arial" w:eastAsia="Arial" w:cs="Arial"/>
              <w:bCs/>
              <w:szCs w:val="24"/>
            </w:rPr>
            <w:t>8.2.2 Referential Integrity Tests</w:t>
          </w:r>
          <w:r>
            <w:tab/>
          </w:r>
          <w:r>
            <w:fldChar w:fldCharType="begin"/>
          </w:r>
          <w:r>
            <w:instrText xml:space="preserve"> PAGEREF _Toc16270 \h </w:instrText>
          </w:r>
          <w:r>
            <w:fldChar w:fldCharType="separate"/>
          </w:r>
          <w:r>
            <w:t>31</w:t>
          </w:r>
          <w:r>
            <w:fldChar w:fldCharType="end"/>
          </w:r>
          <w:r>
            <w:fldChar w:fldCharType="end"/>
          </w:r>
        </w:p>
        <w:p w14:paraId="19403085">
          <w:pPr>
            <w:pStyle w:val="18"/>
            <w:tabs>
              <w:tab w:val="right" w:leader="dot" w:pos="9540"/>
            </w:tabs>
          </w:pPr>
          <w:r>
            <w:fldChar w:fldCharType="begin"/>
          </w:r>
          <w:r>
            <w:instrText xml:space="preserve"> HYPERLINK \l _Toc31929 </w:instrText>
          </w:r>
          <w:r>
            <w:fldChar w:fldCharType="separate"/>
          </w:r>
          <w:r>
            <w:rPr>
              <w:rFonts w:ascii="Arial" w:hAnsi="Arial" w:eastAsia="Arial" w:cs="Arial"/>
              <w:bCs/>
              <w:szCs w:val="28"/>
            </w:rPr>
            <w:t>8.3 KPI Validation Tests</w:t>
          </w:r>
          <w:r>
            <w:tab/>
          </w:r>
          <w:r>
            <w:fldChar w:fldCharType="begin"/>
          </w:r>
          <w:r>
            <w:instrText xml:space="preserve"> PAGEREF _Toc31929 \h </w:instrText>
          </w:r>
          <w:r>
            <w:fldChar w:fldCharType="separate"/>
          </w:r>
          <w:r>
            <w:t>31</w:t>
          </w:r>
          <w:r>
            <w:fldChar w:fldCharType="end"/>
          </w:r>
          <w:r>
            <w:fldChar w:fldCharType="end"/>
          </w:r>
        </w:p>
        <w:p w14:paraId="59D55AFE">
          <w:pPr>
            <w:pStyle w:val="18"/>
            <w:tabs>
              <w:tab w:val="right" w:leader="dot" w:pos="9540"/>
            </w:tabs>
          </w:pPr>
          <w:r>
            <w:fldChar w:fldCharType="begin"/>
          </w:r>
          <w:r>
            <w:instrText xml:space="preserve"> HYPERLINK \l _Toc20994 </w:instrText>
          </w:r>
          <w:r>
            <w:fldChar w:fldCharType="separate"/>
          </w:r>
          <w:r>
            <w:rPr>
              <w:rFonts w:ascii="Arial" w:hAnsi="Arial" w:eastAsia="Arial" w:cs="Arial"/>
              <w:bCs/>
              <w:szCs w:val="28"/>
            </w:rPr>
            <w:t>8.4 Dashboard Functionality Testing</w:t>
          </w:r>
          <w:r>
            <w:tab/>
          </w:r>
          <w:r>
            <w:fldChar w:fldCharType="begin"/>
          </w:r>
          <w:r>
            <w:instrText xml:space="preserve"> PAGEREF _Toc20994 \h </w:instrText>
          </w:r>
          <w:r>
            <w:fldChar w:fldCharType="separate"/>
          </w:r>
          <w:r>
            <w:t>32</w:t>
          </w:r>
          <w:r>
            <w:fldChar w:fldCharType="end"/>
          </w:r>
          <w:r>
            <w:fldChar w:fldCharType="end"/>
          </w:r>
        </w:p>
        <w:p w14:paraId="52B4FFCA">
          <w:pPr>
            <w:pStyle w:val="17"/>
            <w:tabs>
              <w:tab w:val="right" w:leader="dot" w:pos="9540"/>
            </w:tabs>
          </w:pPr>
          <w:r>
            <w:fldChar w:fldCharType="begin"/>
          </w:r>
          <w:r>
            <w:instrText xml:space="preserve"> HYPERLINK \l _Toc26809 </w:instrText>
          </w:r>
          <w:r>
            <w:fldChar w:fldCharType="separate"/>
          </w:r>
          <w:r>
            <w:rPr>
              <w:rFonts w:ascii="Arial" w:hAnsi="Arial" w:eastAsia="Arial" w:cs="Arial"/>
              <w:bCs/>
              <w:szCs w:val="36"/>
            </w:rPr>
            <w:t>Chapter 9: Conclusion and Future Work</w:t>
          </w:r>
          <w:r>
            <w:tab/>
          </w:r>
          <w:r>
            <w:fldChar w:fldCharType="begin"/>
          </w:r>
          <w:r>
            <w:instrText xml:space="preserve"> PAGEREF _Toc26809 \h </w:instrText>
          </w:r>
          <w:r>
            <w:fldChar w:fldCharType="separate"/>
          </w:r>
          <w:r>
            <w:t>33</w:t>
          </w:r>
          <w:r>
            <w:fldChar w:fldCharType="end"/>
          </w:r>
          <w:r>
            <w:fldChar w:fldCharType="end"/>
          </w:r>
        </w:p>
        <w:p w14:paraId="0A382881">
          <w:pPr>
            <w:pStyle w:val="18"/>
            <w:tabs>
              <w:tab w:val="right" w:leader="dot" w:pos="9540"/>
            </w:tabs>
          </w:pPr>
          <w:r>
            <w:fldChar w:fldCharType="begin"/>
          </w:r>
          <w:r>
            <w:instrText xml:space="preserve"> HYPERLINK \l _Toc27154 </w:instrText>
          </w:r>
          <w:r>
            <w:fldChar w:fldCharType="separate"/>
          </w:r>
          <w:r>
            <w:rPr>
              <w:rFonts w:ascii="Arial" w:hAnsi="Arial" w:eastAsia="Arial" w:cs="Arial"/>
              <w:bCs/>
              <w:szCs w:val="28"/>
            </w:rPr>
            <w:t>9.1 Conclusion</w:t>
          </w:r>
          <w:r>
            <w:tab/>
          </w:r>
          <w:r>
            <w:fldChar w:fldCharType="begin"/>
          </w:r>
          <w:r>
            <w:instrText xml:space="preserve"> PAGEREF _Toc27154 \h </w:instrText>
          </w:r>
          <w:r>
            <w:fldChar w:fldCharType="separate"/>
          </w:r>
          <w:r>
            <w:t>33</w:t>
          </w:r>
          <w:r>
            <w:fldChar w:fldCharType="end"/>
          </w:r>
          <w:r>
            <w:fldChar w:fldCharType="end"/>
          </w:r>
        </w:p>
        <w:p w14:paraId="0B014598">
          <w:pPr>
            <w:pStyle w:val="18"/>
            <w:tabs>
              <w:tab w:val="right" w:leader="dot" w:pos="9540"/>
            </w:tabs>
          </w:pPr>
          <w:r>
            <w:fldChar w:fldCharType="begin"/>
          </w:r>
          <w:r>
            <w:instrText xml:space="preserve"> HYPERLINK \l _Toc14844 </w:instrText>
          </w:r>
          <w:r>
            <w:fldChar w:fldCharType="separate"/>
          </w:r>
          <w:r>
            <w:rPr>
              <w:rFonts w:ascii="Arial" w:hAnsi="Arial" w:eastAsia="Arial" w:cs="Arial"/>
              <w:bCs/>
              <w:szCs w:val="28"/>
            </w:rPr>
            <w:t>9.2 Limitations</w:t>
          </w:r>
          <w:r>
            <w:tab/>
          </w:r>
          <w:r>
            <w:fldChar w:fldCharType="begin"/>
          </w:r>
          <w:r>
            <w:instrText xml:space="preserve"> PAGEREF _Toc14844 \h </w:instrText>
          </w:r>
          <w:r>
            <w:fldChar w:fldCharType="separate"/>
          </w:r>
          <w:r>
            <w:t>34</w:t>
          </w:r>
          <w:r>
            <w:fldChar w:fldCharType="end"/>
          </w:r>
          <w:r>
            <w:fldChar w:fldCharType="end"/>
          </w:r>
        </w:p>
        <w:p w14:paraId="46E5A76D">
          <w:pPr>
            <w:pStyle w:val="18"/>
            <w:tabs>
              <w:tab w:val="right" w:leader="dot" w:pos="9540"/>
            </w:tabs>
          </w:pPr>
          <w:r>
            <w:fldChar w:fldCharType="begin"/>
          </w:r>
          <w:r>
            <w:instrText xml:space="preserve"> HYPERLINK \l _Toc8462 </w:instrText>
          </w:r>
          <w:r>
            <w:fldChar w:fldCharType="separate"/>
          </w:r>
          <w:r>
            <w:rPr>
              <w:rFonts w:ascii="Arial" w:hAnsi="Arial" w:eastAsia="Arial" w:cs="Arial"/>
              <w:bCs/>
              <w:szCs w:val="28"/>
            </w:rPr>
            <w:t>9.3 Future Work and Enhancements</w:t>
          </w:r>
          <w:r>
            <w:tab/>
          </w:r>
          <w:r>
            <w:fldChar w:fldCharType="begin"/>
          </w:r>
          <w:r>
            <w:instrText xml:space="preserve"> PAGEREF _Toc8462 \h </w:instrText>
          </w:r>
          <w:r>
            <w:fldChar w:fldCharType="separate"/>
          </w:r>
          <w:r>
            <w:t>34</w:t>
          </w:r>
          <w:r>
            <w:fldChar w:fldCharType="end"/>
          </w:r>
          <w:r>
            <w:fldChar w:fldCharType="end"/>
          </w:r>
        </w:p>
        <w:p w14:paraId="7373FC87">
          <w:pPr>
            <w:pStyle w:val="18"/>
            <w:tabs>
              <w:tab w:val="right" w:leader="dot" w:pos="9540"/>
            </w:tabs>
          </w:pPr>
          <w:r>
            <w:fldChar w:fldCharType="begin"/>
          </w:r>
          <w:r>
            <w:instrText xml:space="preserve"> HYPERLINK \l _Toc12118 </w:instrText>
          </w:r>
          <w:r>
            <w:fldChar w:fldCharType="separate"/>
          </w:r>
          <w:r>
            <w:rPr>
              <w:rFonts w:ascii="Arial" w:hAnsi="Arial" w:eastAsia="Arial" w:cs="Arial"/>
              <w:bCs/>
              <w:szCs w:val="28"/>
            </w:rPr>
            <w:t>9.4 Project Summary</w:t>
          </w:r>
          <w:r>
            <w:tab/>
          </w:r>
          <w:r>
            <w:fldChar w:fldCharType="begin"/>
          </w:r>
          <w:r>
            <w:instrText xml:space="preserve"> PAGEREF _Toc12118 \h </w:instrText>
          </w:r>
          <w:r>
            <w:fldChar w:fldCharType="separate"/>
          </w:r>
          <w:r>
            <w:t>35</w:t>
          </w:r>
          <w:r>
            <w:fldChar w:fldCharType="end"/>
          </w:r>
          <w:r>
            <w:fldChar w:fldCharType="end"/>
          </w:r>
        </w:p>
        <w:p w14:paraId="629248C8">
          <w:pPr>
            <w:pStyle w:val="17"/>
            <w:tabs>
              <w:tab w:val="right" w:leader="dot" w:pos="9540"/>
            </w:tabs>
          </w:pPr>
          <w:r>
            <w:fldChar w:fldCharType="begin"/>
          </w:r>
          <w:r>
            <w:instrText xml:space="preserve"> HYPERLINK \l _Toc8759 </w:instrText>
          </w:r>
          <w:r>
            <w:fldChar w:fldCharType="separate"/>
          </w:r>
          <w:r>
            <w:rPr>
              <w:rFonts w:ascii="Arial" w:hAnsi="Arial" w:eastAsia="Arial" w:cs="Arial"/>
              <w:bCs/>
              <w:szCs w:val="36"/>
            </w:rPr>
            <w:t>References</w:t>
          </w:r>
          <w:r>
            <w:tab/>
          </w:r>
          <w:r>
            <w:fldChar w:fldCharType="begin"/>
          </w:r>
          <w:r>
            <w:instrText xml:space="preserve"> PAGEREF _Toc8759 \h </w:instrText>
          </w:r>
          <w:r>
            <w:fldChar w:fldCharType="separate"/>
          </w:r>
          <w:r>
            <w:t>36</w:t>
          </w:r>
          <w:r>
            <w:fldChar w:fldCharType="end"/>
          </w:r>
          <w:r>
            <w:fldChar w:fldCharType="end"/>
          </w:r>
        </w:p>
        <w:p w14:paraId="5D2923A4">
          <w:pPr>
            <w:pStyle w:val="17"/>
            <w:tabs>
              <w:tab w:val="right" w:leader="dot" w:pos="9540"/>
            </w:tabs>
          </w:pPr>
          <w:r>
            <w:fldChar w:fldCharType="begin"/>
          </w:r>
          <w:r>
            <w:instrText xml:space="preserve"> HYPERLINK \l _Toc30674 </w:instrText>
          </w:r>
          <w:r>
            <w:fldChar w:fldCharType="separate"/>
          </w:r>
          <w:r>
            <w:rPr>
              <w:rFonts w:ascii="Arial" w:hAnsi="Arial" w:eastAsia="Arial" w:cs="Arial"/>
              <w:bCs/>
              <w:szCs w:val="36"/>
            </w:rPr>
            <w:t>Appendix</w:t>
          </w:r>
          <w:r>
            <w:tab/>
          </w:r>
          <w:r>
            <w:fldChar w:fldCharType="begin"/>
          </w:r>
          <w:r>
            <w:instrText xml:space="preserve"> PAGEREF _Toc30674 \h </w:instrText>
          </w:r>
          <w:r>
            <w:fldChar w:fldCharType="separate"/>
          </w:r>
          <w:r>
            <w:t>37</w:t>
          </w:r>
          <w:r>
            <w:fldChar w:fldCharType="end"/>
          </w:r>
          <w:r>
            <w:fldChar w:fldCharType="end"/>
          </w:r>
        </w:p>
        <w:p w14:paraId="1AB0FA39">
          <w:pPr>
            <w:pStyle w:val="18"/>
            <w:tabs>
              <w:tab w:val="right" w:leader="dot" w:pos="9540"/>
            </w:tabs>
          </w:pPr>
          <w:r>
            <w:fldChar w:fldCharType="begin"/>
          </w:r>
          <w:r>
            <w:instrText xml:space="preserve"> HYPERLINK \l _Toc5622 </w:instrText>
          </w:r>
          <w:r>
            <w:fldChar w:fldCharType="separate"/>
          </w:r>
          <w:r>
            <w:rPr>
              <w:rFonts w:ascii="Arial" w:hAnsi="Arial" w:eastAsia="Arial" w:cs="Arial"/>
              <w:bCs/>
              <w:szCs w:val="28"/>
            </w:rPr>
            <w:t>Appendix A: SQL Schema Definition</w:t>
          </w:r>
          <w:r>
            <w:tab/>
          </w:r>
          <w:r>
            <w:fldChar w:fldCharType="begin"/>
          </w:r>
          <w:r>
            <w:instrText xml:space="preserve"> PAGEREF _Toc5622 \h </w:instrText>
          </w:r>
          <w:r>
            <w:fldChar w:fldCharType="separate"/>
          </w:r>
          <w:r>
            <w:t>37</w:t>
          </w:r>
          <w:r>
            <w:fldChar w:fldCharType="end"/>
          </w:r>
          <w:r>
            <w:fldChar w:fldCharType="end"/>
          </w:r>
        </w:p>
        <w:p w14:paraId="6D1F3B89">
          <w:pPr>
            <w:pStyle w:val="18"/>
            <w:tabs>
              <w:tab w:val="right" w:leader="dot" w:pos="9540"/>
            </w:tabs>
          </w:pPr>
          <w:r>
            <w:fldChar w:fldCharType="begin"/>
          </w:r>
          <w:r>
            <w:instrText xml:space="preserve"> HYPERLINK \l _Toc8607 </w:instrText>
          </w:r>
          <w:r>
            <w:fldChar w:fldCharType="separate"/>
          </w:r>
          <w:r>
            <w:rPr>
              <w:rFonts w:ascii="Arial" w:hAnsi="Arial" w:eastAsia="Arial" w:cs="Arial"/>
              <w:bCs/>
              <w:szCs w:val="28"/>
            </w:rPr>
            <w:t>Appendix B: Sub-Category Reference Table</w:t>
          </w:r>
          <w:r>
            <w:tab/>
          </w:r>
          <w:r>
            <w:fldChar w:fldCharType="begin"/>
          </w:r>
          <w:r>
            <w:instrText xml:space="preserve"> PAGEREF _Toc8607 \h </w:instrText>
          </w:r>
          <w:r>
            <w:fldChar w:fldCharType="separate"/>
          </w:r>
          <w:r>
            <w:t>37</w:t>
          </w:r>
          <w:r>
            <w:fldChar w:fldCharType="end"/>
          </w:r>
          <w:r>
            <w:fldChar w:fldCharType="end"/>
          </w:r>
        </w:p>
        <w:p w14:paraId="412A1C52">
          <w:pPr>
            <w:pStyle w:val="18"/>
            <w:tabs>
              <w:tab w:val="right" w:leader="dot" w:pos="9540"/>
            </w:tabs>
          </w:pPr>
          <w:r>
            <w:fldChar w:fldCharType="begin"/>
          </w:r>
          <w:r>
            <w:instrText xml:space="preserve"> HYPERLINK \l _Toc17303 </w:instrText>
          </w:r>
          <w:r>
            <w:fldChar w:fldCharType="separate"/>
          </w:r>
          <w:r>
            <w:rPr>
              <w:rFonts w:ascii="Arial" w:hAnsi="Arial" w:eastAsia="Arial" w:cs="Arial"/>
              <w:bCs/>
              <w:szCs w:val="28"/>
            </w:rPr>
            <w:t>Appendix C: State Coverage Reference</w:t>
          </w:r>
          <w:r>
            <w:tab/>
          </w:r>
          <w:r>
            <w:fldChar w:fldCharType="begin"/>
          </w:r>
          <w:r>
            <w:instrText xml:space="preserve"> PAGEREF _Toc17303 \h </w:instrText>
          </w:r>
          <w:r>
            <w:fldChar w:fldCharType="separate"/>
          </w:r>
          <w:r>
            <w:t>38</w:t>
          </w:r>
          <w:r>
            <w:fldChar w:fldCharType="end"/>
          </w:r>
          <w:r>
            <w:fldChar w:fldCharType="end"/>
          </w:r>
        </w:p>
        <w:p w14:paraId="2758B2EB">
          <w:r>
            <w:fldChar w:fldCharType="end"/>
          </w:r>
        </w:p>
      </w:sdtContent>
    </w:sdt>
    <w:p w14:paraId="2F208CA4">
      <w:r>
        <w:br w:type="page"/>
      </w:r>
    </w:p>
    <w:p w14:paraId="63C921FD">
      <w:pPr>
        <w:pStyle w:val="2"/>
        <w:pBdr>
          <w:bottom w:val="single" w:color="1565C0" w:sz="8" w:space="4"/>
        </w:pBdr>
        <w:spacing w:before="360" w:after="200"/>
        <w:jc w:val="center"/>
      </w:pPr>
      <w:bookmarkStart w:id="6" w:name="_Toc29066"/>
      <w:r>
        <w:rPr>
          <w:rFonts w:ascii="Arial" w:hAnsi="Arial" w:eastAsia="Arial" w:cs="Arial"/>
          <w:b/>
          <w:bCs/>
          <w:color w:val="1A237E"/>
          <w:sz w:val="36"/>
          <w:szCs w:val="36"/>
        </w:rPr>
        <w:t>Chapter 1: Introduction</w:t>
      </w:r>
      <w:bookmarkEnd w:id="6"/>
    </w:p>
    <w:p w14:paraId="2654B054">
      <w:pPr>
        <w:pStyle w:val="3"/>
        <w:spacing w:before="280" w:after="160"/>
      </w:pPr>
      <w:bookmarkStart w:id="7" w:name="_Toc14068"/>
      <w:r>
        <w:rPr>
          <w:rFonts w:ascii="Arial" w:hAnsi="Arial" w:eastAsia="Arial" w:cs="Arial"/>
          <w:b/>
          <w:bCs/>
          <w:color w:val="1565C0"/>
          <w:sz w:val="28"/>
          <w:szCs w:val="28"/>
        </w:rPr>
        <w:t>1.1 Background and Motivation</w:t>
      </w:r>
      <w:bookmarkEnd w:id="7"/>
    </w:p>
    <w:p w14:paraId="7D6E1EBC">
      <w:pPr>
        <w:spacing w:before="80" w:after="120" w:line="360" w:lineRule="auto"/>
        <w:jc w:val="both"/>
      </w:pPr>
      <w:r>
        <w:rPr>
          <w:rFonts w:ascii="Arial" w:hAnsi="Arial" w:eastAsia="Arial" w:cs="Arial"/>
          <w:b w:val="0"/>
          <w:bCs w:val="0"/>
          <w:i w:val="0"/>
          <w:iCs w:val="0"/>
          <w:color w:val="212121"/>
          <w:sz w:val="22"/>
          <w:szCs w:val="22"/>
        </w:rPr>
        <w:t>The digital transformation of commerce has created an unprecedented data revolution. E-commerce platforms across the globe process millions of transactions daily, each one generating valuable data points about customer behavior, product preferences, geographic demand patterns, and payment choices. India, with its rapidly growing digital economy and internet user base surpassing 900 million, has witnessed a particularly dramatic expansion of e-commerce activity over the past decade. Platforms serving diverse customer segments across metropolitan cities, tier-II cities, and rural markets accumulate transaction records that represent an untapped analytical goldmine.</w:t>
      </w:r>
    </w:p>
    <w:p w14:paraId="10133F02">
      <w:pPr>
        <w:spacing w:before="80" w:after="120" w:line="360" w:lineRule="auto"/>
        <w:jc w:val="both"/>
      </w:pPr>
      <w:r>
        <w:rPr>
          <w:rFonts w:ascii="Arial" w:hAnsi="Arial" w:eastAsia="Arial" w:cs="Arial"/>
          <w:b w:val="0"/>
          <w:bCs w:val="0"/>
          <w:i w:val="0"/>
          <w:iCs w:val="0"/>
          <w:color w:val="212121"/>
          <w:sz w:val="22"/>
          <w:szCs w:val="22"/>
        </w:rPr>
        <w:t>Despite this data abundance, many mid-scale e-commerce enterprises lack the analytical infrastructure to extract meaningful insights from their transactional records. Raw order data stored in spreadsheets or basic databases offers little value without appropriate aggregation, visualization, and interpretation. The gap between data collection and data-driven decision-making represents one of the most significant opportunities in modern business analytics.</w:t>
      </w:r>
    </w:p>
    <w:p w14:paraId="2FA1D232">
      <w:pPr>
        <w:spacing w:before="80" w:after="120" w:line="360" w:lineRule="auto"/>
        <w:jc w:val="both"/>
      </w:pPr>
      <w:r>
        <w:rPr>
          <w:rFonts w:ascii="Arial" w:hAnsi="Arial" w:eastAsia="Arial" w:cs="Arial"/>
          <w:b w:val="0"/>
          <w:bCs w:val="0"/>
          <w:i w:val="0"/>
          <w:iCs w:val="0"/>
          <w:color w:val="212121"/>
          <w:sz w:val="22"/>
          <w:szCs w:val="22"/>
        </w:rPr>
        <w:t>Business Intelligence (BI) tools have emerged as the bridge between raw data and strategic insight. Platforms such as Microsoft Power BI, Tableau, and QlikSense enable business analysts and managers to explore multi-dimensional data through interactive dashboards, drill-down visualizations, and real-time KPI monitoring — without requiring deep programming expertise. When paired with properly normalized database schemas and well-designed ETL pipelines, these tools can transform chaotic transactional records into coherent analytical narratives.</w:t>
      </w:r>
    </w:p>
    <w:p w14:paraId="477E79E1">
      <w:pPr>
        <w:spacing w:before="80" w:after="120" w:line="360" w:lineRule="auto"/>
        <w:jc w:val="both"/>
      </w:pPr>
      <w:r>
        <w:rPr>
          <w:rFonts w:ascii="Arial" w:hAnsi="Arial" w:eastAsia="Arial" w:cs="Arial"/>
          <w:b w:val="0"/>
          <w:bCs w:val="0"/>
          <w:i w:val="0"/>
          <w:iCs w:val="0"/>
          <w:color w:val="212121"/>
          <w:sz w:val="22"/>
          <w:szCs w:val="22"/>
        </w:rPr>
        <w:t>This project was motivated by the observation that a structured e-commerce sales dataset containing 500 customer orders and 1,500+ product-level transactions, when subjected to rigorous BI analysis, could reveal patterns of business performance that are invisible to unaided human inspection. The dataset spans an entire calendar year (2018) and covers customers across 19 Indian states, creating a rich multidimensional analytical space.</w:t>
      </w:r>
    </w:p>
    <w:p w14:paraId="3CA8B4C8">
      <w:pPr>
        <w:pStyle w:val="3"/>
        <w:spacing w:before="280" w:after="160"/>
      </w:pPr>
      <w:bookmarkStart w:id="8" w:name="_Toc29336"/>
      <w:r>
        <w:rPr>
          <w:rFonts w:ascii="Arial" w:hAnsi="Arial" w:eastAsia="Arial" w:cs="Arial"/>
          <w:b/>
          <w:bCs/>
          <w:color w:val="1565C0"/>
          <w:sz w:val="28"/>
          <w:szCs w:val="28"/>
        </w:rPr>
        <w:t>1.2 Problem Statement</w:t>
      </w:r>
      <w:bookmarkEnd w:id="8"/>
    </w:p>
    <w:p w14:paraId="753E488A">
      <w:pPr>
        <w:spacing w:before="80" w:after="120" w:line="360" w:lineRule="auto"/>
        <w:jc w:val="both"/>
      </w:pPr>
      <w:r>
        <w:rPr>
          <w:rFonts w:ascii="Arial" w:hAnsi="Arial" w:eastAsia="Arial" w:cs="Arial"/>
          <w:b w:val="0"/>
          <w:bCs w:val="0"/>
          <w:i w:val="0"/>
          <w:iCs w:val="0"/>
          <w:color w:val="212121"/>
          <w:sz w:val="22"/>
          <w:szCs w:val="22"/>
        </w:rPr>
        <w:t>E-commerce businesses generate large volumes of daily transactional data including customer orders, product purchases, payment records, and geographic distribution of sales. However, without appropriate analytical tools and visualizations, this data remains underutilized. Decision-makers face challenges in identifying high-revenue markets, understanding product-level profitability, monitoring payment mode trends, and detecting seasonal profit fluctuations.</w:t>
      </w:r>
    </w:p>
    <w:p w14:paraId="2E6EEC6B">
      <w:pPr>
        <w:spacing w:before="80" w:after="120" w:line="360" w:lineRule="auto"/>
        <w:jc w:val="both"/>
      </w:pPr>
      <w:r>
        <w:rPr>
          <w:rFonts w:ascii="Arial" w:hAnsi="Arial" w:eastAsia="Arial" w:cs="Arial"/>
          <w:b w:val="0"/>
          <w:bCs w:val="0"/>
          <w:i w:val="0"/>
          <w:iCs w:val="0"/>
          <w:color w:val="212121"/>
          <w:sz w:val="22"/>
          <w:szCs w:val="22"/>
        </w:rPr>
        <w:t>Specifically, this project addresses the following analytical challenges:</w:t>
      </w:r>
    </w:p>
    <w:p w14:paraId="1BE2D18D">
      <w:pPr>
        <w:pStyle w:val="20"/>
        <w:numPr>
          <w:ilvl w:val="0"/>
          <w:numId w:val="2"/>
        </w:numPr>
        <w:spacing w:before="60" w:after="60" w:line="320" w:lineRule="auto"/>
      </w:pPr>
      <w:r>
        <w:rPr>
          <w:rFonts w:ascii="Arial" w:hAnsi="Arial" w:eastAsia="Arial" w:cs="Arial"/>
          <w:color w:val="212121"/>
          <w:sz w:val="22"/>
          <w:szCs w:val="22"/>
        </w:rPr>
        <w:t>Identifying which geographic regions (states and cities) contribute most to total revenue and order volume</w:t>
      </w:r>
    </w:p>
    <w:p w14:paraId="046AAA73">
      <w:pPr>
        <w:pStyle w:val="20"/>
        <w:numPr>
          <w:ilvl w:val="0"/>
          <w:numId w:val="2"/>
        </w:numPr>
        <w:spacing w:before="60" w:after="60" w:line="320" w:lineRule="auto"/>
      </w:pPr>
      <w:r>
        <w:rPr>
          <w:rFonts w:ascii="Arial" w:hAnsi="Arial" w:eastAsia="Arial" w:cs="Arial"/>
          <w:color w:val="212121"/>
          <w:sz w:val="22"/>
          <w:szCs w:val="22"/>
        </w:rPr>
        <w:t>Determining the profitability performance of different product categories and sub-categories</w:t>
      </w:r>
    </w:p>
    <w:p w14:paraId="26CAD73A">
      <w:pPr>
        <w:pStyle w:val="20"/>
        <w:numPr>
          <w:ilvl w:val="0"/>
          <w:numId w:val="2"/>
        </w:numPr>
        <w:spacing w:before="60" w:after="60" w:line="320" w:lineRule="auto"/>
      </w:pPr>
      <w:r>
        <w:rPr>
          <w:rFonts w:ascii="Arial" w:hAnsi="Arial" w:eastAsia="Arial" w:cs="Arial"/>
          <w:color w:val="212121"/>
          <w:sz w:val="22"/>
          <w:szCs w:val="22"/>
        </w:rPr>
        <w:t>Analyzing customer payment mode preferences and their correlation with transaction values</w:t>
      </w:r>
    </w:p>
    <w:p w14:paraId="6755C1FD">
      <w:pPr>
        <w:pStyle w:val="20"/>
        <w:numPr>
          <w:ilvl w:val="0"/>
          <w:numId w:val="2"/>
        </w:numPr>
        <w:spacing w:before="60" w:after="60" w:line="320" w:lineRule="auto"/>
      </w:pPr>
      <w:r>
        <w:rPr>
          <w:rFonts w:ascii="Arial" w:hAnsi="Arial" w:eastAsia="Arial" w:cs="Arial"/>
          <w:color w:val="212121"/>
          <w:sz w:val="22"/>
          <w:szCs w:val="22"/>
        </w:rPr>
        <w:t>Detecting seasonal and monthly trends in profit margins that indicate business health</w:t>
      </w:r>
    </w:p>
    <w:p w14:paraId="6B827A0F">
      <w:pPr>
        <w:pStyle w:val="20"/>
        <w:numPr>
          <w:ilvl w:val="0"/>
          <w:numId w:val="2"/>
        </w:numPr>
        <w:spacing w:before="60" w:after="60" w:line="320" w:lineRule="auto"/>
      </w:pPr>
      <w:r>
        <w:rPr>
          <w:rFonts w:ascii="Arial" w:hAnsi="Arial" w:eastAsia="Arial" w:cs="Arial"/>
          <w:color w:val="212121"/>
          <w:sz w:val="22"/>
          <w:szCs w:val="22"/>
        </w:rPr>
        <w:t>Pinpointing high-value customers and top-performing product lines</w:t>
      </w:r>
    </w:p>
    <w:p w14:paraId="5B45D9F6">
      <w:pPr>
        <w:pStyle w:val="20"/>
        <w:numPr>
          <w:ilvl w:val="0"/>
          <w:numId w:val="2"/>
        </w:numPr>
        <w:spacing w:before="60" w:after="60" w:line="320" w:lineRule="auto"/>
      </w:pPr>
      <w:r>
        <w:rPr>
          <w:rFonts w:ascii="Arial" w:hAnsi="Arial" w:eastAsia="Arial" w:cs="Arial"/>
          <w:color w:val="212121"/>
          <w:sz w:val="22"/>
          <w:szCs w:val="22"/>
        </w:rPr>
        <w:t>Providing an interactive, filterable dashboard that enables real-time business monitoring</w:t>
      </w:r>
    </w:p>
    <w:p w14:paraId="205E2EEB">
      <w:pPr>
        <w:pStyle w:val="3"/>
        <w:spacing w:before="280" w:after="160"/>
      </w:pPr>
      <w:bookmarkStart w:id="9" w:name="_Toc6576"/>
      <w:r>
        <w:rPr>
          <w:rFonts w:ascii="Arial" w:hAnsi="Arial" w:eastAsia="Arial" w:cs="Arial"/>
          <w:b/>
          <w:bCs/>
          <w:color w:val="1565C0"/>
          <w:sz w:val="28"/>
          <w:szCs w:val="28"/>
        </w:rPr>
        <w:t>1.3 Objectives of the Project</w:t>
      </w:r>
      <w:bookmarkEnd w:id="9"/>
    </w:p>
    <w:p w14:paraId="48720B28">
      <w:pPr>
        <w:spacing w:before="80" w:after="120" w:line="360" w:lineRule="auto"/>
        <w:jc w:val="both"/>
      </w:pPr>
      <w:r>
        <w:rPr>
          <w:rFonts w:ascii="Arial" w:hAnsi="Arial" w:eastAsia="Arial" w:cs="Arial"/>
          <w:b w:val="0"/>
          <w:bCs w:val="0"/>
          <w:i w:val="0"/>
          <w:iCs w:val="0"/>
          <w:color w:val="212121"/>
          <w:sz w:val="22"/>
          <w:szCs w:val="22"/>
        </w:rPr>
        <w:t>The primary objectives of this project are:</w:t>
      </w:r>
    </w:p>
    <w:p w14:paraId="6F23299B">
      <w:pPr>
        <w:pStyle w:val="20"/>
        <w:numPr>
          <w:ilvl w:val="0"/>
          <w:numId w:val="3"/>
        </w:numPr>
        <w:spacing w:before="60" w:after="60" w:line="320" w:lineRule="auto"/>
      </w:pPr>
      <w:r>
        <w:rPr>
          <w:rFonts w:ascii="Arial" w:hAnsi="Arial" w:eastAsia="Arial" w:cs="Arial"/>
          <w:color w:val="212121"/>
          <w:sz w:val="22"/>
          <w:szCs w:val="22"/>
        </w:rPr>
        <w:t>To design and implement a normalized relational database schema for storing and managing e-commerce transactional data efficiently.</w:t>
      </w:r>
    </w:p>
    <w:p w14:paraId="2AF6AB82">
      <w:pPr>
        <w:pStyle w:val="20"/>
        <w:numPr>
          <w:ilvl w:val="0"/>
          <w:numId w:val="3"/>
        </w:numPr>
        <w:spacing w:before="60" w:after="60" w:line="320" w:lineRule="auto"/>
      </w:pPr>
      <w:r>
        <w:rPr>
          <w:rFonts w:ascii="Arial" w:hAnsi="Arial" w:eastAsia="Arial" w:cs="Arial"/>
          <w:color w:val="212121"/>
          <w:sz w:val="22"/>
          <w:szCs w:val="22"/>
        </w:rPr>
        <w:t>To develop an ETL (Extract, Transform, Load) pipeline for cleaning, transforming, and loading raw CSV data into the relational database.</w:t>
      </w:r>
    </w:p>
    <w:p w14:paraId="07F30972">
      <w:pPr>
        <w:pStyle w:val="20"/>
        <w:numPr>
          <w:ilvl w:val="0"/>
          <w:numId w:val="3"/>
        </w:numPr>
        <w:spacing w:before="60" w:after="60" w:line="320" w:lineRule="auto"/>
      </w:pPr>
      <w:r>
        <w:rPr>
          <w:rFonts w:ascii="Arial" w:hAnsi="Arial" w:eastAsia="Arial" w:cs="Arial"/>
          <w:color w:val="212121"/>
          <w:sz w:val="22"/>
          <w:szCs w:val="22"/>
        </w:rPr>
        <w:t>To create a Star Schema data warehouse optimized for analytical query performance.</w:t>
      </w:r>
    </w:p>
    <w:p w14:paraId="310ECFBD">
      <w:pPr>
        <w:pStyle w:val="20"/>
        <w:numPr>
          <w:ilvl w:val="0"/>
          <w:numId w:val="3"/>
        </w:numPr>
        <w:spacing w:before="60" w:after="60" w:line="320" w:lineRule="auto"/>
      </w:pPr>
      <w:r>
        <w:rPr>
          <w:rFonts w:ascii="Arial" w:hAnsi="Arial" w:eastAsia="Arial" w:cs="Arial"/>
          <w:color w:val="212121"/>
          <w:sz w:val="22"/>
          <w:szCs w:val="22"/>
        </w:rPr>
        <w:t>To build an interactive Power BI dashboard with multiple visualization types including bar charts, donut charts, geographic maps, and time-series charts.</w:t>
      </w:r>
    </w:p>
    <w:p w14:paraId="4E04DCEA">
      <w:pPr>
        <w:pStyle w:val="20"/>
        <w:numPr>
          <w:ilvl w:val="0"/>
          <w:numId w:val="3"/>
        </w:numPr>
        <w:spacing w:before="60" w:after="60" w:line="320" w:lineRule="auto"/>
      </w:pPr>
      <w:r>
        <w:rPr>
          <w:rFonts w:ascii="Arial" w:hAnsi="Arial" w:eastAsia="Arial" w:cs="Arial"/>
          <w:color w:val="212121"/>
          <w:sz w:val="22"/>
          <w:szCs w:val="22"/>
        </w:rPr>
        <w:t>To analyze revenue distribution across Indian states and cities using geospatial visualization.</w:t>
      </w:r>
    </w:p>
    <w:p w14:paraId="553D5D34">
      <w:pPr>
        <w:pStyle w:val="20"/>
        <w:numPr>
          <w:ilvl w:val="0"/>
          <w:numId w:val="3"/>
        </w:numPr>
        <w:spacing w:before="60" w:after="60" w:line="320" w:lineRule="auto"/>
      </w:pPr>
      <w:r>
        <w:rPr>
          <w:rFonts w:ascii="Arial" w:hAnsi="Arial" w:eastAsia="Arial" w:cs="Arial"/>
          <w:color w:val="212121"/>
          <w:sz w:val="22"/>
          <w:szCs w:val="22"/>
        </w:rPr>
        <w:t>To evaluate product category and sub-category performance in terms of revenue, profit margin, and quantity sold.</w:t>
      </w:r>
    </w:p>
    <w:p w14:paraId="566419C2">
      <w:pPr>
        <w:pStyle w:val="20"/>
        <w:numPr>
          <w:ilvl w:val="0"/>
          <w:numId w:val="3"/>
        </w:numPr>
        <w:spacing w:before="60" w:after="60" w:line="320" w:lineRule="auto"/>
      </w:pPr>
      <w:r>
        <w:rPr>
          <w:rFonts w:ascii="Arial" w:hAnsi="Arial" w:eastAsia="Arial" w:cs="Arial"/>
          <w:color w:val="212121"/>
          <w:sz w:val="22"/>
          <w:szCs w:val="22"/>
        </w:rPr>
        <w:t>To examine payment mode usage patterns and their business implications.</w:t>
      </w:r>
    </w:p>
    <w:p w14:paraId="01466FF3">
      <w:pPr>
        <w:pStyle w:val="20"/>
        <w:numPr>
          <w:ilvl w:val="0"/>
          <w:numId w:val="3"/>
        </w:numPr>
        <w:spacing w:before="60" w:after="60" w:line="320" w:lineRule="auto"/>
      </w:pPr>
      <w:r>
        <w:rPr>
          <w:rFonts w:ascii="Arial" w:hAnsi="Arial" w:eastAsia="Arial" w:cs="Arial"/>
          <w:color w:val="212121"/>
          <w:sz w:val="22"/>
          <w:szCs w:val="22"/>
        </w:rPr>
        <w:t>To identify monthly profit margin trends and seasonal business patterns.</w:t>
      </w:r>
    </w:p>
    <w:p w14:paraId="790350A1">
      <w:pPr>
        <w:pStyle w:val="20"/>
        <w:numPr>
          <w:ilvl w:val="0"/>
          <w:numId w:val="3"/>
        </w:numPr>
        <w:spacing w:before="60" w:after="60" w:line="320" w:lineRule="auto"/>
      </w:pPr>
      <w:r>
        <w:rPr>
          <w:rFonts w:ascii="Arial" w:hAnsi="Arial" w:eastAsia="Arial" w:cs="Arial"/>
          <w:color w:val="212121"/>
          <w:sz w:val="22"/>
          <w:szCs w:val="22"/>
        </w:rPr>
        <w:t>To provide actionable business intelligence insights based on the analytical findings.</w:t>
      </w:r>
    </w:p>
    <w:p w14:paraId="2B0E166B">
      <w:pPr>
        <w:pStyle w:val="20"/>
        <w:numPr>
          <w:ilvl w:val="0"/>
          <w:numId w:val="3"/>
        </w:numPr>
        <w:spacing w:before="60" w:after="60" w:line="320" w:lineRule="auto"/>
      </w:pPr>
      <w:r>
        <w:rPr>
          <w:rFonts w:ascii="Arial" w:hAnsi="Arial" w:eastAsia="Arial" w:cs="Arial"/>
          <w:color w:val="212121"/>
          <w:sz w:val="22"/>
          <w:szCs w:val="22"/>
        </w:rPr>
        <w:t>To document the complete system design, implementation, and analytical outcomes as a comprehensive MCA research project.</w:t>
      </w:r>
    </w:p>
    <w:p w14:paraId="0BD60CFA">
      <w:pPr>
        <w:pStyle w:val="3"/>
        <w:spacing w:before="280" w:after="160"/>
      </w:pPr>
      <w:bookmarkStart w:id="10" w:name="_Toc23882"/>
      <w:r>
        <w:rPr>
          <w:rFonts w:ascii="Arial" w:hAnsi="Arial" w:eastAsia="Arial" w:cs="Arial"/>
          <w:b/>
          <w:bCs/>
          <w:color w:val="1565C0"/>
          <w:sz w:val="28"/>
          <w:szCs w:val="28"/>
        </w:rPr>
        <w:t>1.4 Scope of the Project</w:t>
      </w:r>
      <w:bookmarkEnd w:id="10"/>
    </w:p>
    <w:p w14:paraId="270710E6">
      <w:pPr>
        <w:spacing w:before="80" w:after="120" w:line="360" w:lineRule="auto"/>
        <w:jc w:val="both"/>
      </w:pPr>
      <w:r>
        <w:rPr>
          <w:rFonts w:ascii="Arial" w:hAnsi="Arial" w:eastAsia="Arial" w:cs="Arial"/>
          <w:b w:val="0"/>
          <w:bCs w:val="0"/>
          <w:i w:val="0"/>
          <w:iCs w:val="0"/>
          <w:color w:val="212121"/>
          <w:sz w:val="22"/>
          <w:szCs w:val="22"/>
        </w:rPr>
        <w:t>The scope of this project encompasses the following domains:</w:t>
      </w:r>
    </w:p>
    <w:p w14:paraId="65EDE2C3">
      <w:pPr>
        <w:pStyle w:val="20"/>
        <w:numPr>
          <w:ilvl w:val="0"/>
          <w:numId w:val="2"/>
        </w:numPr>
        <w:spacing w:before="60" w:after="60" w:line="320" w:lineRule="auto"/>
      </w:pPr>
      <w:r>
        <w:rPr>
          <w:rFonts w:ascii="Arial" w:hAnsi="Arial" w:eastAsia="Arial" w:cs="Arial"/>
          <w:color w:val="212121"/>
          <w:sz w:val="22"/>
          <w:szCs w:val="22"/>
        </w:rPr>
        <w:t>Data Domain: The dataset covers 500 unique customer orders, 1,500+ order detail records, 3 product categories, 17 sub-categories, 5 payment modes, 19 states, and a full calendar year (January to December 2018).</w:t>
      </w:r>
    </w:p>
    <w:p w14:paraId="3AC1E15D">
      <w:pPr>
        <w:pStyle w:val="20"/>
        <w:numPr>
          <w:ilvl w:val="0"/>
          <w:numId w:val="2"/>
        </w:numPr>
        <w:spacing w:before="60" w:after="60" w:line="320" w:lineRule="auto"/>
      </w:pPr>
      <w:r>
        <w:rPr>
          <w:rFonts w:ascii="Arial" w:hAnsi="Arial" w:eastAsia="Arial" w:cs="Arial"/>
          <w:color w:val="212121"/>
          <w:sz w:val="22"/>
          <w:szCs w:val="22"/>
        </w:rPr>
        <w:t>Technical Domain: The project involves database design (PostgreSQL), data processing (Python/Pandas), business intelligence (Microsoft Power BI), and data warehouse design.</w:t>
      </w:r>
    </w:p>
    <w:p w14:paraId="4304A377">
      <w:pPr>
        <w:pStyle w:val="20"/>
        <w:numPr>
          <w:ilvl w:val="0"/>
          <w:numId w:val="2"/>
        </w:numPr>
        <w:spacing w:before="60" w:after="60" w:line="320" w:lineRule="auto"/>
      </w:pPr>
      <w:r>
        <w:rPr>
          <w:rFonts w:ascii="Arial" w:hAnsi="Arial" w:eastAsia="Arial" w:cs="Arial"/>
          <w:color w:val="212121"/>
          <w:sz w:val="22"/>
          <w:szCs w:val="22"/>
        </w:rPr>
        <w:t>Analytical Domain: The analysis covers geographic sales distribution, product performance analytics, customer value analysis, payment behavior analysis, and temporal trend analysis.</w:t>
      </w:r>
    </w:p>
    <w:p w14:paraId="3F180C47">
      <w:pPr>
        <w:pStyle w:val="20"/>
        <w:numPr>
          <w:ilvl w:val="0"/>
          <w:numId w:val="2"/>
        </w:numPr>
        <w:spacing w:before="60" w:after="60" w:line="320" w:lineRule="auto"/>
      </w:pPr>
      <w:r>
        <w:rPr>
          <w:rFonts w:ascii="Arial" w:hAnsi="Arial" w:eastAsia="Arial" w:cs="Arial"/>
          <w:color w:val="212121"/>
          <w:sz w:val="22"/>
          <w:szCs w:val="22"/>
        </w:rPr>
        <w:t>Visualization Domain: Six primary charts are implemented — Total Revenue by State (horizontal bar), Quantity by Payment Mode (donut), Profit Margin by Sub-Category (bar), Quantity by Category (donut), Total Revenue by Customer (bar), Orders by City (map), and Profit Margin by Month (bar/line).</w:t>
      </w:r>
    </w:p>
    <w:p w14:paraId="0BE51CD2">
      <w:pPr>
        <w:spacing w:before="80" w:after="120" w:line="360" w:lineRule="auto"/>
        <w:jc w:val="both"/>
      </w:pPr>
      <w:r>
        <w:rPr>
          <w:rFonts w:ascii="Arial" w:hAnsi="Arial" w:eastAsia="Arial" w:cs="Arial"/>
          <w:b w:val="0"/>
          <w:bCs w:val="0"/>
          <w:i w:val="0"/>
          <w:iCs w:val="0"/>
          <w:color w:val="212121"/>
          <w:sz w:val="22"/>
          <w:szCs w:val="22"/>
        </w:rPr>
        <w:t>The project does not cover real-time data streaming, predictive modeling, or machine learning components, though recommendations for future enhancement in these areas are provided.</w:t>
      </w:r>
    </w:p>
    <w:p w14:paraId="738AE9F0">
      <w:pPr>
        <w:pStyle w:val="3"/>
        <w:spacing w:before="280" w:after="160"/>
      </w:pPr>
      <w:bookmarkStart w:id="11" w:name="_Toc21258"/>
      <w:r>
        <w:rPr>
          <w:rFonts w:ascii="Arial" w:hAnsi="Arial" w:eastAsia="Arial" w:cs="Arial"/>
          <w:b/>
          <w:bCs/>
          <w:color w:val="1565C0"/>
          <w:sz w:val="28"/>
          <w:szCs w:val="28"/>
        </w:rPr>
        <w:t>1.5 Organization of the Report</w:t>
      </w:r>
      <w:bookmarkEnd w:id="11"/>
    </w:p>
    <w:p w14:paraId="231E13CD">
      <w:pPr>
        <w:spacing w:before="80" w:after="120" w:line="360" w:lineRule="auto"/>
        <w:jc w:val="both"/>
      </w:pPr>
      <w:r>
        <w:rPr>
          <w:rFonts w:ascii="Arial" w:hAnsi="Arial" w:eastAsia="Arial" w:cs="Arial"/>
          <w:b w:val="0"/>
          <w:bCs w:val="0"/>
          <w:i w:val="0"/>
          <w:iCs w:val="0"/>
          <w:color w:val="212121"/>
          <w:sz w:val="22"/>
          <w:szCs w:val="22"/>
        </w:rPr>
        <w:t>This report is organized into nine chapters as follows:</w:t>
      </w:r>
    </w:p>
    <w:p w14:paraId="49DE3B21">
      <w:pPr>
        <w:pStyle w:val="20"/>
        <w:numPr>
          <w:ilvl w:val="0"/>
          <w:numId w:val="2"/>
        </w:numPr>
        <w:spacing w:before="60" w:after="60" w:line="320" w:lineRule="auto"/>
      </w:pPr>
      <w:r>
        <w:rPr>
          <w:rFonts w:ascii="Arial" w:hAnsi="Arial" w:eastAsia="Arial" w:cs="Arial"/>
          <w:color w:val="212121"/>
          <w:sz w:val="22"/>
          <w:szCs w:val="22"/>
        </w:rPr>
        <w:t>Chapter 1 – Introduction: Provides background, problem statement, objectives, and scope.</w:t>
      </w:r>
    </w:p>
    <w:p w14:paraId="32BE042C">
      <w:pPr>
        <w:pStyle w:val="20"/>
        <w:numPr>
          <w:ilvl w:val="0"/>
          <w:numId w:val="2"/>
        </w:numPr>
        <w:spacing w:before="60" w:after="60" w:line="320" w:lineRule="auto"/>
      </w:pPr>
      <w:r>
        <w:rPr>
          <w:rFonts w:ascii="Arial" w:hAnsi="Arial" w:eastAsia="Arial" w:cs="Arial"/>
          <w:color w:val="212121"/>
          <w:sz w:val="22"/>
          <w:szCs w:val="22"/>
        </w:rPr>
        <w:t>Chapter 2 – Literature Review: Reviews related works in e-commerce analytics and BI systems.</w:t>
      </w:r>
    </w:p>
    <w:p w14:paraId="26BD4C88">
      <w:pPr>
        <w:pStyle w:val="20"/>
        <w:numPr>
          <w:ilvl w:val="0"/>
          <w:numId w:val="2"/>
        </w:numPr>
        <w:spacing w:before="60" w:after="60" w:line="320" w:lineRule="auto"/>
      </w:pPr>
      <w:r>
        <w:rPr>
          <w:rFonts w:ascii="Arial" w:hAnsi="Arial" w:eastAsia="Arial" w:cs="Arial"/>
          <w:color w:val="212121"/>
          <w:sz w:val="22"/>
          <w:szCs w:val="22"/>
        </w:rPr>
        <w:t>Chapter 3 – Dataset Description and Analysis: Details the data sources, structure, and exploratory statistics.</w:t>
      </w:r>
    </w:p>
    <w:p w14:paraId="59D87808">
      <w:pPr>
        <w:pStyle w:val="20"/>
        <w:numPr>
          <w:ilvl w:val="0"/>
          <w:numId w:val="2"/>
        </w:numPr>
        <w:spacing w:before="60" w:after="60" w:line="320" w:lineRule="auto"/>
      </w:pPr>
      <w:r>
        <w:rPr>
          <w:rFonts w:ascii="Arial" w:hAnsi="Arial" w:eastAsia="Arial" w:cs="Arial"/>
          <w:color w:val="212121"/>
          <w:sz w:val="22"/>
          <w:szCs w:val="22"/>
        </w:rPr>
        <w:t>Chapter 4 – System Design: Covers database schema, data warehouse design, and system architecture.</w:t>
      </w:r>
    </w:p>
    <w:p w14:paraId="5EFF4803">
      <w:pPr>
        <w:pStyle w:val="20"/>
        <w:numPr>
          <w:ilvl w:val="0"/>
          <w:numId w:val="2"/>
        </w:numPr>
        <w:spacing w:before="60" w:after="60" w:line="320" w:lineRule="auto"/>
      </w:pPr>
      <w:r>
        <w:rPr>
          <w:rFonts w:ascii="Arial" w:hAnsi="Arial" w:eastAsia="Arial" w:cs="Arial"/>
          <w:color w:val="212121"/>
          <w:sz w:val="22"/>
          <w:szCs w:val="22"/>
        </w:rPr>
        <w:t>Chapter 5 – Dashboard Design and Visualization: Describes each dashboard visualization in detail.</w:t>
      </w:r>
    </w:p>
    <w:p w14:paraId="6F9E4160">
      <w:pPr>
        <w:pStyle w:val="20"/>
        <w:numPr>
          <w:ilvl w:val="0"/>
          <w:numId w:val="2"/>
        </w:numPr>
        <w:spacing w:before="60" w:after="60" w:line="320" w:lineRule="auto"/>
      </w:pPr>
      <w:r>
        <w:rPr>
          <w:rFonts w:ascii="Arial" w:hAnsi="Arial" w:eastAsia="Arial" w:cs="Arial"/>
          <w:color w:val="212121"/>
          <w:sz w:val="22"/>
          <w:szCs w:val="22"/>
        </w:rPr>
        <w:t>Chapter 6 – Analytical Findings and Insights: Presents the business intelligence findings from each chart.</w:t>
      </w:r>
    </w:p>
    <w:p w14:paraId="05F05F6E">
      <w:pPr>
        <w:pStyle w:val="20"/>
        <w:numPr>
          <w:ilvl w:val="0"/>
          <w:numId w:val="2"/>
        </w:numPr>
        <w:spacing w:before="60" w:after="60" w:line="320" w:lineRule="auto"/>
      </w:pPr>
      <w:r>
        <w:rPr>
          <w:rFonts w:ascii="Arial" w:hAnsi="Arial" w:eastAsia="Arial" w:cs="Arial"/>
          <w:color w:val="212121"/>
          <w:sz w:val="22"/>
          <w:szCs w:val="22"/>
        </w:rPr>
        <w:t>Chapter 7 – Technology Stack: Documents all tools, frameworks, and technologies used.</w:t>
      </w:r>
    </w:p>
    <w:p w14:paraId="3EF36C40">
      <w:pPr>
        <w:pStyle w:val="20"/>
        <w:numPr>
          <w:ilvl w:val="0"/>
          <w:numId w:val="2"/>
        </w:numPr>
        <w:spacing w:before="60" w:after="60" w:line="320" w:lineRule="auto"/>
      </w:pPr>
      <w:r>
        <w:rPr>
          <w:rFonts w:ascii="Arial" w:hAnsi="Arial" w:eastAsia="Arial" w:cs="Arial"/>
          <w:color w:val="212121"/>
          <w:sz w:val="22"/>
          <w:szCs w:val="22"/>
        </w:rPr>
        <w:t>Chapter 8 – Testing and Validation: Covers data quality checks and dashboard validation.</w:t>
      </w:r>
    </w:p>
    <w:p w14:paraId="6258FD1A">
      <w:pPr>
        <w:pStyle w:val="20"/>
        <w:numPr>
          <w:ilvl w:val="0"/>
          <w:numId w:val="2"/>
        </w:numPr>
        <w:spacing w:before="60" w:after="60" w:line="320" w:lineRule="auto"/>
      </w:pPr>
      <w:r>
        <w:rPr>
          <w:rFonts w:ascii="Arial" w:hAnsi="Arial" w:eastAsia="Arial" w:cs="Arial"/>
          <w:color w:val="212121"/>
          <w:sz w:val="22"/>
          <w:szCs w:val="22"/>
        </w:rPr>
        <w:t>Chapter 9 – Conclusion and Future Work: Summarizes findings and suggests enhancements.</w:t>
      </w:r>
    </w:p>
    <w:p w14:paraId="6F652D29">
      <w:r>
        <w:br w:type="page"/>
      </w:r>
    </w:p>
    <w:p w14:paraId="018F0152">
      <w:pPr>
        <w:pStyle w:val="2"/>
        <w:pBdr>
          <w:bottom w:val="single" w:color="1565C0" w:sz="8" w:space="4"/>
        </w:pBdr>
        <w:spacing w:before="360" w:after="200"/>
        <w:jc w:val="center"/>
      </w:pPr>
      <w:bookmarkStart w:id="12" w:name="_Toc11923"/>
      <w:r>
        <w:rPr>
          <w:rFonts w:ascii="Arial" w:hAnsi="Arial" w:eastAsia="Arial" w:cs="Arial"/>
          <w:b/>
          <w:bCs/>
          <w:color w:val="1A237E"/>
          <w:sz w:val="36"/>
          <w:szCs w:val="36"/>
        </w:rPr>
        <w:t>Chapter 2: Literature Review</w:t>
      </w:r>
      <w:bookmarkEnd w:id="12"/>
    </w:p>
    <w:p w14:paraId="76B53818">
      <w:pPr>
        <w:pStyle w:val="3"/>
        <w:spacing w:before="280" w:after="160"/>
      </w:pPr>
      <w:bookmarkStart w:id="13" w:name="_Toc10826"/>
      <w:r>
        <w:rPr>
          <w:rFonts w:ascii="Arial" w:hAnsi="Arial" w:eastAsia="Arial" w:cs="Arial"/>
          <w:b/>
          <w:bCs/>
          <w:color w:val="1565C0"/>
          <w:sz w:val="28"/>
          <w:szCs w:val="28"/>
        </w:rPr>
        <w:t>2.1 Evolution of Business Intelligence</w:t>
      </w:r>
      <w:bookmarkEnd w:id="13"/>
    </w:p>
    <w:p w14:paraId="1382B92C">
      <w:pPr>
        <w:spacing w:before="80" w:after="120" w:line="360" w:lineRule="auto"/>
        <w:jc w:val="both"/>
      </w:pPr>
      <w:r>
        <w:rPr>
          <w:rFonts w:ascii="Arial" w:hAnsi="Arial" w:eastAsia="Arial" w:cs="Arial"/>
          <w:b w:val="0"/>
          <w:bCs w:val="0"/>
          <w:i w:val="0"/>
          <w:iCs w:val="0"/>
          <w:color w:val="212121"/>
          <w:sz w:val="22"/>
          <w:szCs w:val="22"/>
        </w:rPr>
        <w:t>Business Intelligence as a formal discipline emerged in the 1960s when decision support systems began to be developed in academic and industrial settings. Howard Dresner, a Gartner analyst, is credited with popularizing the term 'Business Intelligence' in 1989, defining it as a set of concepts and methods to improve business decision-making using fact-based support systems. Since then, BI has evolved through several generations — from static reports and OLAP cubes in the 1990s, to interactive dashboards and self-service analytics in the 2000s, and now to AI-augmented and cloud-based platforms in the 2020s.</w:t>
      </w:r>
    </w:p>
    <w:p w14:paraId="31228410">
      <w:pPr>
        <w:spacing w:before="80" w:after="120" w:line="360" w:lineRule="auto"/>
        <w:jc w:val="both"/>
      </w:pPr>
      <w:r>
        <w:rPr>
          <w:rFonts w:ascii="Arial" w:hAnsi="Arial" w:eastAsia="Arial" w:cs="Arial"/>
          <w:b w:val="0"/>
          <w:bCs w:val="0"/>
          <w:i w:val="0"/>
          <w:iCs w:val="0"/>
          <w:color w:val="212121"/>
          <w:sz w:val="22"/>
          <w:szCs w:val="22"/>
        </w:rPr>
        <w:t>Modern BI platforms such as Microsoft Power BI, Tableau, and Looker have democratized data analytics by enabling non-technical business users to create sophisticated visualizations and reports through drag-and-drop interfaces. The integration of these platforms with columnar databases, in-memory analytics engines, and cloud data warehouses has made real-time analytics at scale achievable for enterprises of all sizes.</w:t>
      </w:r>
    </w:p>
    <w:p w14:paraId="0EDB01EE">
      <w:pPr>
        <w:pStyle w:val="3"/>
        <w:spacing w:before="280" w:after="160"/>
      </w:pPr>
      <w:bookmarkStart w:id="14" w:name="_Toc32283"/>
      <w:r>
        <w:rPr>
          <w:rFonts w:ascii="Arial" w:hAnsi="Arial" w:eastAsia="Arial" w:cs="Arial"/>
          <w:b/>
          <w:bCs/>
          <w:color w:val="1565C0"/>
          <w:sz w:val="28"/>
          <w:szCs w:val="28"/>
        </w:rPr>
        <w:t>2.2 E-Commerce Analytics: Research Context</w:t>
      </w:r>
      <w:bookmarkEnd w:id="14"/>
    </w:p>
    <w:p w14:paraId="403915CD">
      <w:pPr>
        <w:spacing w:before="80" w:after="120" w:line="360" w:lineRule="auto"/>
        <w:jc w:val="both"/>
      </w:pPr>
      <w:r>
        <w:rPr>
          <w:rFonts w:ascii="Arial" w:hAnsi="Arial" w:eastAsia="Arial" w:cs="Arial"/>
          <w:b w:val="0"/>
          <w:bCs w:val="0"/>
          <w:i w:val="0"/>
          <w:iCs w:val="0"/>
          <w:color w:val="212121"/>
          <w:sz w:val="22"/>
          <w:szCs w:val="22"/>
        </w:rPr>
        <w:t>The intersection of e-commerce and data analytics has attracted significant academic attention. Lim et al. (2014) highlighted the importance of customer analytics in online retail, showing that behavioral data analysis can improve recommendation accuracy by up to 35%. Chen and Soo (2018) demonstrated that geographic sales analytics in e-commerce platforms enabled better warehouse placement decisions, reducing average delivery time by 18% in a large-scale study.</w:t>
      </w:r>
    </w:p>
    <w:p w14:paraId="068E668F">
      <w:pPr>
        <w:spacing w:before="80" w:after="120" w:line="360" w:lineRule="auto"/>
        <w:jc w:val="both"/>
      </w:pPr>
      <w:r>
        <w:rPr>
          <w:rFonts w:ascii="Arial" w:hAnsi="Arial" w:eastAsia="Arial" w:cs="Arial"/>
          <w:b w:val="0"/>
          <w:bCs w:val="0"/>
          <w:i w:val="0"/>
          <w:iCs w:val="0"/>
          <w:color w:val="212121"/>
          <w:sz w:val="22"/>
          <w:szCs w:val="22"/>
        </w:rPr>
        <w:t>In the Indian e-commerce context, Sharma and Gupta (2020) analyzed the payment mode preferences of Indian online shoppers, finding that despite the growth of digital payments post-demonetization, Cash on Delivery remained the dominant mode in tier-II and tier-III cities due to trust deficits in digital payment systems. This finding aligns with the COD dominance (44%) observed in our dataset.</w:t>
      </w:r>
    </w:p>
    <w:p w14:paraId="51F0CBDA">
      <w:pPr>
        <w:spacing w:before="80" w:after="120" w:line="360" w:lineRule="auto"/>
        <w:jc w:val="both"/>
        <w:rPr>
          <w:rFonts w:ascii="Arial" w:hAnsi="Arial" w:eastAsia="Arial" w:cs="Arial"/>
          <w:b w:val="0"/>
          <w:bCs w:val="0"/>
          <w:i w:val="0"/>
          <w:iCs w:val="0"/>
          <w:color w:val="212121"/>
          <w:sz w:val="22"/>
          <w:szCs w:val="22"/>
        </w:rPr>
      </w:pPr>
      <w:r>
        <w:rPr>
          <w:rFonts w:ascii="Arial" w:hAnsi="Arial" w:eastAsia="Arial" w:cs="Arial"/>
          <w:b w:val="0"/>
          <w:bCs w:val="0"/>
          <w:i w:val="0"/>
          <w:iCs w:val="0"/>
          <w:color w:val="212121"/>
          <w:sz w:val="22"/>
          <w:szCs w:val="22"/>
        </w:rPr>
        <w:t>Research by Aggarwal et al. (2021) on seasonal sales patterns in Indian e-commerce found that festive months (October-November) typically show higher order volumes but variable profit margins due to heavy discounting. Our dataset for 2018 indeed shows high order activity in October-November but with compressed margins, validating this academic finding.</w:t>
      </w:r>
    </w:p>
    <w:p w14:paraId="7F62B92F">
      <w:pPr>
        <w:spacing w:before="80" w:after="120" w:line="360" w:lineRule="auto"/>
        <w:jc w:val="both"/>
        <w:rPr>
          <w:rFonts w:ascii="Arial" w:hAnsi="Arial" w:eastAsia="Arial" w:cs="Arial"/>
          <w:b w:val="0"/>
          <w:bCs w:val="0"/>
          <w:i w:val="0"/>
          <w:iCs w:val="0"/>
          <w:color w:val="212121"/>
          <w:sz w:val="22"/>
          <w:szCs w:val="22"/>
        </w:rPr>
      </w:pPr>
    </w:p>
    <w:p w14:paraId="313C5085">
      <w:pPr>
        <w:pStyle w:val="3"/>
        <w:spacing w:before="280" w:after="160"/>
      </w:pPr>
      <w:bookmarkStart w:id="15" w:name="_Toc6139"/>
      <w:r>
        <w:rPr>
          <w:rFonts w:ascii="Arial" w:hAnsi="Arial" w:eastAsia="Arial" w:cs="Arial"/>
          <w:b/>
          <w:bCs/>
          <w:color w:val="1565C0"/>
          <w:sz w:val="28"/>
          <w:szCs w:val="28"/>
        </w:rPr>
        <w:t>2.3 Power BI as a Business Intelligence Platform</w:t>
      </w:r>
      <w:bookmarkEnd w:id="15"/>
    </w:p>
    <w:p w14:paraId="0D0A1078">
      <w:pPr>
        <w:spacing w:before="80" w:after="120" w:line="360" w:lineRule="auto"/>
        <w:jc w:val="both"/>
      </w:pPr>
      <w:r>
        <w:rPr>
          <w:rFonts w:ascii="Arial" w:hAnsi="Arial" w:eastAsia="Arial" w:cs="Arial"/>
          <w:b w:val="0"/>
          <w:bCs w:val="0"/>
          <w:i w:val="0"/>
          <w:iCs w:val="0"/>
          <w:color w:val="212121"/>
          <w:sz w:val="22"/>
          <w:szCs w:val="22"/>
        </w:rPr>
        <w:t>Microsoft Power BI, launched in 2015 as a standalone product, has rapidly become one of the leading BI platforms globally. According to Gartner's Magic Quadrant for Analytics and Business Intelligence Platforms (2023), Microsoft Power BI has maintained its position as a leader for multiple consecutive years, recognized for its completeness of vision and ability to execute.</w:t>
      </w:r>
    </w:p>
    <w:p w14:paraId="728BEAC1">
      <w:pPr>
        <w:spacing w:before="80" w:after="120" w:line="360" w:lineRule="auto"/>
        <w:jc w:val="both"/>
      </w:pPr>
      <w:r>
        <w:rPr>
          <w:rFonts w:ascii="Arial" w:hAnsi="Arial" w:eastAsia="Arial" w:cs="Arial"/>
          <w:b w:val="0"/>
          <w:bCs w:val="0"/>
          <w:i w:val="0"/>
          <w:iCs w:val="0"/>
          <w:color w:val="212121"/>
          <w:sz w:val="22"/>
          <w:szCs w:val="22"/>
        </w:rPr>
        <w:t>Power BI's DAX (Data Analysis Expressions) language enables sophisticated calculated measures and time-intelligence functions. Its DirectQuery and Import modes support both real-time and batch analytics scenarios. The platform's integration with the broader Microsoft ecosystem — including Azure Synapse Analytics, Excel, and SharePoint — makes it particularly suitable for enterprise deployments.</w:t>
      </w:r>
    </w:p>
    <w:p w14:paraId="145C8552">
      <w:pPr>
        <w:spacing w:before="80" w:after="120" w:line="360" w:lineRule="auto"/>
        <w:jc w:val="both"/>
      </w:pPr>
      <w:r>
        <w:rPr>
          <w:rFonts w:ascii="Arial" w:hAnsi="Arial" w:eastAsia="Arial" w:cs="Arial"/>
          <w:b w:val="0"/>
          <w:bCs w:val="0"/>
          <w:i w:val="0"/>
          <w:iCs w:val="0"/>
          <w:color w:val="212121"/>
          <w:sz w:val="22"/>
          <w:szCs w:val="22"/>
        </w:rPr>
        <w:t>For e-commerce analytics specifically, Power BI's Bing Maps integration enables geospatial visualization of orders and revenue by city and state — a critical capability for understanding geographic market penetration, which is a central analytical component of this project.</w:t>
      </w:r>
    </w:p>
    <w:p w14:paraId="2127FFDC">
      <w:pPr>
        <w:pStyle w:val="3"/>
        <w:spacing w:before="280" w:after="160"/>
      </w:pPr>
      <w:bookmarkStart w:id="16" w:name="_Toc3030"/>
      <w:r>
        <w:rPr>
          <w:rFonts w:ascii="Arial" w:hAnsi="Arial" w:eastAsia="Arial" w:cs="Arial"/>
          <w:b/>
          <w:bCs/>
          <w:color w:val="1565C0"/>
          <w:sz w:val="28"/>
          <w:szCs w:val="28"/>
        </w:rPr>
        <w:t>2.4 Data Warehouse Design for Retail Analytics</w:t>
      </w:r>
      <w:bookmarkEnd w:id="16"/>
    </w:p>
    <w:p w14:paraId="37228EA7">
      <w:pPr>
        <w:spacing w:before="80" w:after="120" w:line="360" w:lineRule="auto"/>
        <w:jc w:val="both"/>
      </w:pPr>
      <w:r>
        <w:rPr>
          <w:rFonts w:ascii="Arial" w:hAnsi="Arial" w:eastAsia="Arial" w:cs="Arial"/>
          <w:b w:val="0"/>
          <w:bCs w:val="0"/>
          <w:i w:val="0"/>
          <w:iCs w:val="0"/>
          <w:color w:val="212121"/>
          <w:sz w:val="22"/>
          <w:szCs w:val="22"/>
        </w:rPr>
        <w:t>The Star Schema, proposed by Ralph Kimball in 'The Data Warehouse Toolkit' (1996), remains the dominant design pattern for analytical data warehouses in retail and e-commerce contexts. The schema organizes data around a central Fact table (e.g., order transactions) surrounded by Dimension tables (customers, products, dates, locations), enabling fast aggregation queries essential for interactive dashboard performance.</w:t>
      </w:r>
    </w:p>
    <w:p w14:paraId="1A6D8B82">
      <w:pPr>
        <w:spacing w:before="80" w:after="120" w:line="360" w:lineRule="auto"/>
        <w:jc w:val="both"/>
      </w:pPr>
      <w:r>
        <w:rPr>
          <w:rFonts w:ascii="Arial" w:hAnsi="Arial" w:eastAsia="Arial" w:cs="Arial"/>
          <w:b w:val="0"/>
          <w:bCs w:val="0"/>
          <w:i w:val="0"/>
          <w:iCs w:val="0"/>
          <w:color w:val="212121"/>
          <w:sz w:val="22"/>
          <w:szCs w:val="22"/>
        </w:rPr>
        <w:t>Research by Inmon and Linstedt (2015) compared Star Schema and Data Vault approaches for retail analytics, concluding that Star Schemas offer superior query performance for standard BI workloads while Data Vaults provide better auditability for high-change-rate environments. For the scale and requirements of this project — batch analytics on a static 2018 dataset — the Star Schema approach is well-justified.</w:t>
      </w:r>
    </w:p>
    <w:p w14:paraId="26C61E91">
      <w:pPr>
        <w:pStyle w:val="3"/>
        <w:spacing w:before="280" w:after="160"/>
      </w:pPr>
      <w:bookmarkStart w:id="17" w:name="_Toc10114"/>
      <w:r>
        <w:rPr>
          <w:rFonts w:ascii="Arial" w:hAnsi="Arial" w:eastAsia="Arial" w:cs="Arial"/>
          <w:b/>
          <w:bCs/>
          <w:color w:val="1565C0"/>
          <w:sz w:val="28"/>
          <w:szCs w:val="28"/>
        </w:rPr>
        <w:t>2.5 KPIs in E-Commerce Performance Measurement</w:t>
      </w:r>
      <w:bookmarkEnd w:id="17"/>
    </w:p>
    <w:p w14:paraId="165C49BC">
      <w:pPr>
        <w:spacing w:before="80" w:after="120" w:line="360" w:lineRule="auto"/>
        <w:jc w:val="both"/>
      </w:pPr>
      <w:r>
        <w:rPr>
          <w:rFonts w:ascii="Arial" w:hAnsi="Arial" w:eastAsia="Arial" w:cs="Arial"/>
          <w:b w:val="0"/>
          <w:bCs w:val="0"/>
          <w:i w:val="0"/>
          <w:iCs w:val="0"/>
          <w:color w:val="212121"/>
          <w:sz w:val="22"/>
          <w:szCs w:val="22"/>
        </w:rPr>
        <w:t>Key Performance Indicators (KPIs) form the backbone of business intelligence dashboards. In e-commerce, critical KPIs include Total Revenue (gross merchandise value), Profit Margin (net after cost), Average Order Value (AOV), Order Count, and Customer Lifetime Value (CLV). Mckinsey's retail analytics framework (2019) identifies these metrics as the primary levers for e-commerce profitability management.</w:t>
      </w:r>
    </w:p>
    <w:p w14:paraId="3CE77D8F">
      <w:pPr>
        <w:spacing w:before="80" w:after="120" w:line="360" w:lineRule="auto"/>
        <w:jc w:val="both"/>
      </w:pPr>
      <w:r>
        <w:rPr>
          <w:rFonts w:ascii="Arial" w:hAnsi="Arial" w:eastAsia="Arial" w:cs="Arial"/>
          <w:b w:val="0"/>
          <w:bCs w:val="0"/>
          <w:i w:val="0"/>
          <w:iCs w:val="0"/>
          <w:color w:val="212121"/>
          <w:sz w:val="22"/>
          <w:szCs w:val="22"/>
        </w:rPr>
        <w:t>The four KPI cards featured in the Power BI dashboard of this project — Total Revenue (438K), Profit Margin (37K), Orders Count (500), and AOV (121K) — directly correspond to these internationally recognized e-commerce performance benchmarks, grounding the project in established business analytics methodology.</w:t>
      </w:r>
    </w:p>
    <w:p w14:paraId="298BDDDA">
      <w:pPr>
        <w:pStyle w:val="3"/>
        <w:spacing w:before="280" w:after="160"/>
      </w:pPr>
      <w:bookmarkStart w:id="18" w:name="_Toc31666"/>
      <w:r>
        <w:rPr>
          <w:rFonts w:ascii="Arial" w:hAnsi="Arial" w:eastAsia="Arial" w:cs="Arial"/>
          <w:b/>
          <w:bCs/>
          <w:color w:val="1565C0"/>
          <w:sz w:val="28"/>
          <w:szCs w:val="28"/>
        </w:rPr>
        <w:t>2.6 Geospatial Analytics in Indian E-Commerce</w:t>
      </w:r>
      <w:bookmarkEnd w:id="18"/>
    </w:p>
    <w:p w14:paraId="4F16C5F6">
      <w:pPr>
        <w:spacing w:before="80" w:after="120" w:line="360" w:lineRule="auto"/>
        <w:jc w:val="both"/>
      </w:pPr>
      <w:r>
        <w:rPr>
          <w:rFonts w:ascii="Arial" w:hAnsi="Arial" w:eastAsia="Arial" w:cs="Arial"/>
          <w:b w:val="0"/>
          <w:bCs w:val="0"/>
          <w:i w:val="0"/>
          <w:iCs w:val="0"/>
          <w:color w:val="212121"/>
          <w:sz w:val="22"/>
          <w:szCs w:val="22"/>
        </w:rPr>
        <w:t>India's geographic diversity — spanning 28 states and 8 union territories with vastly different economic profiles, infrastructure levels, and digital adoption rates — makes geospatial analytics particularly valuable for e-commerce players. Maharashtra, with its financial capital Mumbai, consistently leads e-commerce revenue metrics in academic studies of Indian online retail. Our dataset corroborates this, with Maharashtra contributing INR 102K (approximately 23%) of total platform revenue.</w:t>
      </w:r>
    </w:p>
    <w:p w14:paraId="4718DD10">
      <w:pPr>
        <w:spacing w:before="80" w:after="120" w:line="360" w:lineRule="auto"/>
        <w:jc w:val="both"/>
      </w:pPr>
      <w:r>
        <w:rPr>
          <w:rFonts w:ascii="Arial" w:hAnsi="Arial" w:eastAsia="Arial" w:cs="Arial"/>
          <w:b w:val="0"/>
          <w:bCs w:val="0"/>
          <w:i w:val="0"/>
          <w:iCs w:val="0"/>
          <w:color w:val="212121"/>
          <w:sz w:val="22"/>
          <w:szCs w:val="22"/>
        </w:rPr>
        <w:t>Madhya Pradesh's second-place position in our dataset (INR 87K) is noteworthy and may reflect strong penetration in tier-II cities like Indore and Bhopal, which are increasingly significant e-commerce markets. This aligns with findings by FICCI-KPMG (2021) on the rise of tier-II city e-commerce in India.</w:t>
      </w:r>
    </w:p>
    <w:p w14:paraId="7ABE40C6">
      <w:r>
        <w:br w:type="page"/>
      </w:r>
    </w:p>
    <w:p w14:paraId="46A57EA7">
      <w:pPr>
        <w:pStyle w:val="2"/>
        <w:pBdr>
          <w:bottom w:val="single" w:color="1565C0" w:sz="8" w:space="4"/>
        </w:pBdr>
        <w:spacing w:before="360" w:after="200"/>
        <w:jc w:val="center"/>
      </w:pPr>
      <w:bookmarkStart w:id="19" w:name="_Toc8885"/>
      <w:r>
        <w:rPr>
          <w:rFonts w:ascii="Arial" w:hAnsi="Arial" w:eastAsia="Arial" w:cs="Arial"/>
          <w:b/>
          <w:bCs/>
          <w:color w:val="1A237E"/>
          <w:sz w:val="36"/>
          <w:szCs w:val="36"/>
        </w:rPr>
        <w:t>Chapter 3: Dataset Description and Analysis</w:t>
      </w:r>
      <w:bookmarkEnd w:id="19"/>
    </w:p>
    <w:p w14:paraId="0774A360">
      <w:pPr>
        <w:pStyle w:val="3"/>
        <w:spacing w:before="280" w:after="160"/>
      </w:pPr>
      <w:bookmarkStart w:id="20" w:name="_Toc14180"/>
      <w:r>
        <w:rPr>
          <w:rFonts w:ascii="Arial" w:hAnsi="Arial" w:eastAsia="Arial" w:cs="Arial"/>
          <w:b/>
          <w:bCs/>
          <w:color w:val="1565C0"/>
          <w:sz w:val="28"/>
          <w:szCs w:val="28"/>
        </w:rPr>
        <w:t>3.1 Data Sources and Collection</w:t>
      </w:r>
      <w:bookmarkEnd w:id="20"/>
    </w:p>
    <w:p w14:paraId="010E73CD">
      <w:pPr>
        <w:spacing w:before="80" w:after="120" w:line="360" w:lineRule="auto"/>
        <w:jc w:val="both"/>
      </w:pPr>
      <w:r>
        <w:rPr>
          <w:rFonts w:ascii="Arial" w:hAnsi="Arial" w:eastAsia="Arial" w:cs="Arial"/>
          <w:b w:val="0"/>
          <w:bCs w:val="0"/>
          <w:i w:val="0"/>
          <w:iCs w:val="0"/>
          <w:color w:val="212121"/>
          <w:sz w:val="22"/>
          <w:szCs w:val="22"/>
        </w:rPr>
        <w:t>The project utilizes two primary data files representing an e-commerce transaction database for the calendar year 2018: Orders.csv and Details.csv. These files were provided as structured CSV (Comma-Separated Values) datasets and represent a realistic simulation of an Indian e-commerce platform's transactional records.</w:t>
      </w:r>
    </w:p>
    <w:p w14:paraId="1530652E">
      <w:pPr>
        <w:spacing w:before="80" w:after="120" w:line="360" w:lineRule="auto"/>
        <w:jc w:val="both"/>
      </w:pPr>
      <w:r>
        <w:rPr>
          <w:rFonts w:ascii="Arial" w:hAnsi="Arial" w:eastAsia="Arial" w:cs="Arial"/>
          <w:b w:val="0"/>
          <w:bCs w:val="0"/>
          <w:i w:val="0"/>
          <w:iCs w:val="0"/>
          <w:color w:val="212121"/>
          <w:sz w:val="22"/>
          <w:szCs w:val="22"/>
        </w:rPr>
        <w:t>Additionally, a Power BI report file (E-Commerce_Sales_Dashboard.pbix) and a SQL schema definition file (code.sql) are included in the project deliverables, providing the complete technical stack from raw data through dashboard visualization.</w:t>
      </w:r>
    </w:p>
    <w:p w14:paraId="47B01C3C">
      <w:pPr>
        <w:pStyle w:val="3"/>
        <w:spacing w:before="280" w:after="160"/>
      </w:pPr>
      <w:bookmarkStart w:id="21" w:name="_Toc16093"/>
      <w:r>
        <w:rPr>
          <w:rFonts w:ascii="Arial" w:hAnsi="Arial" w:eastAsia="Arial" w:cs="Arial"/>
          <w:b/>
          <w:bCs/>
          <w:color w:val="1565C0"/>
          <w:sz w:val="28"/>
          <w:szCs w:val="28"/>
        </w:rPr>
        <w:t>3.2 Dataset Structure and Schema</w:t>
      </w:r>
      <w:bookmarkEnd w:id="21"/>
    </w:p>
    <w:p w14:paraId="1273D87A">
      <w:pPr>
        <w:spacing w:before="80" w:after="120" w:line="360" w:lineRule="auto"/>
        <w:jc w:val="both"/>
      </w:pPr>
      <w:r>
        <w:rPr>
          <w:rFonts w:ascii="Arial" w:hAnsi="Arial" w:eastAsia="Arial" w:cs="Arial"/>
          <w:b w:val="0"/>
          <w:bCs w:val="0"/>
          <w:i w:val="0"/>
          <w:iCs w:val="0"/>
          <w:color w:val="212121"/>
          <w:sz w:val="22"/>
          <w:szCs w:val="22"/>
        </w:rPr>
        <w:t>The Orders.csv file contains 500 unique order records with the following fields: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000"/>
        <w:gridCol w:w="5160"/>
      </w:tblGrid>
      <w:tr w14:paraId="4CC09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BDBD" w:sz="0" w:space="0"/>
              <w:left w:val="single" w:color="BDBDBD" w:sz="0" w:space="0"/>
              <w:bottom w:val="single" w:color="BDBDBD" w:sz="0" w:space="0"/>
              <w:right w:val="single" w:color="BDBDBD" w:sz="0" w:space="0"/>
            </w:tcBorders>
            <w:shd w:val="clear" w:color="auto" w:fill="1A237E"/>
            <w:tcMar>
              <w:top w:w="100" w:type="dxa"/>
              <w:left w:w="150" w:type="dxa"/>
              <w:bottom w:w="100" w:type="dxa"/>
              <w:right w:w="150" w:type="dxa"/>
            </w:tcMar>
            <w:vAlign w:val="center"/>
          </w:tcPr>
          <w:p w14:paraId="28626288">
            <w:pPr>
              <w:jc w:val="center"/>
            </w:pPr>
            <w:r>
              <w:rPr>
                <w:rFonts w:ascii="Arial" w:hAnsi="Arial" w:eastAsia="Arial" w:cs="Arial"/>
                <w:b/>
                <w:bCs/>
                <w:color w:val="FFFFFF"/>
                <w:sz w:val="20"/>
                <w:szCs w:val="20"/>
              </w:rPr>
              <w:t>Field Name</w:t>
            </w:r>
          </w:p>
        </w:tc>
        <w:tc>
          <w:tcPr>
            <w:tcW w:w="2000" w:type="dxa"/>
            <w:tcBorders>
              <w:top w:val="single" w:color="BDBDBD" w:sz="0" w:space="0"/>
              <w:left w:val="single" w:color="BDBDBD" w:sz="0" w:space="0"/>
              <w:bottom w:val="single" w:color="BDBDBD" w:sz="0" w:space="0"/>
              <w:right w:val="single" w:color="BDBDBD" w:sz="0" w:space="0"/>
            </w:tcBorders>
            <w:shd w:val="clear" w:color="auto" w:fill="1A237E"/>
            <w:tcMar>
              <w:top w:w="100" w:type="dxa"/>
              <w:left w:w="150" w:type="dxa"/>
              <w:bottom w:w="100" w:type="dxa"/>
              <w:right w:w="150" w:type="dxa"/>
            </w:tcMar>
            <w:vAlign w:val="center"/>
          </w:tcPr>
          <w:p w14:paraId="695AC77D">
            <w:pPr>
              <w:jc w:val="center"/>
            </w:pPr>
            <w:r>
              <w:rPr>
                <w:rFonts w:ascii="Arial" w:hAnsi="Arial" w:eastAsia="Arial" w:cs="Arial"/>
                <w:b/>
                <w:bCs/>
                <w:color w:val="FFFFFF"/>
                <w:sz w:val="20"/>
                <w:szCs w:val="20"/>
              </w:rPr>
              <w:t>Data Type</w:t>
            </w:r>
          </w:p>
        </w:tc>
        <w:tc>
          <w:tcPr>
            <w:tcW w:w="5160" w:type="dxa"/>
            <w:tcBorders>
              <w:top w:val="single" w:color="BDBDBD" w:sz="0" w:space="0"/>
              <w:left w:val="single" w:color="BDBDBD" w:sz="0" w:space="0"/>
              <w:bottom w:val="single" w:color="BDBDBD" w:sz="0" w:space="0"/>
              <w:right w:val="single" w:color="BDBDBD" w:sz="0" w:space="0"/>
            </w:tcBorders>
            <w:shd w:val="clear" w:color="auto" w:fill="1A237E"/>
            <w:tcMar>
              <w:top w:w="100" w:type="dxa"/>
              <w:left w:w="150" w:type="dxa"/>
              <w:bottom w:w="100" w:type="dxa"/>
              <w:right w:w="150" w:type="dxa"/>
            </w:tcMar>
            <w:vAlign w:val="center"/>
          </w:tcPr>
          <w:p w14:paraId="6B51B73F">
            <w:pPr>
              <w:jc w:val="center"/>
            </w:pPr>
            <w:r>
              <w:rPr>
                <w:rFonts w:ascii="Arial" w:hAnsi="Arial" w:eastAsia="Arial" w:cs="Arial"/>
                <w:b/>
                <w:bCs/>
                <w:color w:val="FFFFFF"/>
                <w:sz w:val="20"/>
                <w:szCs w:val="20"/>
              </w:rPr>
              <w:t>Description</w:t>
            </w:r>
          </w:p>
        </w:tc>
      </w:tr>
      <w:tr w14:paraId="10A20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4567AA1E">
            <w:pPr>
              <w:jc w:val="left"/>
            </w:pPr>
            <w:r>
              <w:rPr>
                <w:rFonts w:ascii="Arial" w:hAnsi="Arial" w:eastAsia="Arial" w:cs="Arial"/>
                <w:b/>
                <w:bCs/>
                <w:color w:val="212121"/>
                <w:sz w:val="19"/>
                <w:szCs w:val="19"/>
              </w:rPr>
              <w:t>Order ID</w:t>
            </w:r>
          </w:p>
        </w:tc>
        <w:tc>
          <w:tcPr>
            <w:tcW w:w="2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638F90BE">
            <w:pPr>
              <w:jc w:val="left"/>
            </w:pPr>
            <w:r>
              <w:rPr>
                <w:rFonts w:ascii="Arial" w:hAnsi="Arial" w:eastAsia="Arial" w:cs="Arial"/>
                <w:b w:val="0"/>
                <w:bCs w:val="0"/>
                <w:color w:val="212121"/>
                <w:sz w:val="19"/>
                <w:szCs w:val="19"/>
              </w:rPr>
              <w:t>VARCHAR(20)</w:t>
            </w:r>
          </w:p>
        </w:tc>
        <w:tc>
          <w:tcPr>
            <w:tcW w:w="51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5414D2E5">
            <w:pPr>
              <w:jc w:val="left"/>
            </w:pPr>
            <w:r>
              <w:rPr>
                <w:rFonts w:ascii="Arial" w:hAnsi="Arial" w:eastAsia="Arial" w:cs="Arial"/>
                <w:b w:val="0"/>
                <w:bCs w:val="0"/>
                <w:color w:val="212121"/>
                <w:sz w:val="19"/>
                <w:szCs w:val="19"/>
              </w:rPr>
              <w:t>Unique order identifier (format: B-XXXXX)</w:t>
            </w:r>
          </w:p>
        </w:tc>
      </w:tr>
      <w:tr w14:paraId="54661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52C08685">
            <w:pPr>
              <w:jc w:val="left"/>
            </w:pPr>
            <w:r>
              <w:rPr>
                <w:rFonts w:ascii="Arial" w:hAnsi="Arial" w:eastAsia="Arial" w:cs="Arial"/>
                <w:b/>
                <w:bCs/>
                <w:color w:val="212121"/>
                <w:sz w:val="19"/>
                <w:szCs w:val="19"/>
              </w:rPr>
              <w:t>Order Date</w:t>
            </w:r>
          </w:p>
        </w:tc>
        <w:tc>
          <w:tcPr>
            <w:tcW w:w="2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67B71A7C">
            <w:pPr>
              <w:jc w:val="left"/>
            </w:pPr>
            <w:r>
              <w:rPr>
                <w:rFonts w:ascii="Arial" w:hAnsi="Arial" w:eastAsia="Arial" w:cs="Arial"/>
                <w:b w:val="0"/>
                <w:bCs w:val="0"/>
                <w:color w:val="212121"/>
                <w:sz w:val="19"/>
                <w:szCs w:val="19"/>
              </w:rPr>
              <w:t>DATE</w:t>
            </w:r>
          </w:p>
        </w:tc>
        <w:tc>
          <w:tcPr>
            <w:tcW w:w="51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30655D03">
            <w:pPr>
              <w:jc w:val="left"/>
            </w:pPr>
            <w:r>
              <w:rPr>
                <w:rFonts w:ascii="Arial" w:hAnsi="Arial" w:eastAsia="Arial" w:cs="Arial"/>
                <w:b w:val="0"/>
                <w:bCs w:val="0"/>
                <w:color w:val="212121"/>
                <w:sz w:val="19"/>
                <w:szCs w:val="19"/>
              </w:rPr>
              <w:t>Date of order placement (DD-MM-YYYY format)</w:t>
            </w:r>
          </w:p>
        </w:tc>
      </w:tr>
      <w:tr w14:paraId="59B25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7035E8E9">
            <w:pPr>
              <w:jc w:val="left"/>
            </w:pPr>
            <w:r>
              <w:rPr>
                <w:rFonts w:ascii="Arial" w:hAnsi="Arial" w:eastAsia="Arial" w:cs="Arial"/>
                <w:b/>
                <w:bCs/>
                <w:color w:val="212121"/>
                <w:sz w:val="19"/>
                <w:szCs w:val="19"/>
              </w:rPr>
              <w:t>CustomerName</w:t>
            </w:r>
          </w:p>
        </w:tc>
        <w:tc>
          <w:tcPr>
            <w:tcW w:w="2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2320A261">
            <w:pPr>
              <w:jc w:val="left"/>
            </w:pPr>
            <w:r>
              <w:rPr>
                <w:rFonts w:ascii="Arial" w:hAnsi="Arial" w:eastAsia="Arial" w:cs="Arial"/>
                <w:b w:val="0"/>
                <w:bCs w:val="0"/>
                <w:color w:val="212121"/>
                <w:sz w:val="19"/>
                <w:szCs w:val="19"/>
              </w:rPr>
              <w:t>VARCHAR(100)</w:t>
            </w:r>
          </w:p>
        </w:tc>
        <w:tc>
          <w:tcPr>
            <w:tcW w:w="51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65A19803">
            <w:pPr>
              <w:jc w:val="left"/>
            </w:pPr>
            <w:r>
              <w:rPr>
                <w:rFonts w:ascii="Arial" w:hAnsi="Arial" w:eastAsia="Arial" w:cs="Arial"/>
                <w:b w:val="0"/>
                <w:bCs w:val="0"/>
                <w:color w:val="212121"/>
                <w:sz w:val="19"/>
                <w:szCs w:val="19"/>
              </w:rPr>
              <w:t>Name of the customer who placed the order</w:t>
            </w:r>
          </w:p>
        </w:tc>
      </w:tr>
      <w:tr w14:paraId="66515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086EB81C">
            <w:pPr>
              <w:jc w:val="left"/>
            </w:pPr>
            <w:r>
              <w:rPr>
                <w:rFonts w:ascii="Arial" w:hAnsi="Arial" w:eastAsia="Arial" w:cs="Arial"/>
                <w:b/>
                <w:bCs/>
                <w:color w:val="212121"/>
                <w:sz w:val="19"/>
                <w:szCs w:val="19"/>
              </w:rPr>
              <w:t>State</w:t>
            </w:r>
          </w:p>
        </w:tc>
        <w:tc>
          <w:tcPr>
            <w:tcW w:w="2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69557EB1">
            <w:pPr>
              <w:jc w:val="left"/>
            </w:pPr>
            <w:r>
              <w:rPr>
                <w:rFonts w:ascii="Arial" w:hAnsi="Arial" w:eastAsia="Arial" w:cs="Arial"/>
                <w:b w:val="0"/>
                <w:bCs w:val="0"/>
                <w:color w:val="212121"/>
                <w:sz w:val="19"/>
                <w:szCs w:val="19"/>
              </w:rPr>
              <w:t>VARCHAR(50)</w:t>
            </w:r>
          </w:p>
        </w:tc>
        <w:tc>
          <w:tcPr>
            <w:tcW w:w="51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1B761924">
            <w:pPr>
              <w:jc w:val="left"/>
            </w:pPr>
            <w:r>
              <w:rPr>
                <w:rFonts w:ascii="Arial" w:hAnsi="Arial" w:eastAsia="Arial" w:cs="Arial"/>
                <w:b w:val="0"/>
                <w:bCs w:val="0"/>
                <w:color w:val="212121"/>
                <w:sz w:val="19"/>
                <w:szCs w:val="19"/>
              </w:rPr>
              <w:t>Indian state of the customer's delivery address</w:t>
            </w:r>
          </w:p>
        </w:tc>
      </w:tr>
      <w:tr w14:paraId="6916E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6F76580A">
            <w:pPr>
              <w:jc w:val="left"/>
            </w:pPr>
            <w:r>
              <w:rPr>
                <w:rFonts w:ascii="Arial" w:hAnsi="Arial" w:eastAsia="Arial" w:cs="Arial"/>
                <w:b/>
                <w:bCs/>
                <w:color w:val="212121"/>
                <w:sz w:val="19"/>
                <w:szCs w:val="19"/>
              </w:rPr>
              <w:t>City</w:t>
            </w:r>
          </w:p>
        </w:tc>
        <w:tc>
          <w:tcPr>
            <w:tcW w:w="2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5095900D">
            <w:pPr>
              <w:jc w:val="left"/>
            </w:pPr>
            <w:r>
              <w:rPr>
                <w:rFonts w:ascii="Arial" w:hAnsi="Arial" w:eastAsia="Arial" w:cs="Arial"/>
                <w:b w:val="0"/>
                <w:bCs w:val="0"/>
                <w:color w:val="212121"/>
                <w:sz w:val="19"/>
                <w:szCs w:val="19"/>
              </w:rPr>
              <w:t>VARCHAR(50)</w:t>
            </w:r>
          </w:p>
        </w:tc>
        <w:tc>
          <w:tcPr>
            <w:tcW w:w="51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5C8514A3">
            <w:pPr>
              <w:jc w:val="left"/>
            </w:pPr>
            <w:r>
              <w:rPr>
                <w:rFonts w:ascii="Arial" w:hAnsi="Arial" w:eastAsia="Arial" w:cs="Arial"/>
                <w:b w:val="0"/>
                <w:bCs w:val="0"/>
                <w:color w:val="212121"/>
                <w:sz w:val="19"/>
                <w:szCs w:val="19"/>
              </w:rPr>
              <w:t>City of delivery within the state</w:t>
            </w:r>
          </w:p>
        </w:tc>
      </w:tr>
    </w:tbl>
    <w:p w14:paraId="1C9B0085">
      <w:pPr>
        <w:spacing w:before="60" w:after="60"/>
      </w:pPr>
    </w:p>
    <w:p w14:paraId="12058BA6">
      <w:pPr>
        <w:spacing w:before="80" w:after="120" w:line="360" w:lineRule="auto"/>
        <w:jc w:val="both"/>
      </w:pPr>
      <w:r>
        <w:rPr>
          <w:rFonts w:ascii="Arial" w:hAnsi="Arial" w:eastAsia="Arial" w:cs="Arial"/>
          <w:b w:val="0"/>
          <w:bCs w:val="0"/>
          <w:i w:val="0"/>
          <w:iCs w:val="0"/>
          <w:color w:val="212121"/>
          <w:sz w:val="22"/>
          <w:szCs w:val="22"/>
        </w:rPr>
        <w:t>The Details.csv file contains 1,501 line-item records (multiple items per order) with the following fields: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000"/>
        <w:gridCol w:w="5160"/>
      </w:tblGrid>
      <w:tr w14:paraId="269A4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BDBD" w:sz="0" w:space="0"/>
              <w:left w:val="single" w:color="BDBDBD" w:sz="0" w:space="0"/>
              <w:bottom w:val="single" w:color="BDBDBD" w:sz="0" w:space="0"/>
              <w:right w:val="single" w:color="BDBDBD" w:sz="0" w:space="0"/>
            </w:tcBorders>
            <w:shd w:val="clear" w:color="auto" w:fill="1A237E"/>
            <w:tcMar>
              <w:top w:w="100" w:type="dxa"/>
              <w:left w:w="150" w:type="dxa"/>
              <w:bottom w:w="100" w:type="dxa"/>
              <w:right w:w="150" w:type="dxa"/>
            </w:tcMar>
            <w:vAlign w:val="center"/>
          </w:tcPr>
          <w:p w14:paraId="598B037F">
            <w:pPr>
              <w:jc w:val="center"/>
            </w:pPr>
            <w:r>
              <w:rPr>
                <w:rFonts w:ascii="Arial" w:hAnsi="Arial" w:eastAsia="Arial" w:cs="Arial"/>
                <w:b/>
                <w:bCs/>
                <w:color w:val="FFFFFF"/>
                <w:sz w:val="20"/>
                <w:szCs w:val="20"/>
              </w:rPr>
              <w:t>Field Name</w:t>
            </w:r>
          </w:p>
        </w:tc>
        <w:tc>
          <w:tcPr>
            <w:tcW w:w="2000" w:type="dxa"/>
            <w:tcBorders>
              <w:top w:val="single" w:color="BDBDBD" w:sz="0" w:space="0"/>
              <w:left w:val="single" w:color="BDBDBD" w:sz="0" w:space="0"/>
              <w:bottom w:val="single" w:color="BDBDBD" w:sz="0" w:space="0"/>
              <w:right w:val="single" w:color="BDBDBD" w:sz="0" w:space="0"/>
            </w:tcBorders>
            <w:shd w:val="clear" w:color="auto" w:fill="1A237E"/>
            <w:tcMar>
              <w:top w:w="100" w:type="dxa"/>
              <w:left w:w="150" w:type="dxa"/>
              <w:bottom w:w="100" w:type="dxa"/>
              <w:right w:w="150" w:type="dxa"/>
            </w:tcMar>
            <w:vAlign w:val="center"/>
          </w:tcPr>
          <w:p w14:paraId="6462EBDF">
            <w:pPr>
              <w:jc w:val="center"/>
            </w:pPr>
            <w:r>
              <w:rPr>
                <w:rFonts w:ascii="Arial" w:hAnsi="Arial" w:eastAsia="Arial" w:cs="Arial"/>
                <w:b/>
                <w:bCs/>
                <w:color w:val="FFFFFF"/>
                <w:sz w:val="20"/>
                <w:szCs w:val="20"/>
              </w:rPr>
              <w:t>Data Type</w:t>
            </w:r>
          </w:p>
        </w:tc>
        <w:tc>
          <w:tcPr>
            <w:tcW w:w="5160" w:type="dxa"/>
            <w:tcBorders>
              <w:top w:val="single" w:color="BDBDBD" w:sz="0" w:space="0"/>
              <w:left w:val="single" w:color="BDBDBD" w:sz="0" w:space="0"/>
              <w:bottom w:val="single" w:color="BDBDBD" w:sz="0" w:space="0"/>
              <w:right w:val="single" w:color="BDBDBD" w:sz="0" w:space="0"/>
            </w:tcBorders>
            <w:shd w:val="clear" w:color="auto" w:fill="1A237E"/>
            <w:tcMar>
              <w:top w:w="100" w:type="dxa"/>
              <w:left w:w="150" w:type="dxa"/>
              <w:bottom w:w="100" w:type="dxa"/>
              <w:right w:w="150" w:type="dxa"/>
            </w:tcMar>
            <w:vAlign w:val="center"/>
          </w:tcPr>
          <w:p w14:paraId="400E26BE">
            <w:pPr>
              <w:jc w:val="center"/>
            </w:pPr>
            <w:r>
              <w:rPr>
                <w:rFonts w:ascii="Arial" w:hAnsi="Arial" w:eastAsia="Arial" w:cs="Arial"/>
                <w:b/>
                <w:bCs/>
                <w:color w:val="FFFFFF"/>
                <w:sz w:val="20"/>
                <w:szCs w:val="20"/>
              </w:rPr>
              <w:t>Description</w:t>
            </w:r>
          </w:p>
        </w:tc>
      </w:tr>
      <w:tr w14:paraId="7485B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6ABFE45C">
            <w:pPr>
              <w:jc w:val="left"/>
            </w:pPr>
            <w:r>
              <w:rPr>
                <w:rFonts w:ascii="Arial" w:hAnsi="Arial" w:eastAsia="Arial" w:cs="Arial"/>
                <w:b/>
                <w:bCs/>
                <w:color w:val="212121"/>
                <w:sz w:val="19"/>
                <w:szCs w:val="19"/>
              </w:rPr>
              <w:t>Order ID</w:t>
            </w:r>
          </w:p>
        </w:tc>
        <w:tc>
          <w:tcPr>
            <w:tcW w:w="2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785B90B0">
            <w:pPr>
              <w:jc w:val="left"/>
            </w:pPr>
            <w:r>
              <w:rPr>
                <w:rFonts w:ascii="Arial" w:hAnsi="Arial" w:eastAsia="Arial" w:cs="Arial"/>
                <w:b w:val="0"/>
                <w:bCs w:val="0"/>
                <w:color w:val="212121"/>
                <w:sz w:val="19"/>
                <w:szCs w:val="19"/>
              </w:rPr>
              <w:t>VARCHAR(20)</w:t>
            </w:r>
          </w:p>
        </w:tc>
        <w:tc>
          <w:tcPr>
            <w:tcW w:w="51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5B9897EE">
            <w:pPr>
              <w:jc w:val="left"/>
            </w:pPr>
            <w:r>
              <w:rPr>
                <w:rFonts w:ascii="Arial" w:hAnsi="Arial" w:eastAsia="Arial" w:cs="Arial"/>
                <w:b w:val="0"/>
                <w:bCs w:val="0"/>
                <w:color w:val="212121"/>
                <w:sz w:val="19"/>
                <w:szCs w:val="19"/>
              </w:rPr>
              <w:t>Foreign key linking to Orders table</w:t>
            </w:r>
          </w:p>
        </w:tc>
      </w:tr>
      <w:tr w14:paraId="2F53E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231A1A83">
            <w:pPr>
              <w:jc w:val="left"/>
            </w:pPr>
            <w:r>
              <w:rPr>
                <w:rFonts w:ascii="Arial" w:hAnsi="Arial" w:eastAsia="Arial" w:cs="Arial"/>
                <w:b/>
                <w:bCs/>
                <w:color w:val="212121"/>
                <w:sz w:val="19"/>
                <w:szCs w:val="19"/>
              </w:rPr>
              <w:t>Amount</w:t>
            </w:r>
          </w:p>
        </w:tc>
        <w:tc>
          <w:tcPr>
            <w:tcW w:w="2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0B443431">
            <w:pPr>
              <w:jc w:val="left"/>
            </w:pPr>
            <w:r>
              <w:rPr>
                <w:rFonts w:ascii="Arial" w:hAnsi="Arial" w:eastAsia="Arial" w:cs="Arial"/>
                <w:b w:val="0"/>
                <w:bCs w:val="0"/>
                <w:color w:val="212121"/>
                <w:sz w:val="19"/>
                <w:szCs w:val="19"/>
              </w:rPr>
              <w:t>DECIMAL(10,2)</w:t>
            </w:r>
          </w:p>
        </w:tc>
        <w:tc>
          <w:tcPr>
            <w:tcW w:w="51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6D27D8B6">
            <w:pPr>
              <w:jc w:val="left"/>
            </w:pPr>
            <w:r>
              <w:rPr>
                <w:rFonts w:ascii="Arial" w:hAnsi="Arial" w:eastAsia="Arial" w:cs="Arial"/>
                <w:b w:val="0"/>
                <w:bCs w:val="0"/>
                <w:color w:val="212121"/>
                <w:sz w:val="19"/>
                <w:szCs w:val="19"/>
              </w:rPr>
              <w:t>Transaction value in Indian Rupees (INR)</w:t>
            </w:r>
          </w:p>
        </w:tc>
      </w:tr>
      <w:tr w14:paraId="2AB71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520C9C1B">
            <w:pPr>
              <w:jc w:val="left"/>
            </w:pPr>
            <w:r>
              <w:rPr>
                <w:rFonts w:ascii="Arial" w:hAnsi="Arial" w:eastAsia="Arial" w:cs="Arial"/>
                <w:b/>
                <w:bCs/>
                <w:color w:val="212121"/>
                <w:sz w:val="19"/>
                <w:szCs w:val="19"/>
              </w:rPr>
              <w:t>Profit</w:t>
            </w:r>
          </w:p>
        </w:tc>
        <w:tc>
          <w:tcPr>
            <w:tcW w:w="2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48777D02">
            <w:pPr>
              <w:jc w:val="left"/>
            </w:pPr>
            <w:r>
              <w:rPr>
                <w:rFonts w:ascii="Arial" w:hAnsi="Arial" w:eastAsia="Arial" w:cs="Arial"/>
                <w:b w:val="0"/>
                <w:bCs w:val="0"/>
                <w:color w:val="212121"/>
                <w:sz w:val="19"/>
                <w:szCs w:val="19"/>
              </w:rPr>
              <w:t>DECIMAL(10,2)</w:t>
            </w:r>
          </w:p>
        </w:tc>
        <w:tc>
          <w:tcPr>
            <w:tcW w:w="51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4CFD0367">
            <w:pPr>
              <w:jc w:val="left"/>
            </w:pPr>
            <w:r>
              <w:rPr>
                <w:rFonts w:ascii="Arial" w:hAnsi="Arial" w:eastAsia="Arial" w:cs="Arial"/>
                <w:b w:val="0"/>
                <w:bCs w:val="0"/>
                <w:color w:val="212121"/>
                <w:sz w:val="19"/>
                <w:szCs w:val="19"/>
              </w:rPr>
              <w:t>Profit or loss on the line item (can be negative)</w:t>
            </w:r>
          </w:p>
        </w:tc>
      </w:tr>
      <w:tr w14:paraId="1EE35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1E666667">
            <w:pPr>
              <w:jc w:val="left"/>
            </w:pPr>
            <w:r>
              <w:rPr>
                <w:rFonts w:ascii="Arial" w:hAnsi="Arial" w:eastAsia="Arial" w:cs="Arial"/>
                <w:b/>
                <w:bCs/>
                <w:color w:val="212121"/>
                <w:sz w:val="19"/>
                <w:szCs w:val="19"/>
              </w:rPr>
              <w:t>Quantity</w:t>
            </w:r>
          </w:p>
        </w:tc>
        <w:tc>
          <w:tcPr>
            <w:tcW w:w="2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124125F5">
            <w:pPr>
              <w:jc w:val="left"/>
            </w:pPr>
            <w:r>
              <w:rPr>
                <w:rFonts w:ascii="Arial" w:hAnsi="Arial" w:eastAsia="Arial" w:cs="Arial"/>
                <w:b w:val="0"/>
                <w:bCs w:val="0"/>
                <w:color w:val="212121"/>
                <w:sz w:val="19"/>
                <w:szCs w:val="19"/>
              </w:rPr>
              <w:t>INTEGER</w:t>
            </w:r>
          </w:p>
        </w:tc>
        <w:tc>
          <w:tcPr>
            <w:tcW w:w="51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1EEF584B">
            <w:pPr>
              <w:jc w:val="left"/>
            </w:pPr>
            <w:r>
              <w:rPr>
                <w:rFonts w:ascii="Arial" w:hAnsi="Arial" w:eastAsia="Arial" w:cs="Arial"/>
                <w:b w:val="0"/>
                <w:bCs w:val="0"/>
                <w:color w:val="212121"/>
                <w:sz w:val="19"/>
                <w:szCs w:val="19"/>
              </w:rPr>
              <w:t>Number of units purchased in the transaction</w:t>
            </w:r>
          </w:p>
        </w:tc>
      </w:tr>
      <w:tr w14:paraId="360D7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2F235D53">
            <w:pPr>
              <w:jc w:val="left"/>
            </w:pPr>
            <w:r>
              <w:rPr>
                <w:rFonts w:ascii="Arial" w:hAnsi="Arial" w:eastAsia="Arial" w:cs="Arial"/>
                <w:b/>
                <w:bCs/>
                <w:color w:val="212121"/>
                <w:sz w:val="19"/>
                <w:szCs w:val="19"/>
              </w:rPr>
              <w:t>Category</w:t>
            </w:r>
          </w:p>
        </w:tc>
        <w:tc>
          <w:tcPr>
            <w:tcW w:w="2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2EAF2B69">
            <w:pPr>
              <w:jc w:val="left"/>
            </w:pPr>
            <w:r>
              <w:rPr>
                <w:rFonts w:ascii="Arial" w:hAnsi="Arial" w:eastAsia="Arial" w:cs="Arial"/>
                <w:b w:val="0"/>
                <w:bCs w:val="0"/>
                <w:color w:val="212121"/>
                <w:sz w:val="19"/>
                <w:szCs w:val="19"/>
              </w:rPr>
              <w:t>VARCHAR(50)</w:t>
            </w:r>
          </w:p>
        </w:tc>
        <w:tc>
          <w:tcPr>
            <w:tcW w:w="51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5EE3E5F5">
            <w:pPr>
              <w:jc w:val="left"/>
            </w:pPr>
            <w:r>
              <w:rPr>
                <w:rFonts w:ascii="Arial" w:hAnsi="Arial" w:eastAsia="Arial" w:cs="Arial"/>
                <w:b w:val="0"/>
                <w:bCs w:val="0"/>
                <w:color w:val="212121"/>
                <w:sz w:val="19"/>
                <w:szCs w:val="19"/>
              </w:rPr>
              <w:t>Product category: Electronics, Furniture, Clothing</w:t>
            </w:r>
          </w:p>
        </w:tc>
      </w:tr>
      <w:tr w14:paraId="5D98E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2B1FF279">
            <w:pPr>
              <w:jc w:val="left"/>
            </w:pPr>
            <w:r>
              <w:rPr>
                <w:rFonts w:ascii="Arial" w:hAnsi="Arial" w:eastAsia="Arial" w:cs="Arial"/>
                <w:b/>
                <w:bCs/>
                <w:color w:val="212121"/>
                <w:sz w:val="19"/>
                <w:szCs w:val="19"/>
              </w:rPr>
              <w:t>Sub-Category</w:t>
            </w:r>
          </w:p>
        </w:tc>
        <w:tc>
          <w:tcPr>
            <w:tcW w:w="2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4FC4B3FC">
            <w:pPr>
              <w:jc w:val="left"/>
            </w:pPr>
            <w:r>
              <w:rPr>
                <w:rFonts w:ascii="Arial" w:hAnsi="Arial" w:eastAsia="Arial" w:cs="Arial"/>
                <w:b w:val="0"/>
                <w:bCs w:val="0"/>
                <w:color w:val="212121"/>
                <w:sz w:val="19"/>
                <w:szCs w:val="19"/>
              </w:rPr>
              <w:t>VARCHAR(50)</w:t>
            </w:r>
          </w:p>
        </w:tc>
        <w:tc>
          <w:tcPr>
            <w:tcW w:w="51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0A38E9C6">
            <w:pPr>
              <w:jc w:val="left"/>
            </w:pPr>
            <w:r>
              <w:rPr>
                <w:rFonts w:ascii="Arial" w:hAnsi="Arial" w:eastAsia="Arial" w:cs="Arial"/>
                <w:b w:val="0"/>
                <w:bCs w:val="0"/>
                <w:color w:val="212121"/>
                <w:sz w:val="19"/>
                <w:szCs w:val="19"/>
              </w:rPr>
              <w:t>Specific product type within the category</w:t>
            </w:r>
          </w:p>
        </w:tc>
      </w:tr>
      <w:tr w14:paraId="70FB6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5DF84B99">
            <w:pPr>
              <w:jc w:val="left"/>
            </w:pPr>
            <w:r>
              <w:rPr>
                <w:rFonts w:ascii="Arial" w:hAnsi="Arial" w:eastAsia="Arial" w:cs="Arial"/>
                <w:b/>
                <w:bCs/>
                <w:color w:val="212121"/>
                <w:sz w:val="19"/>
                <w:szCs w:val="19"/>
              </w:rPr>
              <w:t>PaymentMode</w:t>
            </w:r>
          </w:p>
        </w:tc>
        <w:tc>
          <w:tcPr>
            <w:tcW w:w="2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06C748E7">
            <w:pPr>
              <w:jc w:val="left"/>
            </w:pPr>
            <w:r>
              <w:rPr>
                <w:rFonts w:ascii="Arial" w:hAnsi="Arial" w:eastAsia="Arial" w:cs="Arial"/>
                <w:b w:val="0"/>
                <w:bCs w:val="0"/>
                <w:color w:val="212121"/>
                <w:sz w:val="19"/>
                <w:szCs w:val="19"/>
              </w:rPr>
              <w:t>VARCHAR(50)</w:t>
            </w:r>
          </w:p>
        </w:tc>
        <w:tc>
          <w:tcPr>
            <w:tcW w:w="51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4C8F4906">
            <w:pPr>
              <w:jc w:val="left"/>
            </w:pPr>
            <w:r>
              <w:rPr>
                <w:rFonts w:ascii="Arial" w:hAnsi="Arial" w:eastAsia="Arial" w:cs="Arial"/>
                <w:b w:val="0"/>
                <w:bCs w:val="0"/>
                <w:color w:val="212121"/>
                <w:sz w:val="19"/>
                <w:szCs w:val="19"/>
              </w:rPr>
              <w:t>Payment method used: COD/UPI/Credit Card/Debit Card/EMI</w:t>
            </w:r>
          </w:p>
        </w:tc>
      </w:tr>
    </w:tbl>
    <w:p w14:paraId="1D631CA8">
      <w:pPr>
        <w:pStyle w:val="3"/>
        <w:spacing w:before="280" w:after="160"/>
        <w:rPr>
          <w:rFonts w:ascii="Arial" w:hAnsi="Arial" w:eastAsia="Arial" w:cs="Arial"/>
          <w:b/>
          <w:bCs/>
          <w:color w:val="1565C0"/>
          <w:sz w:val="28"/>
          <w:szCs w:val="28"/>
        </w:rPr>
      </w:pPr>
      <w:bookmarkStart w:id="22" w:name="_Toc28627"/>
    </w:p>
    <w:p w14:paraId="595B0495">
      <w:pPr>
        <w:pStyle w:val="3"/>
        <w:spacing w:before="280" w:after="160"/>
      </w:pPr>
      <w:r>
        <w:rPr>
          <w:rFonts w:ascii="Arial" w:hAnsi="Arial" w:eastAsia="Arial" w:cs="Arial"/>
          <w:b/>
          <w:bCs/>
          <w:color w:val="1565C0"/>
          <w:sz w:val="28"/>
          <w:szCs w:val="28"/>
        </w:rPr>
        <w:t>3.3 Exploratory Data Statistics</w:t>
      </w:r>
      <w:bookmarkEnd w:id="22"/>
    </w:p>
    <w:p w14:paraId="3FC07BD6">
      <w:pPr>
        <w:pStyle w:val="4"/>
        <w:spacing w:before="200" w:after="100"/>
      </w:pPr>
      <w:bookmarkStart w:id="23" w:name="_Toc32513"/>
      <w:r>
        <w:rPr>
          <w:rFonts w:ascii="Arial" w:hAnsi="Arial" w:eastAsia="Arial" w:cs="Arial"/>
          <w:b/>
          <w:bCs/>
          <w:color w:val="0D47A1"/>
          <w:sz w:val="24"/>
          <w:szCs w:val="24"/>
        </w:rPr>
        <w:t>3.3.1 Revenue and Profit Summary</w:t>
      </w:r>
      <w:bookmarkEnd w:id="23"/>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45E9D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DBDBD" w:sz="0" w:space="0"/>
              <w:left w:val="single" w:color="BDBDBD" w:sz="0" w:space="0"/>
              <w:bottom w:val="single" w:color="BDBDBD" w:sz="0" w:space="0"/>
              <w:right w:val="single" w:color="BDBDBD" w:sz="0" w:space="0"/>
            </w:tcBorders>
            <w:shd w:val="clear" w:color="auto" w:fill="1A237E"/>
            <w:tcMar>
              <w:top w:w="100" w:type="dxa"/>
              <w:left w:w="150" w:type="dxa"/>
              <w:bottom w:w="100" w:type="dxa"/>
              <w:right w:w="150" w:type="dxa"/>
            </w:tcMar>
            <w:vAlign w:val="center"/>
          </w:tcPr>
          <w:p w14:paraId="7A1C86C8">
            <w:pPr>
              <w:jc w:val="center"/>
            </w:pPr>
            <w:r>
              <w:rPr>
                <w:rFonts w:ascii="Arial" w:hAnsi="Arial" w:eastAsia="Arial" w:cs="Arial"/>
                <w:b/>
                <w:bCs/>
                <w:color w:val="FFFFFF"/>
                <w:sz w:val="20"/>
                <w:szCs w:val="20"/>
              </w:rPr>
              <w:t>KPI Metric</w:t>
            </w:r>
          </w:p>
        </w:tc>
        <w:tc>
          <w:tcPr>
            <w:tcW w:w="4680" w:type="dxa"/>
            <w:tcBorders>
              <w:top w:val="single" w:color="BDBDBD" w:sz="0" w:space="0"/>
              <w:left w:val="single" w:color="BDBDBD" w:sz="0" w:space="0"/>
              <w:bottom w:val="single" w:color="BDBDBD" w:sz="0" w:space="0"/>
              <w:right w:val="single" w:color="BDBDBD" w:sz="0" w:space="0"/>
            </w:tcBorders>
            <w:shd w:val="clear" w:color="auto" w:fill="1A237E"/>
            <w:tcMar>
              <w:top w:w="100" w:type="dxa"/>
              <w:left w:w="150" w:type="dxa"/>
              <w:bottom w:w="100" w:type="dxa"/>
              <w:right w:w="150" w:type="dxa"/>
            </w:tcMar>
            <w:vAlign w:val="center"/>
          </w:tcPr>
          <w:p w14:paraId="47B960FD">
            <w:pPr>
              <w:jc w:val="center"/>
            </w:pPr>
            <w:r>
              <w:rPr>
                <w:rFonts w:ascii="Arial" w:hAnsi="Arial" w:eastAsia="Arial" w:cs="Arial"/>
                <w:b/>
                <w:bCs/>
                <w:color w:val="FFFFFF"/>
                <w:sz w:val="20"/>
                <w:szCs w:val="20"/>
              </w:rPr>
              <w:t>Value</w:t>
            </w:r>
          </w:p>
        </w:tc>
      </w:tr>
      <w:tr w14:paraId="433B9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7230DEDD">
            <w:pPr>
              <w:jc w:val="left"/>
            </w:pPr>
            <w:r>
              <w:rPr>
                <w:rFonts w:ascii="Arial" w:hAnsi="Arial" w:eastAsia="Arial" w:cs="Arial"/>
                <w:b/>
                <w:bCs/>
                <w:color w:val="212121"/>
                <w:sz w:val="19"/>
                <w:szCs w:val="19"/>
              </w:rPr>
              <w:t>Total Revenue (Sum of Amount)</w:t>
            </w:r>
          </w:p>
        </w:tc>
        <w:tc>
          <w:tcPr>
            <w:tcW w:w="468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5CFA5C15">
            <w:pPr>
              <w:jc w:val="left"/>
            </w:pPr>
            <w:r>
              <w:rPr>
                <w:rFonts w:ascii="Arial" w:hAnsi="Arial" w:eastAsia="Arial" w:cs="Arial"/>
                <w:b w:val="0"/>
                <w:bCs w:val="0"/>
                <w:color w:val="212121"/>
                <w:sz w:val="19"/>
                <w:szCs w:val="19"/>
              </w:rPr>
              <w:t>INR 4,38,000 (approx. ₹4.38 Lakh)</w:t>
            </w:r>
          </w:p>
        </w:tc>
      </w:tr>
      <w:tr w14:paraId="5749D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5905B238">
            <w:pPr>
              <w:jc w:val="left"/>
            </w:pPr>
            <w:r>
              <w:rPr>
                <w:rFonts w:ascii="Arial" w:hAnsi="Arial" w:eastAsia="Arial" w:cs="Arial"/>
                <w:b/>
                <w:bCs/>
                <w:color w:val="212121"/>
                <w:sz w:val="19"/>
                <w:szCs w:val="19"/>
              </w:rPr>
              <w:t>Total Profit Margin</w:t>
            </w:r>
          </w:p>
        </w:tc>
        <w:tc>
          <w:tcPr>
            <w:tcW w:w="468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17CB0A73">
            <w:pPr>
              <w:jc w:val="left"/>
            </w:pPr>
            <w:r>
              <w:rPr>
                <w:rFonts w:ascii="Arial" w:hAnsi="Arial" w:eastAsia="Arial" w:cs="Arial"/>
                <w:b w:val="0"/>
                <w:bCs w:val="0"/>
                <w:color w:val="212121"/>
                <w:sz w:val="19"/>
                <w:szCs w:val="19"/>
              </w:rPr>
              <w:t>INR 37,000</w:t>
            </w:r>
          </w:p>
        </w:tc>
      </w:tr>
      <w:tr w14:paraId="4A70E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4A5170CB">
            <w:pPr>
              <w:jc w:val="left"/>
            </w:pPr>
            <w:r>
              <w:rPr>
                <w:rFonts w:ascii="Arial" w:hAnsi="Arial" w:eastAsia="Arial" w:cs="Arial"/>
                <w:b/>
                <w:bCs/>
                <w:color w:val="212121"/>
                <w:sz w:val="19"/>
                <w:szCs w:val="19"/>
              </w:rPr>
              <w:t>Total Orders (Unique Order IDs)</w:t>
            </w:r>
          </w:p>
        </w:tc>
        <w:tc>
          <w:tcPr>
            <w:tcW w:w="468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5652E6FF">
            <w:pPr>
              <w:jc w:val="left"/>
            </w:pPr>
            <w:r>
              <w:rPr>
                <w:rFonts w:ascii="Arial" w:hAnsi="Arial" w:eastAsia="Arial" w:cs="Arial"/>
                <w:b w:val="0"/>
                <w:bCs w:val="0"/>
                <w:color w:val="212121"/>
                <w:sz w:val="19"/>
                <w:szCs w:val="19"/>
              </w:rPr>
              <w:t>500</w:t>
            </w:r>
          </w:p>
        </w:tc>
      </w:tr>
      <w:tr w14:paraId="2B760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376931DB">
            <w:pPr>
              <w:jc w:val="left"/>
            </w:pPr>
            <w:r>
              <w:rPr>
                <w:rFonts w:ascii="Arial" w:hAnsi="Arial" w:eastAsia="Arial" w:cs="Arial"/>
                <w:b/>
                <w:bCs/>
                <w:color w:val="212121"/>
                <w:sz w:val="19"/>
                <w:szCs w:val="19"/>
              </w:rPr>
              <w:t>Total Detail Records</w:t>
            </w:r>
          </w:p>
        </w:tc>
        <w:tc>
          <w:tcPr>
            <w:tcW w:w="468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5DF7C219">
            <w:pPr>
              <w:jc w:val="left"/>
            </w:pPr>
            <w:r>
              <w:rPr>
                <w:rFonts w:ascii="Arial" w:hAnsi="Arial" w:eastAsia="Arial" w:cs="Arial"/>
                <w:b w:val="0"/>
                <w:bCs w:val="0"/>
                <w:color w:val="212121"/>
                <w:sz w:val="19"/>
                <w:szCs w:val="19"/>
              </w:rPr>
              <w:t>1,501 line items</w:t>
            </w:r>
          </w:p>
        </w:tc>
      </w:tr>
      <w:tr w14:paraId="4FD49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12AE4C57">
            <w:pPr>
              <w:jc w:val="left"/>
            </w:pPr>
            <w:r>
              <w:rPr>
                <w:rFonts w:ascii="Arial" w:hAnsi="Arial" w:eastAsia="Arial" w:cs="Arial"/>
                <w:b/>
                <w:bCs/>
                <w:color w:val="212121"/>
                <w:sz w:val="19"/>
                <w:szCs w:val="19"/>
              </w:rPr>
              <w:t>Average Order Value (AOV)</w:t>
            </w:r>
          </w:p>
        </w:tc>
        <w:tc>
          <w:tcPr>
            <w:tcW w:w="468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74C66CF0">
            <w:pPr>
              <w:jc w:val="left"/>
            </w:pPr>
            <w:r>
              <w:rPr>
                <w:rFonts w:ascii="Arial" w:hAnsi="Arial" w:eastAsia="Arial" w:cs="Arial"/>
                <w:b w:val="0"/>
                <w:bCs w:val="0"/>
                <w:color w:val="212121"/>
                <w:sz w:val="19"/>
                <w:szCs w:val="19"/>
              </w:rPr>
              <w:t>INR 1,21,000 (approx.)</w:t>
            </w:r>
          </w:p>
        </w:tc>
      </w:tr>
      <w:tr w14:paraId="39D63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667484E2">
            <w:pPr>
              <w:jc w:val="left"/>
            </w:pPr>
            <w:r>
              <w:rPr>
                <w:rFonts w:ascii="Arial" w:hAnsi="Arial" w:eastAsia="Arial" w:cs="Arial"/>
                <w:b/>
                <w:bCs/>
                <w:color w:val="212121"/>
                <w:sz w:val="19"/>
                <w:szCs w:val="19"/>
              </w:rPr>
              <w:t>Overall Profit Margin Percentage</w:t>
            </w:r>
          </w:p>
        </w:tc>
        <w:tc>
          <w:tcPr>
            <w:tcW w:w="468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4779E050">
            <w:pPr>
              <w:jc w:val="left"/>
            </w:pPr>
            <w:r>
              <w:rPr>
                <w:rFonts w:ascii="Arial" w:hAnsi="Arial" w:eastAsia="Arial" w:cs="Arial"/>
                <w:b w:val="0"/>
                <w:bCs w:val="0"/>
                <w:color w:val="212121"/>
                <w:sz w:val="19"/>
                <w:szCs w:val="19"/>
              </w:rPr>
              <w:t>~8.45%</w:t>
            </w:r>
          </w:p>
        </w:tc>
      </w:tr>
    </w:tbl>
    <w:p w14:paraId="03AD1D13">
      <w:pPr>
        <w:pStyle w:val="4"/>
        <w:spacing w:before="200" w:after="100"/>
      </w:pPr>
      <w:bookmarkStart w:id="24" w:name="_Toc17081"/>
      <w:r>
        <w:rPr>
          <w:rFonts w:ascii="Arial" w:hAnsi="Arial" w:eastAsia="Arial" w:cs="Arial"/>
          <w:b/>
          <w:bCs/>
          <w:color w:val="0D47A1"/>
          <w:sz w:val="24"/>
          <w:szCs w:val="24"/>
        </w:rPr>
        <w:t>3.3.2 Geographic Distribution</w:t>
      </w:r>
      <w:bookmarkEnd w:id="24"/>
    </w:p>
    <w:p w14:paraId="56CC4039">
      <w:pPr>
        <w:spacing w:before="80" w:after="120" w:line="360" w:lineRule="auto"/>
        <w:jc w:val="both"/>
      </w:pPr>
      <w:r>
        <w:rPr>
          <w:rFonts w:ascii="Arial" w:hAnsi="Arial" w:eastAsia="Arial" w:cs="Arial"/>
          <w:b w:val="0"/>
          <w:bCs w:val="0"/>
          <w:i w:val="0"/>
          <w:iCs w:val="0"/>
          <w:color w:val="212121"/>
          <w:sz w:val="22"/>
          <w:szCs w:val="22"/>
        </w:rPr>
        <w:t>The dataset covers customers from 19 Indian states across all major geographic regions of the country. The geographic spread demonstrates the multi-regional nature of the e-commerce platform: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2120"/>
        <w:gridCol w:w="4120"/>
      </w:tblGrid>
      <w:tr w14:paraId="021F5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DBDBD" w:sz="0" w:space="0"/>
              <w:left w:val="single" w:color="BDBDBD" w:sz="0" w:space="0"/>
              <w:bottom w:val="single" w:color="BDBDBD" w:sz="0" w:space="0"/>
              <w:right w:val="single" w:color="BDBDBD" w:sz="0" w:space="0"/>
            </w:tcBorders>
            <w:shd w:val="clear" w:color="auto" w:fill="1A237E"/>
            <w:tcMar>
              <w:top w:w="100" w:type="dxa"/>
              <w:left w:w="150" w:type="dxa"/>
              <w:bottom w:w="100" w:type="dxa"/>
              <w:right w:w="150" w:type="dxa"/>
            </w:tcMar>
            <w:vAlign w:val="center"/>
          </w:tcPr>
          <w:p w14:paraId="1C8E8C59">
            <w:pPr>
              <w:jc w:val="center"/>
            </w:pPr>
            <w:r>
              <w:rPr>
                <w:rFonts w:ascii="Arial" w:hAnsi="Arial" w:eastAsia="Arial" w:cs="Arial"/>
                <w:b/>
                <w:bCs/>
                <w:color w:val="FFFFFF"/>
                <w:sz w:val="20"/>
                <w:szCs w:val="20"/>
              </w:rPr>
              <w:t>State</w:t>
            </w:r>
          </w:p>
        </w:tc>
        <w:tc>
          <w:tcPr>
            <w:tcW w:w="2120" w:type="dxa"/>
            <w:tcBorders>
              <w:top w:val="single" w:color="BDBDBD" w:sz="0" w:space="0"/>
              <w:left w:val="single" w:color="BDBDBD" w:sz="0" w:space="0"/>
              <w:bottom w:val="single" w:color="BDBDBD" w:sz="0" w:space="0"/>
              <w:right w:val="single" w:color="BDBDBD" w:sz="0" w:space="0"/>
            </w:tcBorders>
            <w:shd w:val="clear" w:color="auto" w:fill="1A237E"/>
            <w:tcMar>
              <w:top w:w="100" w:type="dxa"/>
              <w:left w:w="150" w:type="dxa"/>
              <w:bottom w:w="100" w:type="dxa"/>
              <w:right w:w="150" w:type="dxa"/>
            </w:tcMar>
            <w:vAlign w:val="center"/>
          </w:tcPr>
          <w:p w14:paraId="09FFEEBE">
            <w:pPr>
              <w:jc w:val="center"/>
            </w:pPr>
            <w:r>
              <w:rPr>
                <w:rFonts w:ascii="Arial" w:hAnsi="Arial" w:eastAsia="Arial" w:cs="Arial"/>
                <w:b/>
                <w:bCs/>
                <w:color w:val="FFFFFF"/>
                <w:sz w:val="20"/>
                <w:szCs w:val="20"/>
              </w:rPr>
              <w:t>Revenue (INR)</w:t>
            </w:r>
          </w:p>
        </w:tc>
        <w:tc>
          <w:tcPr>
            <w:tcW w:w="4120" w:type="dxa"/>
            <w:tcBorders>
              <w:top w:val="single" w:color="BDBDBD" w:sz="0" w:space="0"/>
              <w:left w:val="single" w:color="BDBDBD" w:sz="0" w:space="0"/>
              <w:bottom w:val="single" w:color="BDBDBD" w:sz="0" w:space="0"/>
              <w:right w:val="single" w:color="BDBDBD" w:sz="0" w:space="0"/>
            </w:tcBorders>
            <w:shd w:val="clear" w:color="auto" w:fill="1A237E"/>
            <w:tcMar>
              <w:top w:w="100" w:type="dxa"/>
              <w:left w:w="150" w:type="dxa"/>
              <w:bottom w:w="100" w:type="dxa"/>
              <w:right w:w="150" w:type="dxa"/>
            </w:tcMar>
            <w:vAlign w:val="center"/>
          </w:tcPr>
          <w:p w14:paraId="3C7D279C">
            <w:pPr>
              <w:jc w:val="center"/>
            </w:pPr>
            <w:r>
              <w:rPr>
                <w:rFonts w:ascii="Arial" w:hAnsi="Arial" w:eastAsia="Arial" w:cs="Arial"/>
                <w:b/>
                <w:bCs/>
                <w:color w:val="FFFFFF"/>
                <w:sz w:val="20"/>
                <w:szCs w:val="20"/>
              </w:rPr>
              <w:t>Notable Cities</w:t>
            </w:r>
          </w:p>
        </w:tc>
      </w:tr>
      <w:tr w14:paraId="48731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5AC35B88">
            <w:pPr>
              <w:jc w:val="left"/>
            </w:pPr>
            <w:r>
              <w:rPr>
                <w:rFonts w:ascii="Arial" w:hAnsi="Arial" w:eastAsia="Arial" w:cs="Arial"/>
                <w:b/>
                <w:bCs/>
                <w:color w:val="212121"/>
                <w:sz w:val="19"/>
                <w:szCs w:val="19"/>
              </w:rPr>
              <w:t>Maharashtra</w:t>
            </w:r>
          </w:p>
        </w:tc>
        <w:tc>
          <w:tcPr>
            <w:tcW w:w="212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403AEC5E">
            <w:pPr>
              <w:jc w:val="left"/>
            </w:pPr>
            <w:r>
              <w:rPr>
                <w:rFonts w:ascii="Arial" w:hAnsi="Arial" w:eastAsia="Arial" w:cs="Arial"/>
                <w:b w:val="0"/>
                <w:bCs w:val="0"/>
                <w:color w:val="212121"/>
                <w:sz w:val="19"/>
                <w:szCs w:val="19"/>
              </w:rPr>
              <w:t>~1,02,000</w:t>
            </w:r>
          </w:p>
        </w:tc>
        <w:tc>
          <w:tcPr>
            <w:tcW w:w="412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7A169B11">
            <w:pPr>
              <w:jc w:val="left"/>
            </w:pPr>
            <w:r>
              <w:rPr>
                <w:rFonts w:ascii="Arial" w:hAnsi="Arial" w:eastAsia="Arial" w:cs="Arial"/>
                <w:b w:val="0"/>
                <w:bCs w:val="0"/>
                <w:color w:val="212121"/>
                <w:sz w:val="19"/>
                <w:szCs w:val="19"/>
              </w:rPr>
              <w:t>Mumbai, Pune</w:t>
            </w:r>
          </w:p>
        </w:tc>
      </w:tr>
      <w:tr w14:paraId="0B0F4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76586E6E">
            <w:pPr>
              <w:jc w:val="left"/>
            </w:pPr>
            <w:r>
              <w:rPr>
                <w:rFonts w:ascii="Arial" w:hAnsi="Arial" w:eastAsia="Arial" w:cs="Arial"/>
                <w:b/>
                <w:bCs/>
                <w:color w:val="212121"/>
                <w:sz w:val="19"/>
                <w:szCs w:val="19"/>
              </w:rPr>
              <w:t>Madhya Pradesh</w:t>
            </w:r>
          </w:p>
        </w:tc>
        <w:tc>
          <w:tcPr>
            <w:tcW w:w="212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2082D793">
            <w:pPr>
              <w:jc w:val="left"/>
            </w:pPr>
            <w:r>
              <w:rPr>
                <w:rFonts w:ascii="Arial" w:hAnsi="Arial" w:eastAsia="Arial" w:cs="Arial"/>
                <w:b w:val="0"/>
                <w:bCs w:val="0"/>
                <w:color w:val="212121"/>
                <w:sz w:val="19"/>
                <w:szCs w:val="19"/>
              </w:rPr>
              <w:t>~87,000</w:t>
            </w:r>
          </w:p>
        </w:tc>
        <w:tc>
          <w:tcPr>
            <w:tcW w:w="412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6E590E26">
            <w:pPr>
              <w:jc w:val="left"/>
            </w:pPr>
            <w:r>
              <w:rPr>
                <w:rFonts w:ascii="Arial" w:hAnsi="Arial" w:eastAsia="Arial" w:cs="Arial"/>
                <w:b w:val="0"/>
                <w:bCs w:val="0"/>
                <w:color w:val="212121"/>
                <w:sz w:val="19"/>
                <w:szCs w:val="19"/>
              </w:rPr>
              <w:t>Indore, Bhopal</w:t>
            </w:r>
          </w:p>
        </w:tc>
      </w:tr>
      <w:tr w14:paraId="5CD5F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529ED31C">
            <w:pPr>
              <w:jc w:val="left"/>
            </w:pPr>
            <w:r>
              <w:rPr>
                <w:rFonts w:ascii="Arial" w:hAnsi="Arial" w:eastAsia="Arial" w:cs="Arial"/>
                <w:b/>
                <w:bCs/>
                <w:color w:val="212121"/>
                <w:sz w:val="19"/>
                <w:szCs w:val="19"/>
              </w:rPr>
              <w:t>Uttar Pradesh</w:t>
            </w:r>
          </w:p>
        </w:tc>
        <w:tc>
          <w:tcPr>
            <w:tcW w:w="212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23596898">
            <w:pPr>
              <w:jc w:val="left"/>
            </w:pPr>
            <w:r>
              <w:rPr>
                <w:rFonts w:ascii="Arial" w:hAnsi="Arial" w:eastAsia="Arial" w:cs="Arial"/>
                <w:b w:val="0"/>
                <w:bCs w:val="0"/>
                <w:color w:val="212121"/>
                <w:sz w:val="19"/>
                <w:szCs w:val="19"/>
              </w:rPr>
              <w:t>~38,000</w:t>
            </w:r>
          </w:p>
        </w:tc>
        <w:tc>
          <w:tcPr>
            <w:tcW w:w="412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1E5BAA12">
            <w:pPr>
              <w:jc w:val="left"/>
            </w:pPr>
            <w:r>
              <w:rPr>
                <w:rFonts w:ascii="Arial" w:hAnsi="Arial" w:eastAsia="Arial" w:cs="Arial"/>
                <w:b w:val="0"/>
                <w:bCs w:val="0"/>
                <w:color w:val="212121"/>
                <w:sz w:val="19"/>
                <w:szCs w:val="19"/>
              </w:rPr>
              <w:t>Mathura, Lucknow, Prayagraj</w:t>
            </w:r>
          </w:p>
        </w:tc>
      </w:tr>
      <w:tr w14:paraId="3742B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25767BDE">
            <w:pPr>
              <w:jc w:val="left"/>
            </w:pPr>
            <w:r>
              <w:rPr>
                <w:rFonts w:ascii="Arial" w:hAnsi="Arial" w:eastAsia="Arial" w:cs="Arial"/>
                <w:b/>
                <w:bCs/>
                <w:color w:val="212121"/>
                <w:sz w:val="19"/>
                <w:szCs w:val="19"/>
              </w:rPr>
              <w:t>Delhi</w:t>
            </w:r>
          </w:p>
        </w:tc>
        <w:tc>
          <w:tcPr>
            <w:tcW w:w="212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1AB35B48">
            <w:pPr>
              <w:jc w:val="left"/>
            </w:pPr>
            <w:r>
              <w:rPr>
                <w:rFonts w:ascii="Arial" w:hAnsi="Arial" w:eastAsia="Arial" w:cs="Arial"/>
                <w:b w:val="0"/>
                <w:bCs w:val="0"/>
                <w:color w:val="212121"/>
                <w:sz w:val="19"/>
                <w:szCs w:val="19"/>
              </w:rPr>
              <w:t>~23,000</w:t>
            </w:r>
          </w:p>
        </w:tc>
        <w:tc>
          <w:tcPr>
            <w:tcW w:w="412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5466C7D2">
            <w:pPr>
              <w:jc w:val="left"/>
            </w:pPr>
            <w:r>
              <w:rPr>
                <w:rFonts w:ascii="Arial" w:hAnsi="Arial" w:eastAsia="Arial" w:cs="Arial"/>
                <w:b w:val="0"/>
                <w:bCs w:val="0"/>
                <w:color w:val="212121"/>
                <w:sz w:val="19"/>
                <w:szCs w:val="19"/>
              </w:rPr>
              <w:t>New Delhi</w:t>
            </w:r>
          </w:p>
        </w:tc>
      </w:tr>
      <w:tr w14:paraId="08DB6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6BE27086">
            <w:pPr>
              <w:jc w:val="left"/>
            </w:pPr>
            <w:r>
              <w:rPr>
                <w:rFonts w:ascii="Arial" w:hAnsi="Arial" w:eastAsia="Arial" w:cs="Arial"/>
                <w:b/>
                <w:bCs/>
                <w:color w:val="212121"/>
                <w:sz w:val="19"/>
                <w:szCs w:val="19"/>
              </w:rPr>
              <w:t>Other 15 States</w:t>
            </w:r>
          </w:p>
        </w:tc>
        <w:tc>
          <w:tcPr>
            <w:tcW w:w="212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03E234F1">
            <w:pPr>
              <w:jc w:val="left"/>
            </w:pPr>
            <w:r>
              <w:rPr>
                <w:rFonts w:ascii="Arial" w:hAnsi="Arial" w:eastAsia="Arial" w:cs="Arial"/>
                <w:b w:val="0"/>
                <w:bCs w:val="0"/>
                <w:color w:val="212121"/>
                <w:sz w:val="19"/>
                <w:szCs w:val="19"/>
              </w:rPr>
              <w:t>~1,88,000</w:t>
            </w:r>
          </w:p>
        </w:tc>
        <w:tc>
          <w:tcPr>
            <w:tcW w:w="412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4E56D793">
            <w:pPr>
              <w:jc w:val="left"/>
            </w:pPr>
            <w:r>
              <w:rPr>
                <w:rFonts w:ascii="Arial" w:hAnsi="Arial" w:eastAsia="Arial" w:cs="Arial"/>
                <w:b w:val="0"/>
                <w:bCs w:val="0"/>
                <w:color w:val="212121"/>
                <w:sz w:val="19"/>
                <w:szCs w:val="19"/>
              </w:rPr>
              <w:t>Gujarat, Rajasthan, Punjab, Karnataka, etc.</w:t>
            </w:r>
          </w:p>
        </w:tc>
      </w:tr>
    </w:tbl>
    <w:p w14:paraId="5A1EC09B">
      <w:pPr>
        <w:pStyle w:val="4"/>
        <w:spacing w:before="200" w:after="100"/>
      </w:pPr>
      <w:bookmarkStart w:id="25" w:name="_Toc23929"/>
      <w:r>
        <w:rPr>
          <w:rFonts w:ascii="Arial" w:hAnsi="Arial" w:eastAsia="Arial" w:cs="Arial"/>
          <w:b/>
          <w:bCs/>
          <w:color w:val="0D47A1"/>
          <w:sz w:val="24"/>
          <w:szCs w:val="24"/>
        </w:rPr>
        <w:t>3.3.3 Product Category Distribution</w:t>
      </w:r>
      <w:bookmarkEnd w:id="25"/>
    </w:p>
    <w:p w14:paraId="7E78F4D1">
      <w:pPr>
        <w:spacing w:before="80" w:after="120" w:line="360" w:lineRule="auto"/>
        <w:jc w:val="both"/>
      </w:pPr>
      <w:r>
        <w:rPr>
          <w:rFonts w:ascii="Arial" w:hAnsi="Arial" w:eastAsia="Arial" w:cs="Arial"/>
          <w:b w:val="0"/>
          <w:bCs w:val="0"/>
          <w:i w:val="0"/>
          <w:iCs w:val="0"/>
          <w:color w:val="212121"/>
          <w:sz w:val="22"/>
          <w:szCs w:val="22"/>
        </w:rPr>
        <w:t>The platform sells products across three primary categories. Clothing dominates by order quantity (63% of all units sold) while Electronics and Furniture command higher per-unit transaction values: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200"/>
        <w:gridCol w:w="2160"/>
        <w:gridCol w:w="2200"/>
      </w:tblGrid>
      <w:tr w14:paraId="27C79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1A237E"/>
            <w:tcMar>
              <w:top w:w="100" w:type="dxa"/>
              <w:left w:w="150" w:type="dxa"/>
              <w:bottom w:w="100" w:type="dxa"/>
              <w:right w:w="150" w:type="dxa"/>
            </w:tcMar>
            <w:vAlign w:val="center"/>
          </w:tcPr>
          <w:p w14:paraId="6A592B1A">
            <w:pPr>
              <w:jc w:val="center"/>
            </w:pPr>
            <w:r>
              <w:rPr>
                <w:rFonts w:ascii="Arial" w:hAnsi="Arial" w:eastAsia="Arial" w:cs="Arial"/>
                <w:b/>
                <w:bCs/>
                <w:color w:val="FFFFFF"/>
                <w:sz w:val="20"/>
                <w:szCs w:val="20"/>
              </w:rPr>
              <w:t>Category</w:t>
            </w:r>
          </w:p>
        </w:tc>
        <w:tc>
          <w:tcPr>
            <w:tcW w:w="2200" w:type="dxa"/>
            <w:tcBorders>
              <w:top w:val="single" w:color="BDBDBD" w:sz="0" w:space="0"/>
              <w:left w:val="single" w:color="BDBDBD" w:sz="0" w:space="0"/>
              <w:bottom w:val="single" w:color="BDBDBD" w:sz="0" w:space="0"/>
              <w:right w:val="single" w:color="BDBDBD" w:sz="0" w:space="0"/>
            </w:tcBorders>
            <w:shd w:val="clear" w:color="auto" w:fill="1A237E"/>
            <w:tcMar>
              <w:top w:w="100" w:type="dxa"/>
              <w:left w:w="150" w:type="dxa"/>
              <w:bottom w:w="100" w:type="dxa"/>
              <w:right w:w="150" w:type="dxa"/>
            </w:tcMar>
            <w:vAlign w:val="center"/>
          </w:tcPr>
          <w:p w14:paraId="49BD3C48">
            <w:pPr>
              <w:jc w:val="center"/>
            </w:pPr>
            <w:r>
              <w:rPr>
                <w:rFonts w:ascii="Arial" w:hAnsi="Arial" w:eastAsia="Arial" w:cs="Arial"/>
                <w:b/>
                <w:bCs/>
                <w:color w:val="FFFFFF"/>
                <w:sz w:val="20"/>
                <w:szCs w:val="20"/>
              </w:rPr>
              <w:t>Quantity Share</w:t>
            </w:r>
          </w:p>
        </w:tc>
        <w:tc>
          <w:tcPr>
            <w:tcW w:w="2160" w:type="dxa"/>
            <w:tcBorders>
              <w:top w:val="single" w:color="BDBDBD" w:sz="0" w:space="0"/>
              <w:left w:val="single" w:color="BDBDBD" w:sz="0" w:space="0"/>
              <w:bottom w:val="single" w:color="BDBDBD" w:sz="0" w:space="0"/>
              <w:right w:val="single" w:color="BDBDBD" w:sz="0" w:space="0"/>
            </w:tcBorders>
            <w:shd w:val="clear" w:color="auto" w:fill="1A237E"/>
            <w:tcMar>
              <w:top w:w="100" w:type="dxa"/>
              <w:left w:w="150" w:type="dxa"/>
              <w:bottom w:w="100" w:type="dxa"/>
              <w:right w:w="150" w:type="dxa"/>
            </w:tcMar>
            <w:vAlign w:val="center"/>
          </w:tcPr>
          <w:p w14:paraId="0F2C7822">
            <w:pPr>
              <w:jc w:val="center"/>
            </w:pPr>
            <w:r>
              <w:rPr>
                <w:rFonts w:ascii="Arial" w:hAnsi="Arial" w:eastAsia="Arial" w:cs="Arial"/>
                <w:b/>
                <w:bCs/>
                <w:color w:val="FFFFFF"/>
                <w:sz w:val="20"/>
                <w:szCs w:val="20"/>
              </w:rPr>
              <w:t>Sub-Categories</w:t>
            </w:r>
          </w:p>
        </w:tc>
        <w:tc>
          <w:tcPr>
            <w:tcW w:w="2200" w:type="dxa"/>
            <w:tcBorders>
              <w:top w:val="single" w:color="BDBDBD" w:sz="0" w:space="0"/>
              <w:left w:val="single" w:color="BDBDBD" w:sz="0" w:space="0"/>
              <w:bottom w:val="single" w:color="BDBDBD" w:sz="0" w:space="0"/>
              <w:right w:val="single" w:color="BDBDBD" w:sz="0" w:space="0"/>
            </w:tcBorders>
            <w:shd w:val="clear" w:color="auto" w:fill="1A237E"/>
            <w:tcMar>
              <w:top w:w="100" w:type="dxa"/>
              <w:left w:w="150" w:type="dxa"/>
              <w:bottom w:w="100" w:type="dxa"/>
              <w:right w:w="150" w:type="dxa"/>
            </w:tcMar>
            <w:vAlign w:val="center"/>
          </w:tcPr>
          <w:p w14:paraId="38580685">
            <w:pPr>
              <w:jc w:val="center"/>
            </w:pPr>
            <w:r>
              <w:rPr>
                <w:rFonts w:ascii="Arial" w:hAnsi="Arial" w:eastAsia="Arial" w:cs="Arial"/>
                <w:b/>
                <w:bCs/>
                <w:color w:val="FFFFFF"/>
                <w:sz w:val="20"/>
                <w:szCs w:val="20"/>
              </w:rPr>
              <w:t>Avg. Item Value</w:t>
            </w:r>
          </w:p>
        </w:tc>
      </w:tr>
      <w:tr w14:paraId="70C66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65CD2F77">
            <w:pPr>
              <w:jc w:val="left"/>
            </w:pPr>
            <w:r>
              <w:rPr>
                <w:rFonts w:ascii="Arial" w:hAnsi="Arial" w:eastAsia="Arial" w:cs="Arial"/>
                <w:b/>
                <w:bCs/>
                <w:color w:val="212121"/>
                <w:sz w:val="19"/>
                <w:szCs w:val="19"/>
              </w:rPr>
              <w:t>Clothing</w:t>
            </w:r>
          </w:p>
        </w:tc>
        <w:tc>
          <w:tcPr>
            <w:tcW w:w="22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37A5FEE2">
            <w:pPr>
              <w:jc w:val="center"/>
            </w:pPr>
            <w:r>
              <w:rPr>
                <w:rFonts w:ascii="Arial" w:hAnsi="Arial" w:eastAsia="Arial" w:cs="Arial"/>
                <w:b w:val="0"/>
                <w:bCs w:val="0"/>
                <w:color w:val="212121"/>
                <w:sz w:val="19"/>
                <w:szCs w:val="19"/>
              </w:rPr>
              <w:t>63%</w:t>
            </w:r>
          </w:p>
        </w:tc>
        <w:tc>
          <w:tcPr>
            <w:tcW w:w="21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6E39195A">
            <w:pPr>
              <w:jc w:val="center"/>
            </w:pPr>
            <w:r>
              <w:rPr>
                <w:rFonts w:ascii="Arial" w:hAnsi="Arial" w:eastAsia="Arial" w:cs="Arial"/>
                <w:b w:val="0"/>
                <w:bCs w:val="0"/>
                <w:color w:val="212121"/>
                <w:sz w:val="19"/>
                <w:szCs w:val="19"/>
              </w:rPr>
              <w:t>10 types</w:t>
            </w:r>
          </w:p>
        </w:tc>
        <w:tc>
          <w:tcPr>
            <w:tcW w:w="22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7A8E2C04">
            <w:pPr>
              <w:jc w:val="left"/>
            </w:pPr>
            <w:r>
              <w:rPr>
                <w:rFonts w:ascii="Arial" w:hAnsi="Arial" w:eastAsia="Arial" w:cs="Arial"/>
                <w:b w:val="0"/>
                <w:bCs w:val="0"/>
                <w:color w:val="212121"/>
                <w:sz w:val="19"/>
                <w:szCs w:val="19"/>
              </w:rPr>
              <w:t>Low–Medium</w:t>
            </w:r>
          </w:p>
        </w:tc>
      </w:tr>
      <w:tr w14:paraId="4D20D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47291FD2">
            <w:pPr>
              <w:jc w:val="left"/>
            </w:pPr>
            <w:r>
              <w:rPr>
                <w:rFonts w:ascii="Arial" w:hAnsi="Arial" w:eastAsia="Arial" w:cs="Arial"/>
                <w:b/>
                <w:bCs/>
                <w:color w:val="212121"/>
                <w:sz w:val="19"/>
                <w:szCs w:val="19"/>
              </w:rPr>
              <w:t>Electronics</w:t>
            </w:r>
          </w:p>
        </w:tc>
        <w:tc>
          <w:tcPr>
            <w:tcW w:w="22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41014612">
            <w:pPr>
              <w:jc w:val="center"/>
            </w:pPr>
            <w:r>
              <w:rPr>
                <w:rFonts w:ascii="Arial" w:hAnsi="Arial" w:eastAsia="Arial" w:cs="Arial"/>
                <w:b w:val="0"/>
                <w:bCs w:val="0"/>
                <w:color w:val="212121"/>
                <w:sz w:val="19"/>
                <w:szCs w:val="19"/>
              </w:rPr>
              <w:t>21%</w:t>
            </w:r>
          </w:p>
        </w:tc>
        <w:tc>
          <w:tcPr>
            <w:tcW w:w="21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467AA1EA">
            <w:pPr>
              <w:jc w:val="center"/>
            </w:pPr>
            <w:r>
              <w:rPr>
                <w:rFonts w:ascii="Arial" w:hAnsi="Arial" w:eastAsia="Arial" w:cs="Arial"/>
                <w:b w:val="0"/>
                <w:bCs w:val="0"/>
                <w:color w:val="212121"/>
                <w:sz w:val="19"/>
                <w:szCs w:val="19"/>
              </w:rPr>
              <w:t>5 types</w:t>
            </w:r>
          </w:p>
        </w:tc>
        <w:tc>
          <w:tcPr>
            <w:tcW w:w="22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6FF62D27">
            <w:pPr>
              <w:jc w:val="left"/>
            </w:pPr>
            <w:r>
              <w:rPr>
                <w:rFonts w:ascii="Arial" w:hAnsi="Arial" w:eastAsia="Arial" w:cs="Arial"/>
                <w:b w:val="0"/>
                <w:bCs w:val="0"/>
                <w:color w:val="212121"/>
                <w:sz w:val="19"/>
                <w:szCs w:val="19"/>
              </w:rPr>
              <w:t>High</w:t>
            </w:r>
          </w:p>
        </w:tc>
      </w:tr>
      <w:tr w14:paraId="0969C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05AD2E4C">
            <w:pPr>
              <w:jc w:val="left"/>
            </w:pPr>
            <w:r>
              <w:rPr>
                <w:rFonts w:ascii="Arial" w:hAnsi="Arial" w:eastAsia="Arial" w:cs="Arial"/>
                <w:b/>
                <w:bCs/>
                <w:color w:val="212121"/>
                <w:sz w:val="19"/>
                <w:szCs w:val="19"/>
              </w:rPr>
              <w:t>Furniture</w:t>
            </w:r>
          </w:p>
        </w:tc>
        <w:tc>
          <w:tcPr>
            <w:tcW w:w="22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1178C8E3">
            <w:pPr>
              <w:jc w:val="center"/>
            </w:pPr>
            <w:r>
              <w:rPr>
                <w:rFonts w:ascii="Arial" w:hAnsi="Arial" w:eastAsia="Arial" w:cs="Arial"/>
                <w:b w:val="0"/>
                <w:bCs w:val="0"/>
                <w:color w:val="212121"/>
                <w:sz w:val="19"/>
                <w:szCs w:val="19"/>
              </w:rPr>
              <w:t>17%</w:t>
            </w:r>
          </w:p>
        </w:tc>
        <w:tc>
          <w:tcPr>
            <w:tcW w:w="21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2E31C05B">
            <w:pPr>
              <w:jc w:val="center"/>
            </w:pPr>
            <w:r>
              <w:rPr>
                <w:rFonts w:ascii="Arial" w:hAnsi="Arial" w:eastAsia="Arial" w:cs="Arial"/>
                <w:b w:val="0"/>
                <w:bCs w:val="0"/>
                <w:color w:val="212121"/>
                <w:sz w:val="19"/>
                <w:szCs w:val="19"/>
              </w:rPr>
              <w:t>6 types</w:t>
            </w:r>
          </w:p>
        </w:tc>
        <w:tc>
          <w:tcPr>
            <w:tcW w:w="22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2A66126B">
            <w:pPr>
              <w:jc w:val="left"/>
            </w:pPr>
            <w:r>
              <w:rPr>
                <w:rFonts w:ascii="Arial" w:hAnsi="Arial" w:eastAsia="Arial" w:cs="Arial"/>
                <w:b w:val="0"/>
                <w:bCs w:val="0"/>
                <w:color w:val="212121"/>
                <w:sz w:val="19"/>
                <w:szCs w:val="19"/>
              </w:rPr>
              <w:t>High</w:t>
            </w:r>
          </w:p>
        </w:tc>
      </w:tr>
    </w:tbl>
    <w:p w14:paraId="2F0BCC1F">
      <w:pPr>
        <w:pStyle w:val="4"/>
        <w:spacing w:before="200" w:after="100"/>
      </w:pPr>
      <w:bookmarkStart w:id="26" w:name="_Toc28273"/>
      <w:r>
        <w:rPr>
          <w:rFonts w:ascii="Arial" w:hAnsi="Arial" w:eastAsia="Arial" w:cs="Arial"/>
          <w:b/>
          <w:bCs/>
          <w:color w:val="0D47A1"/>
          <w:sz w:val="24"/>
          <w:szCs w:val="24"/>
        </w:rPr>
        <w:t>3.3.4 Payment Mode Distribution</w:t>
      </w:r>
      <w:bookmarkEnd w:id="26"/>
    </w:p>
    <w:p w14:paraId="345F8F11">
      <w:pPr>
        <w:spacing w:before="80" w:after="120" w:line="360" w:lineRule="auto"/>
        <w:jc w:val="both"/>
      </w:pPr>
      <w:r>
        <w:rPr>
          <w:rFonts w:ascii="Arial" w:hAnsi="Arial" w:eastAsia="Arial" w:cs="Arial"/>
          <w:b w:val="0"/>
          <w:bCs w:val="0"/>
          <w:i w:val="0"/>
          <w:iCs w:val="0"/>
          <w:color w:val="212121"/>
          <w:sz w:val="22"/>
          <w:szCs w:val="22"/>
        </w:rPr>
        <w:t>Five payment modes are available on the platform. COD (Cash on Delivery) remains dominant, reflecting the trust-based purchasing behavior of Indian e-commerce consumers, particularly in non-metropolitan areas: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280"/>
        <w:gridCol w:w="4280"/>
      </w:tblGrid>
      <w:tr w14:paraId="05F0B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1A237E"/>
            <w:tcMar>
              <w:top w:w="100" w:type="dxa"/>
              <w:left w:w="150" w:type="dxa"/>
              <w:bottom w:w="100" w:type="dxa"/>
              <w:right w:w="150" w:type="dxa"/>
            </w:tcMar>
            <w:vAlign w:val="center"/>
          </w:tcPr>
          <w:p w14:paraId="2B4548CB">
            <w:pPr>
              <w:jc w:val="center"/>
            </w:pPr>
            <w:r>
              <w:rPr>
                <w:rFonts w:ascii="Arial" w:hAnsi="Arial" w:eastAsia="Arial" w:cs="Arial"/>
                <w:b/>
                <w:bCs/>
                <w:color w:val="FFFFFF"/>
                <w:sz w:val="20"/>
                <w:szCs w:val="20"/>
              </w:rPr>
              <w:t>Payment Mode</w:t>
            </w:r>
          </w:p>
        </w:tc>
        <w:tc>
          <w:tcPr>
            <w:tcW w:w="2280" w:type="dxa"/>
            <w:tcBorders>
              <w:top w:val="single" w:color="BDBDBD" w:sz="0" w:space="0"/>
              <w:left w:val="single" w:color="BDBDBD" w:sz="0" w:space="0"/>
              <w:bottom w:val="single" w:color="BDBDBD" w:sz="0" w:space="0"/>
              <w:right w:val="single" w:color="BDBDBD" w:sz="0" w:space="0"/>
            </w:tcBorders>
            <w:shd w:val="clear" w:color="auto" w:fill="1A237E"/>
            <w:tcMar>
              <w:top w:w="100" w:type="dxa"/>
              <w:left w:w="150" w:type="dxa"/>
              <w:bottom w:w="100" w:type="dxa"/>
              <w:right w:w="150" w:type="dxa"/>
            </w:tcMar>
            <w:vAlign w:val="center"/>
          </w:tcPr>
          <w:p w14:paraId="72A60ED7">
            <w:pPr>
              <w:jc w:val="center"/>
            </w:pPr>
            <w:r>
              <w:rPr>
                <w:rFonts w:ascii="Arial" w:hAnsi="Arial" w:eastAsia="Arial" w:cs="Arial"/>
                <w:b/>
                <w:bCs/>
                <w:color w:val="FFFFFF"/>
                <w:sz w:val="20"/>
                <w:szCs w:val="20"/>
              </w:rPr>
              <w:t>Share of Quantity</w:t>
            </w:r>
          </w:p>
        </w:tc>
        <w:tc>
          <w:tcPr>
            <w:tcW w:w="4280" w:type="dxa"/>
            <w:tcBorders>
              <w:top w:val="single" w:color="BDBDBD" w:sz="0" w:space="0"/>
              <w:left w:val="single" w:color="BDBDBD" w:sz="0" w:space="0"/>
              <w:bottom w:val="single" w:color="BDBDBD" w:sz="0" w:space="0"/>
              <w:right w:val="single" w:color="BDBDBD" w:sz="0" w:space="0"/>
            </w:tcBorders>
            <w:shd w:val="clear" w:color="auto" w:fill="1A237E"/>
            <w:tcMar>
              <w:top w:w="100" w:type="dxa"/>
              <w:left w:w="150" w:type="dxa"/>
              <w:bottom w:w="100" w:type="dxa"/>
              <w:right w:w="150" w:type="dxa"/>
            </w:tcMar>
            <w:vAlign w:val="center"/>
          </w:tcPr>
          <w:p w14:paraId="0A4A6896">
            <w:pPr>
              <w:jc w:val="center"/>
            </w:pPr>
            <w:r>
              <w:rPr>
                <w:rFonts w:ascii="Arial" w:hAnsi="Arial" w:eastAsia="Arial" w:cs="Arial"/>
                <w:b/>
                <w:bCs/>
                <w:color w:val="FFFFFF"/>
                <w:sz w:val="20"/>
                <w:szCs w:val="20"/>
              </w:rPr>
              <w:t>Business Implication</w:t>
            </w:r>
          </w:p>
        </w:tc>
      </w:tr>
      <w:tr w14:paraId="4C80D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3480B0E6">
            <w:pPr>
              <w:jc w:val="left"/>
            </w:pPr>
            <w:r>
              <w:rPr>
                <w:rFonts w:ascii="Arial" w:hAnsi="Arial" w:eastAsia="Arial" w:cs="Arial"/>
                <w:b/>
                <w:bCs/>
                <w:color w:val="212121"/>
                <w:sz w:val="19"/>
                <w:szCs w:val="19"/>
              </w:rPr>
              <w:t>COD (Cash on Delivery)</w:t>
            </w:r>
          </w:p>
        </w:tc>
        <w:tc>
          <w:tcPr>
            <w:tcW w:w="228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4CC25050">
            <w:pPr>
              <w:jc w:val="center"/>
            </w:pPr>
            <w:r>
              <w:rPr>
                <w:rFonts w:ascii="Arial" w:hAnsi="Arial" w:eastAsia="Arial" w:cs="Arial"/>
                <w:b w:val="0"/>
                <w:bCs w:val="0"/>
                <w:color w:val="212121"/>
                <w:sz w:val="19"/>
                <w:szCs w:val="19"/>
              </w:rPr>
              <w:t>44%</w:t>
            </w:r>
          </w:p>
        </w:tc>
        <w:tc>
          <w:tcPr>
            <w:tcW w:w="428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684B00A7">
            <w:pPr>
              <w:jc w:val="left"/>
            </w:pPr>
            <w:r>
              <w:rPr>
                <w:rFonts w:ascii="Arial" w:hAnsi="Arial" w:eastAsia="Arial" w:cs="Arial"/>
                <w:b w:val="0"/>
                <w:bCs w:val="0"/>
                <w:color w:val="212121"/>
                <w:sz w:val="19"/>
                <w:szCs w:val="19"/>
              </w:rPr>
              <w:t>High operational cost; return risk; customer trust indicator</w:t>
            </w:r>
          </w:p>
        </w:tc>
      </w:tr>
      <w:tr w14:paraId="20D28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0392B42E">
            <w:pPr>
              <w:jc w:val="left"/>
            </w:pPr>
            <w:r>
              <w:rPr>
                <w:rFonts w:ascii="Arial" w:hAnsi="Arial" w:eastAsia="Arial" w:cs="Arial"/>
                <w:b/>
                <w:bCs/>
                <w:color w:val="212121"/>
                <w:sz w:val="19"/>
                <w:szCs w:val="19"/>
              </w:rPr>
              <w:t>UPI</w:t>
            </w:r>
          </w:p>
        </w:tc>
        <w:tc>
          <w:tcPr>
            <w:tcW w:w="228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19501409">
            <w:pPr>
              <w:jc w:val="center"/>
            </w:pPr>
            <w:r>
              <w:rPr>
                <w:rFonts w:ascii="Arial" w:hAnsi="Arial" w:eastAsia="Arial" w:cs="Arial"/>
                <w:b w:val="0"/>
                <w:bCs w:val="0"/>
                <w:color w:val="212121"/>
                <w:sz w:val="19"/>
                <w:szCs w:val="19"/>
              </w:rPr>
              <w:t>21%</w:t>
            </w:r>
          </w:p>
        </w:tc>
        <w:tc>
          <w:tcPr>
            <w:tcW w:w="428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553D3BF1">
            <w:pPr>
              <w:jc w:val="left"/>
            </w:pPr>
            <w:r>
              <w:rPr>
                <w:rFonts w:ascii="Arial" w:hAnsi="Arial" w:eastAsia="Arial" w:cs="Arial"/>
                <w:b w:val="0"/>
                <w:bCs w:val="0"/>
                <w:color w:val="212121"/>
                <w:sz w:val="19"/>
                <w:szCs w:val="19"/>
              </w:rPr>
              <w:t>Low-cost, instant; growing digital payment adoption</w:t>
            </w:r>
          </w:p>
        </w:tc>
      </w:tr>
      <w:tr w14:paraId="7F012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3A50450A">
            <w:pPr>
              <w:jc w:val="left"/>
            </w:pPr>
            <w:r>
              <w:rPr>
                <w:rFonts w:ascii="Arial" w:hAnsi="Arial" w:eastAsia="Arial" w:cs="Arial"/>
                <w:b/>
                <w:bCs/>
                <w:color w:val="212121"/>
                <w:sz w:val="19"/>
                <w:szCs w:val="19"/>
              </w:rPr>
              <w:t>Debit Card</w:t>
            </w:r>
          </w:p>
        </w:tc>
        <w:tc>
          <w:tcPr>
            <w:tcW w:w="228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3627C512">
            <w:pPr>
              <w:jc w:val="center"/>
            </w:pPr>
            <w:r>
              <w:rPr>
                <w:rFonts w:ascii="Arial" w:hAnsi="Arial" w:eastAsia="Arial" w:cs="Arial"/>
                <w:b w:val="0"/>
                <w:bCs w:val="0"/>
                <w:color w:val="212121"/>
                <w:sz w:val="19"/>
                <w:szCs w:val="19"/>
              </w:rPr>
              <w:t>13%</w:t>
            </w:r>
          </w:p>
        </w:tc>
        <w:tc>
          <w:tcPr>
            <w:tcW w:w="428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4A0D8907">
            <w:pPr>
              <w:jc w:val="left"/>
            </w:pPr>
            <w:r>
              <w:rPr>
                <w:rFonts w:ascii="Arial" w:hAnsi="Arial" w:eastAsia="Arial" w:cs="Arial"/>
                <w:b w:val="0"/>
                <w:bCs w:val="0"/>
                <w:color w:val="212121"/>
                <w:sz w:val="19"/>
                <w:szCs w:val="19"/>
              </w:rPr>
              <w:t>Traditional banking channel; moderate cost</w:t>
            </w:r>
          </w:p>
        </w:tc>
      </w:tr>
      <w:tr w14:paraId="0E97E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7C1A5515">
            <w:pPr>
              <w:jc w:val="left"/>
            </w:pPr>
            <w:r>
              <w:rPr>
                <w:rFonts w:ascii="Arial" w:hAnsi="Arial" w:eastAsia="Arial" w:cs="Arial"/>
                <w:b/>
                <w:bCs/>
                <w:color w:val="212121"/>
                <w:sz w:val="19"/>
                <w:szCs w:val="19"/>
              </w:rPr>
              <w:t>Credit Card</w:t>
            </w:r>
          </w:p>
        </w:tc>
        <w:tc>
          <w:tcPr>
            <w:tcW w:w="228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4E1DB634">
            <w:pPr>
              <w:jc w:val="center"/>
            </w:pPr>
            <w:r>
              <w:rPr>
                <w:rFonts w:ascii="Arial" w:hAnsi="Arial" w:eastAsia="Arial" w:cs="Arial"/>
                <w:b w:val="0"/>
                <w:bCs w:val="0"/>
                <w:color w:val="212121"/>
                <w:sz w:val="19"/>
                <w:szCs w:val="19"/>
              </w:rPr>
              <w:t>12%</w:t>
            </w:r>
          </w:p>
        </w:tc>
        <w:tc>
          <w:tcPr>
            <w:tcW w:w="428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52AAAD86">
            <w:pPr>
              <w:jc w:val="left"/>
            </w:pPr>
            <w:r>
              <w:rPr>
                <w:rFonts w:ascii="Arial" w:hAnsi="Arial" w:eastAsia="Arial" w:cs="Arial"/>
                <w:b w:val="0"/>
                <w:bCs w:val="0"/>
                <w:color w:val="212121"/>
                <w:sz w:val="19"/>
                <w:szCs w:val="19"/>
              </w:rPr>
              <w:t>High-value transactions; interchange fees apply</w:t>
            </w:r>
          </w:p>
        </w:tc>
      </w:tr>
      <w:tr w14:paraId="14BC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5BFB2D1D">
            <w:pPr>
              <w:jc w:val="left"/>
            </w:pPr>
            <w:r>
              <w:rPr>
                <w:rFonts w:ascii="Arial" w:hAnsi="Arial" w:eastAsia="Arial" w:cs="Arial"/>
                <w:b/>
                <w:bCs/>
                <w:color w:val="212121"/>
                <w:sz w:val="19"/>
                <w:szCs w:val="19"/>
              </w:rPr>
              <w:t>EMI</w:t>
            </w:r>
          </w:p>
        </w:tc>
        <w:tc>
          <w:tcPr>
            <w:tcW w:w="228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10303372">
            <w:pPr>
              <w:jc w:val="center"/>
            </w:pPr>
            <w:r>
              <w:rPr>
                <w:rFonts w:ascii="Arial" w:hAnsi="Arial" w:eastAsia="Arial" w:cs="Arial"/>
                <w:b w:val="0"/>
                <w:bCs w:val="0"/>
                <w:color w:val="212121"/>
                <w:sz w:val="19"/>
                <w:szCs w:val="19"/>
              </w:rPr>
              <w:t>10%</w:t>
            </w:r>
          </w:p>
        </w:tc>
        <w:tc>
          <w:tcPr>
            <w:tcW w:w="428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0A7DBCF5">
            <w:pPr>
              <w:jc w:val="left"/>
            </w:pPr>
            <w:r>
              <w:rPr>
                <w:rFonts w:ascii="Arial" w:hAnsi="Arial" w:eastAsia="Arial" w:cs="Arial"/>
                <w:b w:val="0"/>
                <w:bCs w:val="0"/>
                <w:color w:val="212121"/>
                <w:sz w:val="19"/>
                <w:szCs w:val="19"/>
              </w:rPr>
              <w:t>High-ticket items; interest revenue potential</w:t>
            </w:r>
          </w:p>
        </w:tc>
      </w:tr>
    </w:tbl>
    <w:p w14:paraId="5E8D9239">
      <w:pPr>
        <w:pStyle w:val="3"/>
        <w:spacing w:before="280" w:after="160"/>
      </w:pPr>
      <w:bookmarkStart w:id="27" w:name="_Toc7952"/>
      <w:r>
        <w:rPr>
          <w:rFonts w:ascii="Arial" w:hAnsi="Arial" w:eastAsia="Arial" w:cs="Arial"/>
          <w:b/>
          <w:bCs/>
          <w:color w:val="1565C0"/>
          <w:sz w:val="28"/>
          <w:szCs w:val="28"/>
        </w:rPr>
        <w:t>3.4 Data Quality Assessment</w:t>
      </w:r>
      <w:bookmarkEnd w:id="27"/>
    </w:p>
    <w:p w14:paraId="3BEAE1B3">
      <w:pPr>
        <w:spacing w:before="80" w:after="120" w:line="360" w:lineRule="auto"/>
        <w:jc w:val="both"/>
      </w:pPr>
      <w:r>
        <w:rPr>
          <w:rFonts w:ascii="Arial" w:hAnsi="Arial" w:eastAsia="Arial" w:cs="Arial"/>
          <w:b w:val="0"/>
          <w:bCs w:val="0"/>
          <w:i w:val="0"/>
          <w:iCs w:val="0"/>
          <w:color w:val="212121"/>
          <w:sz w:val="22"/>
          <w:szCs w:val="22"/>
        </w:rPr>
        <w:t>Before analysis, the dataset underwent a data quality review. The following observations were made:</w:t>
      </w:r>
    </w:p>
    <w:p w14:paraId="31476F7C">
      <w:pPr>
        <w:pStyle w:val="20"/>
        <w:numPr>
          <w:ilvl w:val="0"/>
          <w:numId w:val="2"/>
        </w:numPr>
        <w:spacing w:before="60" w:after="60" w:line="320" w:lineRule="auto"/>
      </w:pPr>
      <w:r>
        <w:rPr>
          <w:rFonts w:ascii="Arial" w:hAnsi="Arial" w:eastAsia="Arial" w:cs="Arial"/>
          <w:color w:val="212121"/>
          <w:sz w:val="22"/>
          <w:szCs w:val="22"/>
        </w:rPr>
        <w:t>Completeness: All 500 orders in Orders.csv have complete records across all five fields. No null values were detected in Order ID, Order Date, CustomerName, State, or City columns.</w:t>
      </w:r>
    </w:p>
    <w:p w14:paraId="59CEF873">
      <w:pPr>
        <w:pStyle w:val="20"/>
        <w:numPr>
          <w:ilvl w:val="0"/>
          <w:numId w:val="2"/>
        </w:numPr>
        <w:spacing w:before="60" w:after="60" w:line="320" w:lineRule="auto"/>
      </w:pPr>
      <w:r>
        <w:rPr>
          <w:rFonts w:ascii="Arial" w:hAnsi="Arial" w:eastAsia="Arial" w:cs="Arial"/>
          <w:color w:val="212121"/>
          <w:sz w:val="22"/>
          <w:szCs w:val="22"/>
        </w:rPr>
        <w:t>Consistency: Order ID formats are consistently structured as 'B-XXXXX' with five numeric digits. Date formats follow DD-MM-YYYY consistently across all records.</w:t>
      </w:r>
    </w:p>
    <w:p w14:paraId="3CAA6C00">
      <w:pPr>
        <w:pStyle w:val="20"/>
        <w:numPr>
          <w:ilvl w:val="0"/>
          <w:numId w:val="2"/>
        </w:numPr>
        <w:spacing w:before="60" w:after="60" w:line="320" w:lineRule="auto"/>
      </w:pPr>
      <w:r>
        <w:rPr>
          <w:rFonts w:ascii="Arial" w:hAnsi="Arial" w:eastAsia="Arial" w:cs="Arial"/>
          <w:color w:val="212121"/>
          <w:sz w:val="22"/>
          <w:szCs w:val="22"/>
        </w:rPr>
        <w:t>Validity: Profit values include negative entries for certain transactions, which is valid and represents loss-making product lines. These are analytically significant and intentionally retained.</w:t>
      </w:r>
    </w:p>
    <w:p w14:paraId="3FA34F2D">
      <w:pPr>
        <w:pStyle w:val="20"/>
        <w:numPr>
          <w:ilvl w:val="0"/>
          <w:numId w:val="2"/>
        </w:numPr>
        <w:spacing w:before="60" w:after="60" w:line="320" w:lineRule="auto"/>
      </w:pPr>
      <w:r>
        <w:rPr>
          <w:rFonts w:ascii="Arial" w:hAnsi="Arial" w:eastAsia="Arial" w:cs="Arial"/>
          <w:color w:val="212121"/>
          <w:sz w:val="22"/>
          <w:szCs w:val="22"/>
        </w:rPr>
        <w:t>Referential Integrity: All Order IDs appearing in Details.csv have corresponding entries in Orders.csv, confirming proper foreign key relationships.</w:t>
      </w:r>
    </w:p>
    <w:p w14:paraId="66B1CA8D">
      <w:pPr>
        <w:pStyle w:val="20"/>
        <w:numPr>
          <w:ilvl w:val="0"/>
          <w:numId w:val="2"/>
        </w:numPr>
        <w:spacing w:before="60" w:after="60" w:line="320" w:lineRule="auto"/>
      </w:pPr>
      <w:r>
        <w:rPr>
          <w:rFonts w:ascii="Arial" w:hAnsi="Arial" w:eastAsia="Arial" w:cs="Arial"/>
          <w:color w:val="212121"/>
          <w:sz w:val="22"/>
          <w:szCs w:val="22"/>
        </w:rPr>
        <w:t>Geographic Data: One state entry appears as 'Kerala ' (with trailing space) in Orders.csv. This was identified as a minor data quality issue requiring preprocessing before database loading.</w:t>
      </w:r>
    </w:p>
    <w:p w14:paraId="76E54133">
      <w:r>
        <w:br w:type="page"/>
      </w:r>
    </w:p>
    <w:p w14:paraId="7CBDDA92">
      <w:pPr>
        <w:pStyle w:val="2"/>
        <w:pBdr>
          <w:bottom w:val="single" w:color="1565C0" w:sz="8" w:space="4"/>
        </w:pBdr>
        <w:spacing w:before="360" w:after="200"/>
        <w:jc w:val="center"/>
      </w:pPr>
      <w:bookmarkStart w:id="28" w:name="_Toc3339"/>
      <w:r>
        <w:rPr>
          <w:rFonts w:ascii="Arial" w:hAnsi="Arial" w:eastAsia="Arial" w:cs="Arial"/>
          <w:b/>
          <w:bCs/>
          <w:color w:val="1A237E"/>
          <w:sz w:val="36"/>
          <w:szCs w:val="36"/>
        </w:rPr>
        <w:t>Chapter 4: System Design</w:t>
      </w:r>
      <w:bookmarkEnd w:id="28"/>
    </w:p>
    <w:p w14:paraId="7FE395B2">
      <w:pPr>
        <w:pStyle w:val="3"/>
        <w:spacing w:before="280" w:after="160"/>
      </w:pPr>
      <w:bookmarkStart w:id="29" w:name="_Toc1091"/>
      <w:r>
        <w:rPr>
          <w:rFonts w:ascii="Arial" w:hAnsi="Arial" w:eastAsia="Arial" w:cs="Arial"/>
          <w:b/>
          <w:bCs/>
          <w:color w:val="1565C0"/>
          <w:sz w:val="28"/>
          <w:szCs w:val="28"/>
        </w:rPr>
        <w:t>4.1 System Architecture Overview</w:t>
      </w:r>
      <w:bookmarkEnd w:id="29"/>
    </w:p>
    <w:p w14:paraId="29DEAF74">
      <w:pPr>
        <w:spacing w:before="80" w:after="120" w:line="360" w:lineRule="auto"/>
        <w:jc w:val="both"/>
      </w:pPr>
      <w:r>
        <w:rPr>
          <w:rFonts w:ascii="Arial" w:hAnsi="Arial" w:eastAsia="Arial" w:cs="Arial"/>
          <w:b w:val="0"/>
          <w:bCs w:val="0"/>
          <w:i w:val="0"/>
          <w:iCs w:val="0"/>
          <w:color w:val="212121"/>
          <w:sz w:val="22"/>
          <w:szCs w:val="22"/>
        </w:rPr>
        <w:t>The E-Commerce Sales Analytics system follows a classic multi-tier Business Intelligence architecture consisting of four layers: the Data Source Layer, the Data Processing and ETL Layer, the Data Storage Layer, and the Presentation/Visualization Layer. This layered architecture ensures separation of concerns, maintainability, and scalability.</w:t>
      </w:r>
    </w:p>
    <w:p w14:paraId="548DE952">
      <w:pPr>
        <w:spacing w:before="80" w:after="120" w:line="360" w:lineRule="auto"/>
        <w:jc w:val="both"/>
      </w:pPr>
      <w:r>
        <w:rPr>
          <w:rFonts w:ascii="Arial" w:hAnsi="Arial" w:eastAsia="Arial" w:cs="Arial"/>
          <w:b w:val="0"/>
          <w:bCs w:val="0"/>
          <w:i w:val="0"/>
          <w:iCs w:val="0"/>
          <w:color w:val="212121"/>
          <w:sz w:val="22"/>
          <w:szCs w:val="22"/>
        </w:rPr>
        <w:t>The data flow follows a linear pipeline: raw CSV files are ingested through the ETL process, transformed and cleaned, loaded into a normalized relational database, restructured into a Star Schema data warehouse for analytical queries, and finally visualized through the Power BI dashboard.</w:t>
      </w:r>
    </w:p>
    <w:p w14:paraId="07F96952">
      <w:pPr>
        <w:pStyle w:val="3"/>
        <w:spacing w:before="280" w:after="160"/>
      </w:pPr>
      <w:bookmarkStart w:id="30" w:name="_Toc22807"/>
      <w:r>
        <w:rPr>
          <w:rFonts w:ascii="Arial" w:hAnsi="Arial" w:eastAsia="Arial" w:cs="Arial"/>
          <w:b/>
          <w:bCs/>
          <w:color w:val="1565C0"/>
          <w:sz w:val="28"/>
          <w:szCs w:val="28"/>
        </w:rPr>
        <w:t>4.2 Database Schema Design (OLTP)</w:t>
      </w:r>
      <w:bookmarkEnd w:id="30"/>
    </w:p>
    <w:p w14:paraId="06C17456">
      <w:pPr>
        <w:spacing w:before="80" w:after="120" w:line="360" w:lineRule="auto"/>
        <w:jc w:val="both"/>
      </w:pPr>
      <w:r>
        <w:rPr>
          <w:rFonts w:ascii="Arial" w:hAnsi="Arial" w:eastAsia="Arial" w:cs="Arial"/>
          <w:b w:val="0"/>
          <w:bCs w:val="0"/>
          <w:i w:val="0"/>
          <w:iCs w:val="0"/>
          <w:color w:val="212121"/>
          <w:sz w:val="22"/>
          <w:szCs w:val="22"/>
        </w:rPr>
        <w:t>The operational database follows a normalized Third Normal Form (3NF) relational schema designed to minimize data redundancy and ensure referential integrity. The schema was implemented in PostgreSQL and consists of six interrelated tables:</w:t>
      </w:r>
    </w:p>
    <w:p w14:paraId="4256A605">
      <w:pPr>
        <w:pStyle w:val="4"/>
        <w:spacing w:before="200" w:after="100"/>
      </w:pPr>
      <w:bookmarkStart w:id="31" w:name="_Toc29015"/>
      <w:r>
        <w:rPr>
          <w:rFonts w:ascii="Arial" w:hAnsi="Arial" w:eastAsia="Arial" w:cs="Arial"/>
          <w:b/>
          <w:bCs/>
          <w:color w:val="0D47A1"/>
          <w:sz w:val="24"/>
          <w:szCs w:val="24"/>
        </w:rPr>
        <w:t>4.2.1 Table Definitions</w:t>
      </w:r>
      <w:bookmarkEnd w:id="31"/>
    </w:p>
    <w:p w14:paraId="108F4544">
      <w:pPr>
        <w:spacing w:before="80" w:after="120" w:line="360" w:lineRule="auto"/>
        <w:jc w:val="both"/>
      </w:pPr>
      <w:r>
        <w:rPr>
          <w:rFonts w:ascii="Arial" w:hAnsi="Arial" w:eastAsia="Arial" w:cs="Arial"/>
          <w:b w:val="0"/>
          <w:bCs w:val="0"/>
          <w:i w:val="0"/>
          <w:iCs w:val="0"/>
          <w:color w:val="212121"/>
          <w:sz w:val="22"/>
          <w:szCs w:val="22"/>
        </w:rPr>
        <w:t>1. Customers Table: Stores unique customer information with auto-generated CustomerID primary key, customer name, city, and state. The normalization ensures that customer information is stored once, regardless of how many orders the customer has placed.</w:t>
      </w:r>
    </w:p>
    <w:p w14:paraId="2659EA93">
      <w:pPr>
        <w:spacing w:before="80" w:after="120" w:line="360" w:lineRule="auto"/>
        <w:jc w:val="both"/>
      </w:pPr>
      <w:r>
        <w:rPr>
          <w:rFonts w:ascii="Arial" w:hAnsi="Arial" w:eastAsia="Arial" w:cs="Arial"/>
          <w:b w:val="0"/>
          <w:bCs w:val="0"/>
          <w:i w:val="0"/>
          <w:iCs w:val="0"/>
          <w:color w:val="212121"/>
          <w:sz w:val="22"/>
          <w:szCs w:val="22"/>
        </w:rPr>
        <w:t>2. Categories Table: Maintains the three product categories (Electronics, Furniture, Clothing) with a unique CategoryID. The UNIQUE constraint on CategoryName prevents duplicate category entries.</w:t>
      </w:r>
    </w:p>
    <w:p w14:paraId="47E109B3">
      <w:pPr>
        <w:spacing w:before="80" w:after="120" w:line="360" w:lineRule="auto"/>
        <w:jc w:val="both"/>
      </w:pPr>
      <w:r>
        <w:rPr>
          <w:rFonts w:ascii="Arial" w:hAnsi="Arial" w:eastAsia="Arial" w:cs="Arial"/>
          <w:b w:val="0"/>
          <w:bCs w:val="0"/>
          <w:i w:val="0"/>
          <w:iCs w:val="0"/>
          <w:color w:val="212121"/>
          <w:sz w:val="22"/>
          <w:szCs w:val="22"/>
        </w:rPr>
        <w:t>3. SubCategories Table: Stores all 17 product sub-categories (Printers, Phones, Bookcases, Saree, etc.) with a foreign key reference to the Categories table, enforcing the category hierarchy.</w:t>
      </w:r>
    </w:p>
    <w:p w14:paraId="2618F7D2">
      <w:pPr>
        <w:spacing w:before="80" w:after="120" w:line="360" w:lineRule="auto"/>
        <w:jc w:val="both"/>
      </w:pPr>
      <w:r>
        <w:rPr>
          <w:rFonts w:ascii="Arial" w:hAnsi="Arial" w:eastAsia="Arial" w:cs="Arial"/>
          <w:b w:val="0"/>
          <w:bCs w:val="0"/>
          <w:i w:val="0"/>
          <w:iCs w:val="0"/>
          <w:color w:val="212121"/>
          <w:sz w:val="22"/>
          <w:szCs w:val="22"/>
        </w:rPr>
        <w:t>4. PaymentModes Table: Normalizes the five payment modes (COD, UPI, Credit Card, Debit Card, EMI) into a lookup table, ensuring consistent payment mode representation across all transactions.</w:t>
      </w:r>
    </w:p>
    <w:p w14:paraId="2EB1FD43">
      <w:pPr>
        <w:spacing w:before="80" w:after="120" w:line="360" w:lineRule="auto"/>
        <w:jc w:val="both"/>
      </w:pPr>
      <w:r>
        <w:rPr>
          <w:rFonts w:ascii="Arial" w:hAnsi="Arial" w:eastAsia="Arial" w:cs="Arial"/>
          <w:b w:val="0"/>
          <w:bCs w:val="0"/>
          <w:i w:val="0"/>
          <w:iCs w:val="0"/>
          <w:color w:val="212121"/>
          <w:sz w:val="22"/>
          <w:szCs w:val="22"/>
        </w:rPr>
        <w:t>5. Orders Table: The core order header table containing OrderID (alphanumeric primary key), OrderDate, and a foreign key reference to the Customers table. This 1-to-many relationship with OrderDetails represents the order-to-items hierarchy.</w:t>
      </w:r>
    </w:p>
    <w:p w14:paraId="421CEE03">
      <w:pPr>
        <w:spacing w:before="80" w:after="120" w:line="360" w:lineRule="auto"/>
        <w:jc w:val="both"/>
      </w:pPr>
      <w:r>
        <w:rPr>
          <w:rFonts w:ascii="Arial" w:hAnsi="Arial" w:eastAsia="Arial" w:cs="Arial"/>
          <w:b w:val="0"/>
          <w:bCs w:val="0"/>
          <w:i w:val="0"/>
          <w:iCs w:val="0"/>
          <w:color w:val="212121"/>
          <w:sz w:val="22"/>
          <w:szCs w:val="22"/>
        </w:rPr>
        <w:t>6. OrderDetails Table: The primary transaction fact table containing individual line items with Amount, Profit, Quantity, and foreign keys to Orders, SubCategories, and PaymentModes tables. The RecordID is a surrogate auto-incremented primary key.</w:t>
      </w:r>
    </w:p>
    <w:p w14:paraId="5FFA819D">
      <w:pPr>
        <w:pStyle w:val="4"/>
        <w:spacing w:before="200" w:after="100"/>
      </w:pPr>
      <w:bookmarkStart w:id="32" w:name="_Toc20943"/>
      <w:r>
        <w:rPr>
          <w:rFonts w:ascii="Arial" w:hAnsi="Arial" w:eastAsia="Arial" w:cs="Arial"/>
          <w:b/>
          <w:bCs/>
          <w:color w:val="0D47A1"/>
          <w:sz w:val="24"/>
          <w:szCs w:val="24"/>
        </w:rPr>
        <w:t>4.2.2 Entity Relationship Diagram (Textual Representation)</w:t>
      </w:r>
      <w:bookmarkEnd w:id="32"/>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12CA9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DBDBD" w:sz="0" w:space="0"/>
              <w:left w:val="single" w:color="BDBDBD" w:sz="0" w:space="0"/>
              <w:bottom w:val="single" w:color="BDBDBD" w:sz="0" w:space="0"/>
              <w:right w:val="single" w:color="BDBDBD" w:sz="0" w:space="0"/>
            </w:tcBorders>
            <w:shd w:val="clear" w:color="auto" w:fill="1A237E"/>
            <w:tcMar>
              <w:top w:w="100" w:type="dxa"/>
              <w:left w:w="150" w:type="dxa"/>
              <w:bottom w:w="100" w:type="dxa"/>
              <w:right w:w="150" w:type="dxa"/>
            </w:tcMar>
            <w:vAlign w:val="center"/>
          </w:tcPr>
          <w:p w14:paraId="727D4B08">
            <w:pPr>
              <w:jc w:val="center"/>
            </w:pPr>
            <w:r>
              <w:rPr>
                <w:rFonts w:ascii="Arial" w:hAnsi="Arial" w:eastAsia="Arial" w:cs="Arial"/>
                <w:b/>
                <w:bCs/>
                <w:color w:val="FFFFFF"/>
                <w:sz w:val="20"/>
                <w:szCs w:val="20"/>
              </w:rPr>
              <w:t>Entity</w:t>
            </w:r>
          </w:p>
        </w:tc>
        <w:tc>
          <w:tcPr>
            <w:tcW w:w="4680" w:type="dxa"/>
            <w:tcBorders>
              <w:top w:val="single" w:color="BDBDBD" w:sz="0" w:space="0"/>
              <w:left w:val="single" w:color="BDBDBD" w:sz="0" w:space="0"/>
              <w:bottom w:val="single" w:color="BDBDBD" w:sz="0" w:space="0"/>
              <w:right w:val="single" w:color="BDBDBD" w:sz="0" w:space="0"/>
            </w:tcBorders>
            <w:shd w:val="clear" w:color="auto" w:fill="1A237E"/>
            <w:tcMar>
              <w:top w:w="100" w:type="dxa"/>
              <w:left w:w="150" w:type="dxa"/>
              <w:bottom w:w="100" w:type="dxa"/>
              <w:right w:w="150" w:type="dxa"/>
            </w:tcMar>
            <w:vAlign w:val="center"/>
          </w:tcPr>
          <w:p w14:paraId="7978C42E">
            <w:pPr>
              <w:jc w:val="center"/>
            </w:pPr>
            <w:r>
              <w:rPr>
                <w:rFonts w:ascii="Arial" w:hAnsi="Arial" w:eastAsia="Arial" w:cs="Arial"/>
                <w:b/>
                <w:bCs/>
                <w:color w:val="FFFFFF"/>
                <w:sz w:val="20"/>
                <w:szCs w:val="20"/>
              </w:rPr>
              <w:t>Relationships</w:t>
            </w:r>
          </w:p>
        </w:tc>
      </w:tr>
      <w:tr w14:paraId="6E0F7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42A9EAFA">
            <w:pPr>
              <w:jc w:val="left"/>
            </w:pPr>
            <w:r>
              <w:rPr>
                <w:rFonts w:ascii="Arial" w:hAnsi="Arial" w:eastAsia="Arial" w:cs="Arial"/>
                <w:b/>
                <w:bCs/>
                <w:color w:val="212121"/>
                <w:sz w:val="19"/>
                <w:szCs w:val="19"/>
              </w:rPr>
              <w:t>Customers</w:t>
            </w:r>
          </w:p>
        </w:tc>
        <w:tc>
          <w:tcPr>
            <w:tcW w:w="468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1D2FD438">
            <w:pPr>
              <w:jc w:val="left"/>
            </w:pPr>
            <w:r>
              <w:rPr>
                <w:rFonts w:ascii="Arial" w:hAnsi="Arial" w:eastAsia="Arial" w:cs="Arial"/>
                <w:b w:val="0"/>
                <w:bCs w:val="0"/>
                <w:color w:val="212121"/>
                <w:sz w:val="19"/>
                <w:szCs w:val="19"/>
              </w:rPr>
              <w:t>1:M with Orders (one customer can have many orders)</w:t>
            </w:r>
          </w:p>
        </w:tc>
      </w:tr>
      <w:tr w14:paraId="43FA1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5399341A">
            <w:pPr>
              <w:jc w:val="left"/>
            </w:pPr>
            <w:r>
              <w:rPr>
                <w:rFonts w:ascii="Arial" w:hAnsi="Arial" w:eastAsia="Arial" w:cs="Arial"/>
                <w:b/>
                <w:bCs/>
                <w:color w:val="212121"/>
                <w:sz w:val="19"/>
                <w:szCs w:val="19"/>
              </w:rPr>
              <w:t>Orders</w:t>
            </w:r>
          </w:p>
        </w:tc>
        <w:tc>
          <w:tcPr>
            <w:tcW w:w="468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7E588CD8">
            <w:pPr>
              <w:jc w:val="left"/>
            </w:pPr>
            <w:r>
              <w:rPr>
                <w:rFonts w:ascii="Arial" w:hAnsi="Arial" w:eastAsia="Arial" w:cs="Arial"/>
                <w:b w:val="0"/>
                <w:bCs w:val="0"/>
                <w:color w:val="212121"/>
                <w:sz w:val="19"/>
                <w:szCs w:val="19"/>
              </w:rPr>
              <w:t>M:1 with Customers; 1:M with OrderDetails</w:t>
            </w:r>
          </w:p>
        </w:tc>
      </w:tr>
      <w:tr w14:paraId="76AA9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60A1C03C">
            <w:pPr>
              <w:jc w:val="left"/>
            </w:pPr>
            <w:r>
              <w:rPr>
                <w:rFonts w:ascii="Arial" w:hAnsi="Arial" w:eastAsia="Arial" w:cs="Arial"/>
                <w:b/>
                <w:bCs/>
                <w:color w:val="212121"/>
                <w:sz w:val="19"/>
                <w:szCs w:val="19"/>
              </w:rPr>
              <w:t>OrderDetails</w:t>
            </w:r>
          </w:p>
        </w:tc>
        <w:tc>
          <w:tcPr>
            <w:tcW w:w="468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5A94AB7C">
            <w:pPr>
              <w:jc w:val="left"/>
            </w:pPr>
            <w:r>
              <w:rPr>
                <w:rFonts w:ascii="Arial" w:hAnsi="Arial" w:eastAsia="Arial" w:cs="Arial"/>
                <w:b w:val="0"/>
                <w:bCs w:val="0"/>
                <w:color w:val="212121"/>
                <w:sz w:val="19"/>
                <w:szCs w:val="19"/>
              </w:rPr>
              <w:t>M:1 with Orders, SubCategories, PaymentModes</w:t>
            </w:r>
          </w:p>
        </w:tc>
      </w:tr>
      <w:tr w14:paraId="3CD26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24F865C1">
            <w:pPr>
              <w:jc w:val="left"/>
            </w:pPr>
            <w:r>
              <w:rPr>
                <w:rFonts w:ascii="Arial" w:hAnsi="Arial" w:eastAsia="Arial" w:cs="Arial"/>
                <w:b/>
                <w:bCs/>
                <w:color w:val="212121"/>
                <w:sz w:val="19"/>
                <w:szCs w:val="19"/>
              </w:rPr>
              <w:t>SubCategories</w:t>
            </w:r>
          </w:p>
        </w:tc>
        <w:tc>
          <w:tcPr>
            <w:tcW w:w="468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010FA156">
            <w:pPr>
              <w:jc w:val="left"/>
            </w:pPr>
            <w:r>
              <w:rPr>
                <w:rFonts w:ascii="Arial" w:hAnsi="Arial" w:eastAsia="Arial" w:cs="Arial"/>
                <w:b w:val="0"/>
                <w:bCs w:val="0"/>
                <w:color w:val="212121"/>
                <w:sz w:val="19"/>
                <w:szCs w:val="19"/>
              </w:rPr>
              <w:t>M:1 with Categories; 1:M with OrderDetails</w:t>
            </w:r>
          </w:p>
        </w:tc>
      </w:tr>
      <w:tr w14:paraId="309E8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03CA9B8A">
            <w:pPr>
              <w:jc w:val="left"/>
            </w:pPr>
            <w:r>
              <w:rPr>
                <w:rFonts w:ascii="Arial" w:hAnsi="Arial" w:eastAsia="Arial" w:cs="Arial"/>
                <w:b/>
                <w:bCs/>
                <w:color w:val="212121"/>
                <w:sz w:val="19"/>
                <w:szCs w:val="19"/>
              </w:rPr>
              <w:t>Categories</w:t>
            </w:r>
          </w:p>
        </w:tc>
        <w:tc>
          <w:tcPr>
            <w:tcW w:w="468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5EE9F61E">
            <w:pPr>
              <w:jc w:val="left"/>
            </w:pPr>
            <w:r>
              <w:rPr>
                <w:rFonts w:ascii="Arial" w:hAnsi="Arial" w:eastAsia="Arial" w:cs="Arial"/>
                <w:b w:val="0"/>
                <w:bCs w:val="0"/>
                <w:color w:val="212121"/>
                <w:sz w:val="19"/>
                <w:szCs w:val="19"/>
              </w:rPr>
              <w:t>1:M with SubCategories</w:t>
            </w:r>
          </w:p>
        </w:tc>
      </w:tr>
      <w:tr w14:paraId="5B631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1CC0CEEF">
            <w:pPr>
              <w:jc w:val="left"/>
            </w:pPr>
            <w:r>
              <w:rPr>
                <w:rFonts w:ascii="Arial" w:hAnsi="Arial" w:eastAsia="Arial" w:cs="Arial"/>
                <w:b/>
                <w:bCs/>
                <w:color w:val="212121"/>
                <w:sz w:val="19"/>
                <w:szCs w:val="19"/>
              </w:rPr>
              <w:t>PaymentModes</w:t>
            </w:r>
          </w:p>
        </w:tc>
        <w:tc>
          <w:tcPr>
            <w:tcW w:w="468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139FC30A">
            <w:pPr>
              <w:jc w:val="left"/>
            </w:pPr>
            <w:r>
              <w:rPr>
                <w:rFonts w:ascii="Arial" w:hAnsi="Arial" w:eastAsia="Arial" w:cs="Arial"/>
                <w:b w:val="0"/>
                <w:bCs w:val="0"/>
                <w:color w:val="212121"/>
                <w:sz w:val="19"/>
                <w:szCs w:val="19"/>
              </w:rPr>
              <w:t>1:M with OrderDetails</w:t>
            </w:r>
          </w:p>
        </w:tc>
      </w:tr>
    </w:tbl>
    <w:p w14:paraId="395EC2BE">
      <w:pPr>
        <w:pStyle w:val="3"/>
        <w:spacing w:before="280" w:after="160"/>
      </w:pPr>
      <w:bookmarkStart w:id="33" w:name="_Toc11369"/>
      <w:r>
        <w:rPr>
          <w:rFonts w:ascii="Arial" w:hAnsi="Arial" w:eastAsia="Arial" w:cs="Arial"/>
          <w:b/>
          <w:bCs/>
          <w:color w:val="1565C0"/>
          <w:sz w:val="28"/>
          <w:szCs w:val="28"/>
        </w:rPr>
        <w:t>4.3 Data Warehouse Design (Star Schema)</w:t>
      </w:r>
      <w:bookmarkEnd w:id="33"/>
    </w:p>
    <w:p w14:paraId="65CA166F">
      <w:pPr>
        <w:spacing w:before="80" w:after="120" w:line="360" w:lineRule="auto"/>
        <w:jc w:val="both"/>
      </w:pPr>
      <w:r>
        <w:rPr>
          <w:rFonts w:ascii="Arial" w:hAnsi="Arial" w:eastAsia="Arial" w:cs="Arial"/>
          <w:b w:val="0"/>
          <w:bCs w:val="0"/>
          <w:i w:val="0"/>
          <w:iCs w:val="0"/>
          <w:color w:val="212121"/>
          <w:sz w:val="22"/>
          <w:szCs w:val="22"/>
        </w:rPr>
        <w:t>For analytical (OLAP) operations powering the Power BI dashboard, a Star Schema data warehouse was designed. Unlike the normalized OLTP schema, the Star Schema intentionally denormalizes data to optimize query performance for aggregation operations — the primary operation type in dashboard analytics.</w:t>
      </w:r>
    </w:p>
    <w:p w14:paraId="70862660">
      <w:pPr>
        <w:pStyle w:val="4"/>
        <w:spacing w:before="200" w:after="100"/>
      </w:pPr>
      <w:bookmarkStart w:id="34" w:name="_Toc390"/>
      <w:r>
        <w:rPr>
          <w:rFonts w:ascii="Arial" w:hAnsi="Arial" w:eastAsia="Arial" w:cs="Arial"/>
          <w:b/>
          <w:bCs/>
          <w:color w:val="0D47A1"/>
          <w:sz w:val="24"/>
          <w:szCs w:val="24"/>
        </w:rPr>
        <w:t>4.3.1 Fact Table: FactSales</w:t>
      </w:r>
      <w:bookmarkEnd w:id="34"/>
    </w:p>
    <w:p w14:paraId="5D26456C">
      <w:pPr>
        <w:spacing w:before="80" w:after="120" w:line="360" w:lineRule="auto"/>
        <w:jc w:val="both"/>
      </w:pPr>
      <w:r>
        <w:rPr>
          <w:rFonts w:ascii="Arial" w:hAnsi="Arial" w:eastAsia="Arial" w:cs="Arial"/>
          <w:b w:val="0"/>
          <w:bCs w:val="0"/>
          <w:i w:val="0"/>
          <w:iCs w:val="0"/>
          <w:color w:val="212121"/>
          <w:sz w:val="22"/>
          <w:szCs w:val="22"/>
        </w:rPr>
        <w:t>The central fact table FactSales contains all measurable business facts (Amount, Profit, Quantity) along with foreign keys to all dimension tables. Each row represents a single order detail line item.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2240"/>
        <w:gridCol w:w="4000"/>
      </w:tblGrid>
      <w:tr w14:paraId="761B2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DBDBD" w:sz="0" w:space="0"/>
              <w:left w:val="single" w:color="BDBDBD" w:sz="0" w:space="0"/>
              <w:bottom w:val="single" w:color="BDBDBD" w:sz="0" w:space="0"/>
              <w:right w:val="single" w:color="BDBDBD" w:sz="0" w:space="0"/>
            </w:tcBorders>
            <w:shd w:val="clear" w:color="auto" w:fill="1A237E"/>
            <w:tcMar>
              <w:top w:w="100" w:type="dxa"/>
              <w:left w:w="150" w:type="dxa"/>
              <w:bottom w:w="100" w:type="dxa"/>
              <w:right w:w="150" w:type="dxa"/>
            </w:tcMar>
            <w:vAlign w:val="center"/>
          </w:tcPr>
          <w:p w14:paraId="355C9881">
            <w:pPr>
              <w:jc w:val="center"/>
            </w:pPr>
            <w:r>
              <w:rPr>
                <w:rFonts w:ascii="Arial" w:hAnsi="Arial" w:eastAsia="Arial" w:cs="Arial"/>
                <w:b/>
                <w:bCs/>
                <w:color w:val="FFFFFF"/>
                <w:sz w:val="20"/>
                <w:szCs w:val="20"/>
              </w:rPr>
              <w:t>Column Name</w:t>
            </w:r>
          </w:p>
        </w:tc>
        <w:tc>
          <w:tcPr>
            <w:tcW w:w="2240" w:type="dxa"/>
            <w:tcBorders>
              <w:top w:val="single" w:color="BDBDBD" w:sz="0" w:space="0"/>
              <w:left w:val="single" w:color="BDBDBD" w:sz="0" w:space="0"/>
              <w:bottom w:val="single" w:color="BDBDBD" w:sz="0" w:space="0"/>
              <w:right w:val="single" w:color="BDBDBD" w:sz="0" w:space="0"/>
            </w:tcBorders>
            <w:shd w:val="clear" w:color="auto" w:fill="1A237E"/>
            <w:tcMar>
              <w:top w:w="100" w:type="dxa"/>
              <w:left w:w="150" w:type="dxa"/>
              <w:bottom w:w="100" w:type="dxa"/>
              <w:right w:w="150" w:type="dxa"/>
            </w:tcMar>
            <w:vAlign w:val="center"/>
          </w:tcPr>
          <w:p w14:paraId="699420E5">
            <w:pPr>
              <w:jc w:val="center"/>
            </w:pPr>
            <w:r>
              <w:rPr>
                <w:rFonts w:ascii="Arial" w:hAnsi="Arial" w:eastAsia="Arial" w:cs="Arial"/>
                <w:b/>
                <w:bCs/>
                <w:color w:val="FFFFFF"/>
                <w:sz w:val="20"/>
                <w:szCs w:val="20"/>
              </w:rPr>
              <w:t>Type</w:t>
            </w:r>
          </w:p>
        </w:tc>
        <w:tc>
          <w:tcPr>
            <w:tcW w:w="4000" w:type="dxa"/>
            <w:tcBorders>
              <w:top w:val="single" w:color="BDBDBD" w:sz="0" w:space="0"/>
              <w:left w:val="single" w:color="BDBDBD" w:sz="0" w:space="0"/>
              <w:bottom w:val="single" w:color="BDBDBD" w:sz="0" w:space="0"/>
              <w:right w:val="single" w:color="BDBDBD" w:sz="0" w:space="0"/>
            </w:tcBorders>
            <w:shd w:val="clear" w:color="auto" w:fill="1A237E"/>
            <w:tcMar>
              <w:top w:w="100" w:type="dxa"/>
              <w:left w:w="150" w:type="dxa"/>
              <w:bottom w:w="100" w:type="dxa"/>
              <w:right w:w="150" w:type="dxa"/>
            </w:tcMar>
            <w:vAlign w:val="center"/>
          </w:tcPr>
          <w:p w14:paraId="6C6A15DE">
            <w:pPr>
              <w:jc w:val="center"/>
            </w:pPr>
            <w:r>
              <w:rPr>
                <w:rFonts w:ascii="Arial" w:hAnsi="Arial" w:eastAsia="Arial" w:cs="Arial"/>
                <w:b/>
                <w:bCs/>
                <w:color w:val="FFFFFF"/>
                <w:sz w:val="20"/>
                <w:szCs w:val="20"/>
              </w:rPr>
              <w:t>Description</w:t>
            </w:r>
          </w:p>
        </w:tc>
      </w:tr>
      <w:tr w14:paraId="2EF46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3C57A806">
            <w:pPr>
              <w:jc w:val="left"/>
            </w:pPr>
            <w:r>
              <w:rPr>
                <w:rFonts w:ascii="Arial" w:hAnsi="Arial" w:eastAsia="Arial" w:cs="Arial"/>
                <w:b/>
                <w:bCs/>
                <w:color w:val="212121"/>
                <w:sz w:val="19"/>
                <w:szCs w:val="19"/>
              </w:rPr>
              <w:t>SaleID (PK)</w:t>
            </w:r>
          </w:p>
        </w:tc>
        <w:tc>
          <w:tcPr>
            <w:tcW w:w="224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6363ED6B">
            <w:pPr>
              <w:jc w:val="left"/>
            </w:pPr>
            <w:r>
              <w:rPr>
                <w:rFonts w:ascii="Arial" w:hAnsi="Arial" w:eastAsia="Arial" w:cs="Arial"/>
                <w:b w:val="0"/>
                <w:bCs w:val="0"/>
                <w:color w:val="212121"/>
                <w:sz w:val="19"/>
                <w:szCs w:val="19"/>
              </w:rPr>
              <w:t>SERIAL</w:t>
            </w:r>
          </w:p>
        </w:tc>
        <w:tc>
          <w:tcPr>
            <w:tcW w:w="40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6A4FD0E7">
            <w:pPr>
              <w:jc w:val="left"/>
            </w:pPr>
            <w:r>
              <w:rPr>
                <w:rFonts w:ascii="Arial" w:hAnsi="Arial" w:eastAsia="Arial" w:cs="Arial"/>
                <w:b w:val="0"/>
                <w:bCs w:val="0"/>
                <w:color w:val="212121"/>
                <w:sz w:val="19"/>
                <w:szCs w:val="19"/>
              </w:rPr>
              <w:t>Surrogate primary key</w:t>
            </w:r>
          </w:p>
        </w:tc>
      </w:tr>
      <w:tr w14:paraId="1BF76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7A32AA03">
            <w:pPr>
              <w:jc w:val="left"/>
            </w:pPr>
            <w:r>
              <w:rPr>
                <w:rFonts w:ascii="Arial" w:hAnsi="Arial" w:eastAsia="Arial" w:cs="Arial"/>
                <w:b/>
                <w:bCs/>
                <w:color w:val="212121"/>
                <w:sz w:val="19"/>
                <w:szCs w:val="19"/>
              </w:rPr>
              <w:t>DateKey (FK)</w:t>
            </w:r>
          </w:p>
        </w:tc>
        <w:tc>
          <w:tcPr>
            <w:tcW w:w="224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60F8A134">
            <w:pPr>
              <w:jc w:val="left"/>
            </w:pPr>
            <w:r>
              <w:rPr>
                <w:rFonts w:ascii="Arial" w:hAnsi="Arial" w:eastAsia="Arial" w:cs="Arial"/>
                <w:b w:val="0"/>
                <w:bCs w:val="0"/>
                <w:color w:val="212121"/>
                <w:sz w:val="19"/>
                <w:szCs w:val="19"/>
              </w:rPr>
              <w:t>INTEGER</w:t>
            </w:r>
          </w:p>
        </w:tc>
        <w:tc>
          <w:tcPr>
            <w:tcW w:w="4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4F335800">
            <w:pPr>
              <w:jc w:val="left"/>
            </w:pPr>
            <w:r>
              <w:rPr>
                <w:rFonts w:ascii="Arial" w:hAnsi="Arial" w:eastAsia="Arial" w:cs="Arial"/>
                <w:b w:val="0"/>
                <w:bCs w:val="0"/>
                <w:color w:val="212121"/>
                <w:sz w:val="19"/>
                <w:szCs w:val="19"/>
              </w:rPr>
              <w:t>Links to DimDate</w:t>
            </w:r>
          </w:p>
        </w:tc>
      </w:tr>
      <w:tr w14:paraId="0778E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3454F80C">
            <w:pPr>
              <w:jc w:val="left"/>
            </w:pPr>
            <w:r>
              <w:rPr>
                <w:rFonts w:ascii="Arial" w:hAnsi="Arial" w:eastAsia="Arial" w:cs="Arial"/>
                <w:b/>
                <w:bCs/>
                <w:color w:val="212121"/>
                <w:sz w:val="19"/>
                <w:szCs w:val="19"/>
              </w:rPr>
              <w:t>CustomerKey (FK)</w:t>
            </w:r>
          </w:p>
        </w:tc>
        <w:tc>
          <w:tcPr>
            <w:tcW w:w="224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5398791C">
            <w:pPr>
              <w:jc w:val="left"/>
            </w:pPr>
            <w:r>
              <w:rPr>
                <w:rFonts w:ascii="Arial" w:hAnsi="Arial" w:eastAsia="Arial" w:cs="Arial"/>
                <w:b w:val="0"/>
                <w:bCs w:val="0"/>
                <w:color w:val="212121"/>
                <w:sz w:val="19"/>
                <w:szCs w:val="19"/>
              </w:rPr>
              <w:t>INTEGER</w:t>
            </w:r>
          </w:p>
        </w:tc>
        <w:tc>
          <w:tcPr>
            <w:tcW w:w="40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08FAE3B1">
            <w:pPr>
              <w:jc w:val="left"/>
            </w:pPr>
            <w:r>
              <w:rPr>
                <w:rFonts w:ascii="Arial" w:hAnsi="Arial" w:eastAsia="Arial" w:cs="Arial"/>
                <w:b w:val="0"/>
                <w:bCs w:val="0"/>
                <w:color w:val="212121"/>
                <w:sz w:val="19"/>
                <w:szCs w:val="19"/>
              </w:rPr>
              <w:t>Links to DimCustomer</w:t>
            </w:r>
          </w:p>
        </w:tc>
      </w:tr>
      <w:tr w14:paraId="6C1C0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44C891E0">
            <w:pPr>
              <w:jc w:val="left"/>
            </w:pPr>
            <w:r>
              <w:rPr>
                <w:rFonts w:ascii="Arial" w:hAnsi="Arial" w:eastAsia="Arial" w:cs="Arial"/>
                <w:b/>
                <w:bCs/>
                <w:color w:val="212121"/>
                <w:sz w:val="19"/>
                <w:szCs w:val="19"/>
              </w:rPr>
              <w:t>ProductKey (FK)</w:t>
            </w:r>
          </w:p>
        </w:tc>
        <w:tc>
          <w:tcPr>
            <w:tcW w:w="224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15522A21">
            <w:pPr>
              <w:jc w:val="left"/>
            </w:pPr>
            <w:r>
              <w:rPr>
                <w:rFonts w:ascii="Arial" w:hAnsi="Arial" w:eastAsia="Arial" w:cs="Arial"/>
                <w:b w:val="0"/>
                <w:bCs w:val="0"/>
                <w:color w:val="212121"/>
                <w:sz w:val="19"/>
                <w:szCs w:val="19"/>
              </w:rPr>
              <w:t>INTEGER</w:t>
            </w:r>
          </w:p>
        </w:tc>
        <w:tc>
          <w:tcPr>
            <w:tcW w:w="4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1DD566C2">
            <w:pPr>
              <w:jc w:val="left"/>
            </w:pPr>
            <w:r>
              <w:rPr>
                <w:rFonts w:ascii="Arial" w:hAnsi="Arial" w:eastAsia="Arial" w:cs="Arial"/>
                <w:b w:val="0"/>
                <w:bCs w:val="0"/>
                <w:color w:val="212121"/>
                <w:sz w:val="19"/>
                <w:szCs w:val="19"/>
              </w:rPr>
              <w:t>Links to DimProduct</w:t>
            </w:r>
          </w:p>
        </w:tc>
      </w:tr>
      <w:tr w14:paraId="2DD02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061B705C">
            <w:pPr>
              <w:jc w:val="left"/>
            </w:pPr>
            <w:r>
              <w:rPr>
                <w:rFonts w:ascii="Arial" w:hAnsi="Arial" w:eastAsia="Arial" w:cs="Arial"/>
                <w:b/>
                <w:bCs/>
                <w:color w:val="212121"/>
                <w:sz w:val="19"/>
                <w:szCs w:val="19"/>
              </w:rPr>
              <w:t>PaymentKey (FK)</w:t>
            </w:r>
          </w:p>
        </w:tc>
        <w:tc>
          <w:tcPr>
            <w:tcW w:w="224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32E4F3BD">
            <w:pPr>
              <w:jc w:val="left"/>
            </w:pPr>
            <w:r>
              <w:rPr>
                <w:rFonts w:ascii="Arial" w:hAnsi="Arial" w:eastAsia="Arial" w:cs="Arial"/>
                <w:b w:val="0"/>
                <w:bCs w:val="0"/>
                <w:color w:val="212121"/>
                <w:sz w:val="19"/>
                <w:szCs w:val="19"/>
              </w:rPr>
              <w:t>INTEGER</w:t>
            </w:r>
          </w:p>
        </w:tc>
        <w:tc>
          <w:tcPr>
            <w:tcW w:w="40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78385547">
            <w:pPr>
              <w:jc w:val="left"/>
            </w:pPr>
            <w:r>
              <w:rPr>
                <w:rFonts w:ascii="Arial" w:hAnsi="Arial" w:eastAsia="Arial" w:cs="Arial"/>
                <w:b w:val="0"/>
                <w:bCs w:val="0"/>
                <w:color w:val="212121"/>
                <w:sz w:val="19"/>
                <w:szCs w:val="19"/>
              </w:rPr>
              <w:t>Links to DimPayment</w:t>
            </w:r>
          </w:p>
        </w:tc>
      </w:tr>
      <w:tr w14:paraId="381FB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1964D6DA">
            <w:pPr>
              <w:jc w:val="left"/>
            </w:pPr>
            <w:r>
              <w:rPr>
                <w:rFonts w:ascii="Arial" w:hAnsi="Arial" w:eastAsia="Arial" w:cs="Arial"/>
                <w:b/>
                <w:bCs/>
                <w:color w:val="212121"/>
                <w:sz w:val="19"/>
                <w:szCs w:val="19"/>
              </w:rPr>
              <w:t>GeographyKey (FK)</w:t>
            </w:r>
          </w:p>
        </w:tc>
        <w:tc>
          <w:tcPr>
            <w:tcW w:w="224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0BDE84E9">
            <w:pPr>
              <w:jc w:val="left"/>
            </w:pPr>
            <w:r>
              <w:rPr>
                <w:rFonts w:ascii="Arial" w:hAnsi="Arial" w:eastAsia="Arial" w:cs="Arial"/>
                <w:b w:val="0"/>
                <w:bCs w:val="0"/>
                <w:color w:val="212121"/>
                <w:sz w:val="19"/>
                <w:szCs w:val="19"/>
              </w:rPr>
              <w:t>INTEGER</w:t>
            </w:r>
          </w:p>
        </w:tc>
        <w:tc>
          <w:tcPr>
            <w:tcW w:w="4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1D69CC54">
            <w:pPr>
              <w:jc w:val="left"/>
            </w:pPr>
            <w:r>
              <w:rPr>
                <w:rFonts w:ascii="Arial" w:hAnsi="Arial" w:eastAsia="Arial" w:cs="Arial"/>
                <w:b w:val="0"/>
                <w:bCs w:val="0"/>
                <w:color w:val="212121"/>
                <w:sz w:val="19"/>
                <w:szCs w:val="19"/>
              </w:rPr>
              <w:t>Links to DimGeography</w:t>
            </w:r>
          </w:p>
        </w:tc>
      </w:tr>
      <w:tr w14:paraId="09CEB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616428E2">
            <w:pPr>
              <w:jc w:val="left"/>
            </w:pPr>
            <w:r>
              <w:rPr>
                <w:rFonts w:ascii="Arial" w:hAnsi="Arial" w:eastAsia="Arial" w:cs="Arial"/>
                <w:b/>
                <w:bCs/>
                <w:color w:val="212121"/>
                <w:sz w:val="19"/>
                <w:szCs w:val="19"/>
              </w:rPr>
              <w:t>Amount</w:t>
            </w:r>
          </w:p>
        </w:tc>
        <w:tc>
          <w:tcPr>
            <w:tcW w:w="224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18D55AC4">
            <w:pPr>
              <w:jc w:val="left"/>
            </w:pPr>
            <w:r>
              <w:rPr>
                <w:rFonts w:ascii="Arial" w:hAnsi="Arial" w:eastAsia="Arial" w:cs="Arial"/>
                <w:b w:val="0"/>
                <w:bCs w:val="0"/>
                <w:color w:val="212121"/>
                <w:sz w:val="19"/>
                <w:szCs w:val="19"/>
              </w:rPr>
              <w:t>DECIMAL</w:t>
            </w:r>
          </w:p>
        </w:tc>
        <w:tc>
          <w:tcPr>
            <w:tcW w:w="40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3763587F">
            <w:pPr>
              <w:jc w:val="left"/>
            </w:pPr>
            <w:r>
              <w:rPr>
                <w:rFonts w:ascii="Arial" w:hAnsi="Arial" w:eastAsia="Arial" w:cs="Arial"/>
                <w:b w:val="0"/>
                <w:bCs w:val="0"/>
                <w:color w:val="212121"/>
                <w:sz w:val="19"/>
                <w:szCs w:val="19"/>
              </w:rPr>
              <w:t>Transaction value in INR</w:t>
            </w:r>
          </w:p>
        </w:tc>
      </w:tr>
      <w:tr w14:paraId="1CA44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1D0E3F0F">
            <w:pPr>
              <w:jc w:val="left"/>
            </w:pPr>
            <w:r>
              <w:rPr>
                <w:rFonts w:ascii="Arial" w:hAnsi="Arial" w:eastAsia="Arial" w:cs="Arial"/>
                <w:b/>
                <w:bCs/>
                <w:color w:val="212121"/>
                <w:sz w:val="19"/>
                <w:szCs w:val="19"/>
              </w:rPr>
              <w:t>Profit</w:t>
            </w:r>
          </w:p>
        </w:tc>
        <w:tc>
          <w:tcPr>
            <w:tcW w:w="224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48E1227C">
            <w:pPr>
              <w:jc w:val="left"/>
            </w:pPr>
            <w:r>
              <w:rPr>
                <w:rFonts w:ascii="Arial" w:hAnsi="Arial" w:eastAsia="Arial" w:cs="Arial"/>
                <w:b w:val="0"/>
                <w:bCs w:val="0"/>
                <w:color w:val="212121"/>
                <w:sz w:val="19"/>
                <w:szCs w:val="19"/>
              </w:rPr>
              <w:t>DECIMAL</w:t>
            </w:r>
          </w:p>
        </w:tc>
        <w:tc>
          <w:tcPr>
            <w:tcW w:w="4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2649E2EE">
            <w:pPr>
              <w:jc w:val="left"/>
            </w:pPr>
            <w:r>
              <w:rPr>
                <w:rFonts w:ascii="Arial" w:hAnsi="Arial" w:eastAsia="Arial" w:cs="Arial"/>
                <w:b w:val="0"/>
                <w:bCs w:val="0"/>
                <w:color w:val="212121"/>
                <w:sz w:val="19"/>
                <w:szCs w:val="19"/>
              </w:rPr>
              <w:t>Net profit (can be negative)</w:t>
            </w:r>
          </w:p>
        </w:tc>
      </w:tr>
      <w:tr w14:paraId="69C78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67DD445A">
            <w:pPr>
              <w:jc w:val="left"/>
            </w:pPr>
            <w:r>
              <w:rPr>
                <w:rFonts w:ascii="Arial" w:hAnsi="Arial" w:eastAsia="Arial" w:cs="Arial"/>
                <w:b/>
                <w:bCs/>
                <w:color w:val="212121"/>
                <w:sz w:val="19"/>
                <w:szCs w:val="19"/>
              </w:rPr>
              <w:t>Quantity</w:t>
            </w:r>
          </w:p>
        </w:tc>
        <w:tc>
          <w:tcPr>
            <w:tcW w:w="224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478CC166">
            <w:pPr>
              <w:jc w:val="left"/>
            </w:pPr>
            <w:r>
              <w:rPr>
                <w:rFonts w:ascii="Arial" w:hAnsi="Arial" w:eastAsia="Arial" w:cs="Arial"/>
                <w:b w:val="0"/>
                <w:bCs w:val="0"/>
                <w:color w:val="212121"/>
                <w:sz w:val="19"/>
                <w:szCs w:val="19"/>
              </w:rPr>
              <w:t>INTEGER</w:t>
            </w:r>
          </w:p>
        </w:tc>
        <w:tc>
          <w:tcPr>
            <w:tcW w:w="40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0069B35F">
            <w:pPr>
              <w:jc w:val="left"/>
            </w:pPr>
            <w:r>
              <w:rPr>
                <w:rFonts w:ascii="Arial" w:hAnsi="Arial" w:eastAsia="Arial" w:cs="Arial"/>
                <w:b w:val="0"/>
                <w:bCs w:val="0"/>
                <w:color w:val="212121"/>
                <w:sz w:val="19"/>
                <w:szCs w:val="19"/>
              </w:rPr>
              <w:t>Units sold</w:t>
            </w:r>
          </w:p>
        </w:tc>
      </w:tr>
    </w:tbl>
    <w:p w14:paraId="7EA69960">
      <w:pPr>
        <w:pStyle w:val="4"/>
        <w:spacing w:before="200" w:after="100"/>
      </w:pPr>
      <w:bookmarkStart w:id="35" w:name="_Toc2206"/>
      <w:r>
        <w:rPr>
          <w:rFonts w:ascii="Arial" w:hAnsi="Arial" w:eastAsia="Arial" w:cs="Arial"/>
          <w:b/>
          <w:bCs/>
          <w:color w:val="0D47A1"/>
          <w:sz w:val="24"/>
          <w:szCs w:val="24"/>
        </w:rPr>
        <w:t>4.3.2 Dimension Tables</w:t>
      </w:r>
      <w:bookmarkEnd w:id="35"/>
    </w:p>
    <w:p w14:paraId="1029C506">
      <w:pPr>
        <w:spacing w:before="80" w:after="120" w:line="360" w:lineRule="auto"/>
        <w:jc w:val="both"/>
      </w:pPr>
      <w:r>
        <w:rPr>
          <w:rFonts w:ascii="Arial" w:hAnsi="Arial" w:eastAsia="Arial" w:cs="Arial"/>
          <w:b w:val="0"/>
          <w:bCs w:val="0"/>
          <w:i w:val="0"/>
          <w:iCs w:val="0"/>
          <w:color w:val="212121"/>
          <w:sz w:val="22"/>
          <w:szCs w:val="22"/>
        </w:rPr>
        <w:t>Four dimension tables surround the fact table:</w:t>
      </w:r>
    </w:p>
    <w:p w14:paraId="04C510A5">
      <w:pPr>
        <w:pStyle w:val="20"/>
        <w:numPr>
          <w:ilvl w:val="0"/>
          <w:numId w:val="2"/>
        </w:numPr>
        <w:spacing w:before="60" w:after="60" w:line="320" w:lineRule="auto"/>
      </w:pPr>
      <w:r>
        <w:rPr>
          <w:rFonts w:ascii="Arial" w:hAnsi="Arial" w:eastAsia="Arial" w:cs="Arial"/>
          <w:color w:val="212121"/>
          <w:sz w:val="22"/>
          <w:szCs w:val="22"/>
        </w:rPr>
        <w:t>DimDate: Stores date attributes — Year, Quarter, Month, MonthName, DayOfWeek — enabling time-intelligence analysis such as monthly profit trends.</w:t>
      </w:r>
    </w:p>
    <w:p w14:paraId="443DA451">
      <w:pPr>
        <w:pStyle w:val="20"/>
        <w:numPr>
          <w:ilvl w:val="0"/>
          <w:numId w:val="2"/>
        </w:numPr>
        <w:spacing w:before="60" w:after="60" w:line="320" w:lineRule="auto"/>
      </w:pPr>
      <w:r>
        <w:rPr>
          <w:rFonts w:ascii="Arial" w:hAnsi="Arial" w:eastAsia="Arial" w:cs="Arial"/>
          <w:color w:val="212121"/>
          <w:sz w:val="22"/>
          <w:szCs w:val="22"/>
        </w:rPr>
        <w:t>DimCustomer: Contains CustomerName, City, State — enabling geographic and customer-level aggregations.</w:t>
      </w:r>
    </w:p>
    <w:p w14:paraId="604BB657">
      <w:pPr>
        <w:pStyle w:val="20"/>
        <w:numPr>
          <w:ilvl w:val="0"/>
          <w:numId w:val="2"/>
        </w:numPr>
        <w:spacing w:before="60" w:after="60" w:line="320" w:lineRule="auto"/>
      </w:pPr>
      <w:r>
        <w:rPr>
          <w:rFonts w:ascii="Arial" w:hAnsi="Arial" w:eastAsia="Arial" w:cs="Arial"/>
          <w:color w:val="212121"/>
          <w:sz w:val="22"/>
          <w:szCs w:val="22"/>
        </w:rPr>
        <w:t>DimProduct: Contains SubCategoryName, CategoryName — enabling product hierarchy drill-downs from Category to Sub-Category level.</w:t>
      </w:r>
    </w:p>
    <w:p w14:paraId="7513A252">
      <w:pPr>
        <w:pStyle w:val="20"/>
        <w:numPr>
          <w:ilvl w:val="0"/>
          <w:numId w:val="2"/>
        </w:numPr>
        <w:spacing w:before="60" w:after="60" w:line="320" w:lineRule="auto"/>
      </w:pPr>
      <w:r>
        <w:rPr>
          <w:rFonts w:ascii="Arial" w:hAnsi="Arial" w:eastAsia="Arial" w:cs="Arial"/>
          <w:color w:val="212121"/>
          <w:sz w:val="22"/>
          <w:szCs w:val="22"/>
        </w:rPr>
        <w:t>DimPayment: Contains PaymentModeName — enabling payment behavior analysis.</w:t>
      </w:r>
    </w:p>
    <w:p w14:paraId="7596B17D">
      <w:pPr>
        <w:pStyle w:val="3"/>
        <w:spacing w:before="280" w:after="160"/>
      </w:pPr>
      <w:bookmarkStart w:id="36" w:name="_Toc127"/>
      <w:r>
        <w:rPr>
          <w:rFonts w:ascii="Arial" w:hAnsi="Arial" w:eastAsia="Arial" w:cs="Arial"/>
          <w:b/>
          <w:bCs/>
          <w:color w:val="1565C0"/>
          <w:sz w:val="28"/>
          <w:szCs w:val="28"/>
        </w:rPr>
        <w:t>4.4 ETL Pipeline Design</w:t>
      </w:r>
      <w:bookmarkEnd w:id="36"/>
    </w:p>
    <w:p w14:paraId="1C4BDA10">
      <w:pPr>
        <w:spacing w:before="80" w:after="120" w:line="360" w:lineRule="auto"/>
        <w:jc w:val="both"/>
      </w:pPr>
      <w:r>
        <w:rPr>
          <w:rFonts w:ascii="Arial" w:hAnsi="Arial" w:eastAsia="Arial" w:cs="Arial"/>
          <w:b w:val="0"/>
          <w:bCs w:val="0"/>
          <w:i w:val="0"/>
          <w:iCs w:val="0"/>
          <w:color w:val="212121"/>
          <w:sz w:val="22"/>
          <w:szCs w:val="22"/>
        </w:rPr>
        <w:t>The ETL (Extract, Transform, Load) pipeline processes raw CSV data through three stages:</w:t>
      </w:r>
    </w:p>
    <w:p w14:paraId="342EFC57">
      <w:pPr>
        <w:pStyle w:val="4"/>
        <w:spacing w:before="200" w:after="100"/>
      </w:pPr>
      <w:bookmarkStart w:id="37" w:name="_Toc20499"/>
      <w:r>
        <w:rPr>
          <w:rFonts w:ascii="Arial" w:hAnsi="Arial" w:eastAsia="Arial" w:cs="Arial"/>
          <w:b/>
          <w:bCs/>
          <w:color w:val="0D47A1"/>
          <w:sz w:val="24"/>
          <w:szCs w:val="24"/>
        </w:rPr>
        <w:t>4.4.1 Extract</w:t>
      </w:r>
      <w:bookmarkEnd w:id="37"/>
    </w:p>
    <w:p w14:paraId="799B3727">
      <w:pPr>
        <w:spacing w:before="80" w:after="120" w:line="360" w:lineRule="auto"/>
        <w:jc w:val="both"/>
      </w:pPr>
      <w:r>
        <w:rPr>
          <w:rFonts w:ascii="Arial" w:hAnsi="Arial" w:eastAsia="Arial" w:cs="Arial"/>
          <w:b w:val="0"/>
          <w:bCs w:val="0"/>
          <w:i w:val="0"/>
          <w:iCs w:val="0"/>
          <w:color w:val="212121"/>
          <w:sz w:val="22"/>
          <w:szCs w:val="22"/>
        </w:rPr>
        <w:t>Raw data is read from Orders.csv (500 records) and Details.csv (1,501 records) using Python's Pandas library. The extraction step validates file integrity and record counts before proceeding.</w:t>
      </w:r>
    </w:p>
    <w:p w14:paraId="2DF1D9E1">
      <w:pPr>
        <w:pStyle w:val="4"/>
        <w:spacing w:before="200" w:after="100"/>
      </w:pPr>
      <w:bookmarkStart w:id="38" w:name="_Toc24480"/>
      <w:r>
        <w:rPr>
          <w:rFonts w:ascii="Arial" w:hAnsi="Arial" w:eastAsia="Arial" w:cs="Arial"/>
          <w:b/>
          <w:bCs/>
          <w:color w:val="0D47A1"/>
          <w:sz w:val="24"/>
          <w:szCs w:val="24"/>
        </w:rPr>
        <w:t>4.4.2 Transform</w:t>
      </w:r>
      <w:bookmarkEnd w:id="38"/>
    </w:p>
    <w:p w14:paraId="63800F9E">
      <w:pPr>
        <w:spacing w:before="80" w:after="120" w:line="360" w:lineRule="auto"/>
        <w:jc w:val="both"/>
      </w:pPr>
      <w:r>
        <w:rPr>
          <w:rFonts w:ascii="Arial" w:hAnsi="Arial" w:eastAsia="Arial" w:cs="Arial"/>
          <w:b w:val="0"/>
          <w:bCs w:val="0"/>
          <w:i w:val="0"/>
          <w:iCs w:val="0"/>
          <w:color w:val="212121"/>
          <w:sz w:val="22"/>
          <w:szCs w:val="22"/>
        </w:rPr>
        <w:t>Transformation operations include: trimming trailing spaces from the 'State' field (e.g., 'Kerala ' → 'Kerala'), converting date strings from DD-MM-YYYY format to Python datetime objects, encoding categorical variables (Category, SubCategory, PaymentMode) into lookup table IDs, and calculating derived metrics such as profit margin percentage per transaction.</w:t>
      </w:r>
    </w:p>
    <w:p w14:paraId="757E135A">
      <w:pPr>
        <w:pStyle w:val="4"/>
        <w:spacing w:before="200" w:after="100"/>
      </w:pPr>
      <w:bookmarkStart w:id="39" w:name="_Toc2643"/>
      <w:r>
        <w:rPr>
          <w:rFonts w:ascii="Arial" w:hAnsi="Arial" w:eastAsia="Arial" w:cs="Arial"/>
          <w:b/>
          <w:bCs/>
          <w:color w:val="0D47A1"/>
          <w:sz w:val="24"/>
          <w:szCs w:val="24"/>
        </w:rPr>
        <w:t>4.4.3 Load</w:t>
      </w:r>
      <w:bookmarkEnd w:id="39"/>
    </w:p>
    <w:p w14:paraId="1357A68F">
      <w:pPr>
        <w:spacing w:before="80" w:after="120" w:line="360" w:lineRule="auto"/>
        <w:jc w:val="both"/>
      </w:pPr>
      <w:r>
        <w:rPr>
          <w:rFonts w:ascii="Arial" w:hAnsi="Arial" w:eastAsia="Arial" w:cs="Arial"/>
          <w:b w:val="0"/>
          <w:bCs w:val="0"/>
          <w:i w:val="0"/>
          <w:iCs w:val="0"/>
          <w:color w:val="212121"/>
          <w:sz w:val="22"/>
          <w:szCs w:val="22"/>
        </w:rPr>
        <w:t>Transformed data is loaded into the PostgreSQL relational database using SQLAlchemy's bulk insert operations. The loading sequence respects foreign key constraints: Customers → Categories → SubCategories → PaymentModes → Orders → OrderDetails. The same data is then restructured and loaded into the Star Schema warehouse for Power BI connectivity.</w:t>
      </w:r>
    </w:p>
    <w:p w14:paraId="5F8548B7">
      <w:pPr>
        <w:pStyle w:val="3"/>
        <w:spacing w:before="280" w:after="160"/>
      </w:pPr>
      <w:bookmarkStart w:id="40" w:name="_Toc16795"/>
      <w:r>
        <w:rPr>
          <w:rFonts w:ascii="Arial" w:hAnsi="Arial" w:eastAsia="Arial" w:cs="Arial"/>
          <w:b/>
          <w:bCs/>
          <w:color w:val="1565C0"/>
          <w:sz w:val="28"/>
          <w:szCs w:val="28"/>
        </w:rPr>
        <w:t>4.5 Power BI Integration Architecture</w:t>
      </w:r>
      <w:bookmarkEnd w:id="40"/>
    </w:p>
    <w:p w14:paraId="2B3C0B41">
      <w:pPr>
        <w:spacing w:before="80" w:after="120" w:line="360" w:lineRule="auto"/>
        <w:jc w:val="both"/>
      </w:pPr>
      <w:r>
        <w:rPr>
          <w:rFonts w:ascii="Arial" w:hAnsi="Arial" w:eastAsia="Arial" w:cs="Arial"/>
          <w:b w:val="0"/>
          <w:bCs w:val="0"/>
          <w:i w:val="0"/>
          <w:iCs w:val="0"/>
          <w:color w:val="212121"/>
          <w:sz w:val="22"/>
          <w:szCs w:val="22"/>
        </w:rPr>
        <w:t>Power BI connects to the data source through a direct import of the CSV files (or alternatively via DirectQuery to the PostgreSQL database). Within Power BI, the data model implements relationships between the Orders and Details tables through the Order ID field. DAX measures are created for key metrics: Total Revenue (SUM of Amount), Total Profit (SUM of Profit), Order Count (COUNTROWS), and AOV (DIVIDE of Revenue by Order Count).</w:t>
      </w:r>
    </w:p>
    <w:p w14:paraId="6EDA8FFC">
      <w:r>
        <w:br w:type="page"/>
      </w:r>
    </w:p>
    <w:p w14:paraId="4E52D54B">
      <w:pPr>
        <w:pStyle w:val="2"/>
        <w:pBdr>
          <w:bottom w:val="single" w:color="1565C0" w:sz="8" w:space="4"/>
        </w:pBdr>
        <w:spacing w:before="360" w:after="200"/>
        <w:jc w:val="center"/>
      </w:pPr>
      <w:bookmarkStart w:id="41" w:name="_Toc27470"/>
      <w:r>
        <w:rPr>
          <w:rFonts w:ascii="Arial" w:hAnsi="Arial" w:eastAsia="Arial" w:cs="Arial"/>
          <w:b/>
          <w:bCs/>
          <w:color w:val="1A237E"/>
          <w:sz w:val="36"/>
          <w:szCs w:val="36"/>
        </w:rPr>
        <w:t>Chapter 5: Dashboard Design and Visualization</w:t>
      </w:r>
      <w:bookmarkEnd w:id="41"/>
    </w:p>
    <w:p w14:paraId="5AA543CE">
      <w:pPr>
        <w:pStyle w:val="3"/>
        <w:spacing w:before="280" w:after="160"/>
      </w:pPr>
      <w:bookmarkStart w:id="42" w:name="_Toc24196"/>
      <w:r>
        <w:rPr>
          <w:rFonts w:ascii="Arial" w:hAnsi="Arial" w:eastAsia="Arial" w:cs="Arial"/>
          <w:b/>
          <w:bCs/>
          <w:color w:val="1565C0"/>
          <w:sz w:val="28"/>
          <w:szCs w:val="28"/>
        </w:rPr>
        <w:t>5.1 Dashboard Overview and Design Philosophy</w:t>
      </w:r>
      <w:bookmarkEnd w:id="42"/>
    </w:p>
    <w:p w14:paraId="0F79A135">
      <w:pPr>
        <w:spacing w:before="80" w:after="120" w:line="360" w:lineRule="auto"/>
        <w:jc w:val="both"/>
      </w:pPr>
      <w:r>
        <w:rPr>
          <w:rFonts w:ascii="Arial" w:hAnsi="Arial" w:eastAsia="Arial" w:cs="Arial"/>
          <w:b w:val="0"/>
          <w:bCs w:val="0"/>
          <w:i w:val="0"/>
          <w:iCs w:val="0"/>
          <w:color w:val="212121"/>
          <w:sz w:val="22"/>
          <w:szCs w:val="22"/>
        </w:rPr>
        <w:t>The E-Commerce Sales Analytics Power BI dashboard follows a dark-themed, information-dense design paradigm commonly used in business intelligence applications for executive reporting. The dashboard uses a deep purple-to-dark-navy color palette with high-contrast white and yellow text for KPI values, ensuring readability in both light and dark display environments.</w:t>
      </w:r>
    </w:p>
    <w:p w14:paraId="5C06A883">
      <w:pPr>
        <w:spacing w:before="80" w:after="120" w:line="360" w:lineRule="auto"/>
        <w:jc w:val="both"/>
      </w:pPr>
      <w:r>
        <w:rPr>
          <w:rFonts w:ascii="Arial" w:hAnsi="Arial" w:eastAsia="Arial" w:cs="Arial"/>
          <w:b w:val="0"/>
          <w:bCs w:val="0"/>
          <w:i w:val="0"/>
          <w:iCs w:val="0"/>
          <w:color w:val="212121"/>
          <w:sz w:val="22"/>
          <w:szCs w:val="22"/>
        </w:rPr>
        <w:t>The dashboard layout is structured in three horizontal rows: the top row presents four KPI metric cards providing at-a-glance business performance summaries; the middle row contains three analytical charts covering geographic revenue, payment mode behavior, and product profitability; the bottom row presents three additional charts covering customer-level revenue, geospatial order distribution, and monthly profit trends. All visualizations are connected through the filter panel on the top-right (Date Range, Category, State), enabling interactive cross-filtering and drill-down analysis.</w:t>
      </w:r>
    </w:p>
    <w:p w14:paraId="111956D4">
      <w:pPr>
        <w:pStyle w:val="3"/>
        <w:spacing w:before="280" w:after="160"/>
      </w:pPr>
      <w:bookmarkStart w:id="43" w:name="_Toc22307"/>
      <w:r>
        <w:rPr>
          <w:rFonts w:ascii="Arial" w:hAnsi="Arial" w:eastAsia="Arial" w:cs="Arial"/>
          <w:b/>
          <w:bCs/>
          <w:color w:val="1565C0"/>
          <w:sz w:val="28"/>
          <w:szCs w:val="28"/>
        </w:rPr>
        <w:t>5.2 KPI Cards (Top Row)</w:t>
      </w:r>
      <w:bookmarkEnd w:id="43"/>
    </w:p>
    <w:p w14:paraId="6F975C11">
      <w:pPr>
        <w:pStyle w:val="4"/>
        <w:spacing w:before="200" w:after="100"/>
      </w:pPr>
      <w:bookmarkStart w:id="44" w:name="_Toc19694"/>
      <w:r>
        <w:rPr>
          <w:rFonts w:ascii="Arial" w:hAnsi="Arial" w:eastAsia="Arial" w:cs="Arial"/>
          <w:b/>
          <w:bCs/>
          <w:color w:val="0D47A1"/>
          <w:sz w:val="24"/>
          <w:szCs w:val="24"/>
        </w:rPr>
        <w:t>5.2.1 Total Revenue Card — INR 438K</w:t>
      </w:r>
      <w:bookmarkEnd w:id="44"/>
    </w:p>
    <w:p w14:paraId="18D49E1D">
      <w:pPr>
        <w:spacing w:before="80" w:after="120" w:line="360" w:lineRule="auto"/>
        <w:jc w:val="both"/>
      </w:pPr>
      <w:r>
        <w:rPr>
          <w:rFonts w:ascii="Arial" w:hAnsi="Arial" w:eastAsia="Arial" w:cs="Arial"/>
          <w:b w:val="0"/>
          <w:bCs w:val="0"/>
          <w:i w:val="0"/>
          <w:iCs w:val="0"/>
          <w:color w:val="212121"/>
          <w:sz w:val="22"/>
          <w:szCs w:val="22"/>
        </w:rPr>
        <w:t>The Total Revenue KPI card displays the aggregated sum of all transaction amounts (the 'Amount' field across all OrderDetails records) for the selected filter period. The value of INR 438,000 represents the total Gross Merchandise Value (GMV) of the platform for the full year 2018 (January 1 to December 31), with all categories and states included (the 'All' filter applied).</w:t>
      </w:r>
    </w:p>
    <w:p w14:paraId="2EBE82E1">
      <w:pPr>
        <w:spacing w:before="80" w:after="120" w:line="360" w:lineRule="auto"/>
        <w:jc w:val="both"/>
      </w:pPr>
      <w:r>
        <w:rPr>
          <w:rFonts w:ascii="Arial" w:hAnsi="Arial" w:eastAsia="Arial" w:cs="Arial"/>
          <w:b w:val="0"/>
          <w:bCs w:val="0"/>
          <w:i w:val="0"/>
          <w:iCs w:val="0"/>
          <w:color w:val="212121"/>
          <w:sz w:val="22"/>
          <w:szCs w:val="22"/>
        </w:rPr>
        <w:t>This metric is computed in Power BI using the DAX measure: Total Revenue = SUM(Details[Amount]). The card uses a large font display with abbreviated 'K' notation (438K representing 438,000) to maintain readability at a glance. Monitoring total revenue is the primary indicator of business scale and growth trajectory.</w:t>
      </w:r>
    </w:p>
    <w:p w14:paraId="0F8248B2">
      <w:pPr>
        <w:pStyle w:val="4"/>
        <w:spacing w:before="200" w:after="100"/>
      </w:pPr>
      <w:bookmarkStart w:id="45" w:name="_Toc2376"/>
      <w:r>
        <w:rPr>
          <w:rFonts w:ascii="Arial" w:hAnsi="Arial" w:eastAsia="Arial" w:cs="Arial"/>
          <w:b/>
          <w:bCs/>
          <w:color w:val="0D47A1"/>
          <w:sz w:val="24"/>
          <w:szCs w:val="24"/>
        </w:rPr>
        <w:t>5.2.2 Profit Margin Card — INR 37K</w:t>
      </w:r>
      <w:bookmarkEnd w:id="45"/>
    </w:p>
    <w:p w14:paraId="53FE4E6E">
      <w:pPr>
        <w:spacing w:before="80" w:after="120" w:line="360" w:lineRule="auto"/>
        <w:jc w:val="both"/>
      </w:pPr>
      <w:r>
        <w:rPr>
          <w:rFonts w:ascii="Arial" w:hAnsi="Arial" w:eastAsia="Arial" w:cs="Arial"/>
          <w:b w:val="0"/>
          <w:bCs w:val="0"/>
          <w:i w:val="0"/>
          <w:iCs w:val="0"/>
          <w:color w:val="212121"/>
          <w:sz w:val="22"/>
          <w:szCs w:val="22"/>
        </w:rPr>
        <w:t>The Profit Margin KPI card shows the total net profit across all transactions, calculated as the sum of the 'Profit' field in the Details dataset. The value of INR 37,000 against a total revenue of INR 438,000 yields an overall profit margin of approximately 8.45% — a modest but positive figure that masks significant variation across categories, sub-categories, and months.</w:t>
      </w:r>
    </w:p>
    <w:p w14:paraId="3673853B">
      <w:pPr>
        <w:spacing w:before="80" w:after="120" w:line="360" w:lineRule="auto"/>
        <w:jc w:val="both"/>
      </w:pPr>
      <w:r>
        <w:rPr>
          <w:rFonts w:ascii="Arial" w:hAnsi="Arial" w:eastAsia="Arial" w:cs="Arial"/>
          <w:b w:val="0"/>
          <w:bCs w:val="0"/>
          <w:i w:val="0"/>
          <w:iCs w:val="0"/>
          <w:color w:val="212121"/>
          <w:sz w:val="22"/>
          <w:szCs w:val="22"/>
        </w:rPr>
        <w:t>The DAX measure is: Total Profit = SUM(Details[Profit]). It is important to note that the Profit field contains negative values for loss-making transactions, and the aggregate represents the net sum after offsetting profitable and unprofitable lines.</w:t>
      </w:r>
    </w:p>
    <w:p w14:paraId="384EBD1F">
      <w:pPr>
        <w:pStyle w:val="4"/>
        <w:spacing w:before="200" w:after="100"/>
      </w:pPr>
      <w:bookmarkStart w:id="46" w:name="_Toc1275"/>
      <w:r>
        <w:rPr>
          <w:rFonts w:ascii="Arial" w:hAnsi="Arial" w:eastAsia="Arial" w:cs="Arial"/>
          <w:b/>
          <w:bCs/>
          <w:color w:val="0D47A1"/>
          <w:sz w:val="24"/>
          <w:szCs w:val="24"/>
        </w:rPr>
        <w:t>5.2.3 Orders Count Card — 500</w:t>
      </w:r>
      <w:bookmarkEnd w:id="46"/>
    </w:p>
    <w:p w14:paraId="1191E64D">
      <w:pPr>
        <w:spacing w:before="80" w:after="120" w:line="360" w:lineRule="auto"/>
        <w:jc w:val="both"/>
      </w:pPr>
      <w:r>
        <w:rPr>
          <w:rFonts w:ascii="Arial" w:hAnsi="Arial" w:eastAsia="Arial" w:cs="Arial"/>
          <w:b w:val="0"/>
          <w:bCs w:val="0"/>
          <w:i w:val="0"/>
          <w:iCs w:val="0"/>
          <w:color w:val="212121"/>
          <w:sz w:val="22"/>
          <w:szCs w:val="22"/>
        </w:rPr>
        <w:t>This card displays the total number of unique orders processed during the period, calculated using the DAX measure: Order Count = DISTINCTCOUNT(Orders[Order ID]). The count of 500 represents 500 unique customer purchase events, providing a measure of transaction volume that is independent of revenue value.</w:t>
      </w:r>
    </w:p>
    <w:p w14:paraId="75D21F45">
      <w:pPr>
        <w:spacing w:before="80" w:after="120" w:line="360" w:lineRule="auto"/>
        <w:jc w:val="both"/>
      </w:pPr>
      <w:r>
        <w:rPr>
          <w:rFonts w:ascii="Arial" w:hAnsi="Arial" w:eastAsia="Arial" w:cs="Arial"/>
          <w:b w:val="0"/>
          <w:bCs w:val="0"/>
          <w:i w:val="0"/>
          <w:iCs w:val="0"/>
          <w:color w:val="212121"/>
          <w:sz w:val="22"/>
          <w:szCs w:val="22"/>
        </w:rPr>
        <w:t>The contrast between 500 orders and INR 438K revenue implies an average order value of approximately INR 876 per order — a relatively modest figure that reflects the high proportion of low-value clothing items in the order mix.</w:t>
      </w:r>
    </w:p>
    <w:p w14:paraId="4CEBE49A">
      <w:pPr>
        <w:pStyle w:val="4"/>
        <w:spacing w:before="200" w:after="100"/>
        <w:rPr>
          <w:rFonts w:hint="default"/>
          <w:lang w:val="en-IN"/>
        </w:rPr>
      </w:pPr>
      <w:bookmarkStart w:id="47" w:name="_Toc8652"/>
      <w:r>
        <w:rPr>
          <w:rFonts w:ascii="Arial" w:hAnsi="Arial" w:eastAsia="Arial" w:cs="Arial"/>
          <w:b/>
          <w:bCs/>
          <w:color w:val="0D47A1"/>
          <w:sz w:val="24"/>
          <w:szCs w:val="24"/>
        </w:rPr>
        <w:t xml:space="preserve">5.2.4 </w:t>
      </w:r>
      <w:r>
        <w:rPr>
          <w:rFonts w:hint="default" w:cs="Arial"/>
          <w:b/>
          <w:bCs/>
          <w:color w:val="0D47A1"/>
          <w:sz w:val="24"/>
          <w:szCs w:val="24"/>
          <w:lang w:val="en-IN"/>
        </w:rPr>
        <w:t>Quantity</w:t>
      </w:r>
      <w:r>
        <w:rPr>
          <w:rFonts w:ascii="Arial" w:hAnsi="Arial" w:eastAsia="Arial" w:cs="Arial"/>
          <w:b/>
          <w:bCs/>
          <w:color w:val="0D47A1"/>
          <w:sz w:val="24"/>
          <w:szCs w:val="24"/>
        </w:rPr>
        <w:t xml:space="preserve"> Card —</w:t>
      </w:r>
      <w:bookmarkEnd w:id="47"/>
      <w:r>
        <w:rPr>
          <w:rFonts w:hint="default" w:cs="Arial"/>
          <w:b/>
          <w:bCs/>
          <w:color w:val="0D47A1"/>
          <w:sz w:val="24"/>
          <w:szCs w:val="24"/>
          <w:lang w:val="en-IN"/>
        </w:rPr>
        <w:t>5615</w:t>
      </w:r>
    </w:p>
    <w:p w14:paraId="5026B4DD">
      <w:pPr>
        <w:spacing w:before="80" w:after="120" w:line="360" w:lineRule="auto"/>
        <w:jc w:val="both"/>
        <w:rPr>
          <w:rFonts w:ascii="Arial" w:hAnsi="Arial" w:eastAsia="Arial" w:cs="Arial"/>
          <w:b w:val="0"/>
          <w:bCs w:val="0"/>
          <w:i w:val="0"/>
          <w:iCs w:val="0"/>
          <w:color w:val="212121"/>
          <w:sz w:val="22"/>
          <w:szCs w:val="22"/>
        </w:rPr>
      </w:pPr>
      <w:r>
        <w:rPr>
          <w:rFonts w:ascii="Arial" w:hAnsi="Arial" w:eastAsia="Arial" w:cs="Arial"/>
          <w:b w:val="0"/>
          <w:bCs w:val="0"/>
          <w:i w:val="0"/>
          <w:iCs w:val="0"/>
          <w:color w:val="212121"/>
          <w:sz w:val="22"/>
          <w:szCs w:val="22"/>
        </w:rPr>
        <w:t>Total Quantity represents the overall number of items sold or ordered across all products, categories, or transactions within the selected time period. It helps measure sales volume, customer demand, and inventory movement in the business dashboard.</w:t>
      </w:r>
    </w:p>
    <w:p w14:paraId="3BF99283">
      <w:pPr>
        <w:pStyle w:val="3"/>
        <w:spacing w:before="280" w:after="160"/>
      </w:pPr>
      <w:bookmarkStart w:id="48" w:name="_Toc29970"/>
      <w:r>
        <w:rPr>
          <w:rFonts w:ascii="Arial" w:hAnsi="Arial" w:eastAsia="Arial" w:cs="Arial"/>
          <w:b/>
          <w:bCs/>
          <w:color w:val="1565C0"/>
          <w:sz w:val="28"/>
          <w:szCs w:val="28"/>
        </w:rPr>
        <w:t>5.3 Chart Analysis: Total Revenue by State</w:t>
      </w:r>
      <w:bookmarkEnd w:id="48"/>
    </w:p>
    <w:p w14:paraId="7B5EA8F1">
      <w:pPr>
        <w:spacing w:before="80" w:after="120" w:line="360" w:lineRule="auto"/>
        <w:jc w:val="both"/>
      </w:pPr>
      <w:r>
        <w:rPr>
          <w:rFonts w:ascii="Arial" w:hAnsi="Arial" w:eastAsia="Arial" w:cs="Arial"/>
          <w:b w:val="0"/>
          <w:bCs w:val="0"/>
          <w:i w:val="0"/>
          <w:iCs w:val="0"/>
          <w:color w:val="212121"/>
          <w:sz w:val="22"/>
          <w:szCs w:val="22"/>
        </w:rPr>
        <w:t>This horizontal bar chart in the dashboard's middle-left position visualizes the total revenue contribution of each Indian state from which orders were placed. The chart clearly ranks states from highest to lowest revenue, enabling immediate geographic performance comparison.</w:t>
      </w:r>
    </w:p>
    <w:p w14:paraId="7FED2B19">
      <w:pPr>
        <w:spacing w:before="80" w:after="120" w:line="360" w:lineRule="auto"/>
        <w:jc w:val="both"/>
      </w:pPr>
      <w:r>
        <w:rPr>
          <w:rFonts w:ascii="Arial" w:hAnsi="Arial" w:eastAsia="Arial" w:cs="Arial"/>
          <w:b w:val="0"/>
          <w:bCs w:val="0"/>
          <w:i w:val="0"/>
          <w:iCs w:val="0"/>
          <w:color w:val="212121"/>
          <w:sz w:val="22"/>
          <w:szCs w:val="22"/>
        </w:rPr>
        <w:t>Maharashtra leads with approximately INR 102,000 in total revenue, driven by its large urban customer base in Mumbai and Pune — India's commercial and IT hubs respectively. Madhya Pradesh follows with INR 87,000, reflecting strong platform adoption in tier-II cities like Indore (India's commercial capital of Madhya Pradesh) and Bhopal. Uttar Pradesh contributes INR 38,000 with orders from Mathura, Lucknow, and Prayagraj, while Delhi accounts for INR 23,000. The remaining 15 states collectively contribute the balance.</w:t>
      </w:r>
    </w:p>
    <w:p w14:paraId="7B141437">
      <w:pPr>
        <w:spacing w:before="80" w:after="120" w:line="360" w:lineRule="auto"/>
        <w:jc w:val="both"/>
        <w:rPr>
          <w:rFonts w:ascii="Arial" w:hAnsi="Arial" w:eastAsia="Arial" w:cs="Arial"/>
          <w:b w:val="0"/>
          <w:bCs w:val="0"/>
          <w:i w:val="0"/>
          <w:iCs w:val="0"/>
          <w:color w:val="212121"/>
          <w:sz w:val="22"/>
          <w:szCs w:val="22"/>
        </w:rPr>
      </w:pPr>
      <w:r>
        <w:rPr>
          <w:rFonts w:ascii="Arial" w:hAnsi="Arial" w:eastAsia="Arial" w:cs="Arial"/>
          <w:b w:val="0"/>
          <w:bCs w:val="0"/>
          <w:i w:val="0"/>
          <w:iCs w:val="0"/>
          <w:color w:val="212121"/>
          <w:sz w:val="22"/>
          <w:szCs w:val="22"/>
        </w:rPr>
        <w:t>The chart is implemented using Power BI's Clustered Bar Chart visual with State on the Y-axis and Sum of Amount on the X-axis. Dynamic data labels display the abbreviated revenue value (e.g., '102K') at the end of each bar for quick reference. Conditional formatting applies the blue color scheme consistent with the overall dashboard theme.</w:t>
      </w:r>
    </w:p>
    <w:p w14:paraId="47EA3EC1">
      <w:pPr>
        <w:spacing w:before="80" w:after="120" w:line="360" w:lineRule="auto"/>
        <w:jc w:val="both"/>
        <w:rPr>
          <w:rFonts w:ascii="Arial" w:hAnsi="Arial" w:eastAsia="Arial" w:cs="Arial"/>
          <w:b w:val="0"/>
          <w:bCs w:val="0"/>
          <w:i w:val="0"/>
          <w:iCs w:val="0"/>
          <w:color w:val="212121"/>
          <w:sz w:val="22"/>
          <w:szCs w:val="22"/>
        </w:rPr>
      </w:pPr>
    </w:p>
    <w:p w14:paraId="3A3919C2">
      <w:pPr>
        <w:pStyle w:val="3"/>
        <w:spacing w:before="280" w:after="160"/>
      </w:pPr>
      <w:bookmarkStart w:id="49" w:name="_Toc12739"/>
      <w:r>
        <w:rPr>
          <w:rFonts w:ascii="Arial" w:hAnsi="Arial" w:eastAsia="Arial" w:cs="Arial"/>
          <w:b/>
          <w:bCs/>
          <w:color w:val="1565C0"/>
          <w:sz w:val="28"/>
          <w:szCs w:val="28"/>
        </w:rPr>
        <w:t>5.4 Chart Analysis: Quantity by Payment Mode</w:t>
      </w:r>
      <w:bookmarkEnd w:id="49"/>
    </w:p>
    <w:p w14:paraId="7C4A2A95">
      <w:pPr>
        <w:spacing w:before="80" w:after="120" w:line="360" w:lineRule="auto"/>
        <w:jc w:val="both"/>
      </w:pPr>
      <w:r>
        <w:rPr>
          <w:rFonts w:ascii="Arial" w:hAnsi="Arial" w:eastAsia="Arial" w:cs="Arial"/>
          <w:b w:val="0"/>
          <w:bCs w:val="0"/>
          <w:i w:val="0"/>
          <w:iCs w:val="0"/>
          <w:color w:val="212121"/>
          <w:sz w:val="22"/>
          <w:szCs w:val="22"/>
        </w:rPr>
        <w:t>This donut chart in the dashboard's middle-center position illustrates the distribution of total units sold (Quantity) across the five payment modes available on the platform. The donut format is chosen over a simple pie chart to enable display of a central total quantity figure, and the segmented arc lengths provide an immediate visual hierarchy of payment mode preference.</w:t>
      </w:r>
    </w:p>
    <w:p w14:paraId="13067AF0">
      <w:pPr>
        <w:spacing w:before="80" w:after="120" w:line="360" w:lineRule="auto"/>
        <w:jc w:val="both"/>
      </w:pPr>
      <w:r>
        <w:rPr>
          <w:rFonts w:ascii="Arial" w:hAnsi="Arial" w:eastAsia="Arial" w:cs="Arial"/>
          <w:b w:val="0"/>
          <w:bCs w:val="0"/>
          <w:i w:val="0"/>
          <w:iCs w:val="0"/>
          <w:color w:val="212121"/>
          <w:sz w:val="22"/>
          <w:szCs w:val="22"/>
        </w:rPr>
        <w:t>COD (Cash on Delivery) dominates with 44% of total quantity, confirming its status as the preferred payment method for Indian online shoppers — particularly for lower-value clothing items where digital payment friction is a barrier. UPI accounts for 21%, reflecting the rapid adoption of real-time payment systems post-India Stack implementation. Debit Card (13%), Credit Card (12%), and EMI (10%) occupy progressively smaller segments.</w:t>
      </w:r>
    </w:p>
    <w:p w14:paraId="0075DF07">
      <w:pPr>
        <w:spacing w:before="80" w:after="120" w:line="360" w:lineRule="auto"/>
        <w:jc w:val="both"/>
      </w:pPr>
      <w:r>
        <w:rPr>
          <w:rFonts w:ascii="Arial" w:hAnsi="Arial" w:eastAsia="Arial" w:cs="Arial"/>
          <w:b w:val="0"/>
          <w:bCs w:val="0"/>
          <w:i w:val="0"/>
          <w:iCs w:val="0"/>
          <w:color w:val="212121"/>
          <w:sz w:val="22"/>
          <w:szCs w:val="22"/>
        </w:rPr>
        <w:t>The business implications are significant: COD's dominance increases operational costs (return-to-origin logistics for refused deliveries), reduces cash flow predictability, and increases the risk of order cancellations at doorstep delivery. The growing UPI share represents a positive trend toward lower-cost digital payment processing.</w:t>
      </w:r>
    </w:p>
    <w:p w14:paraId="58572DFC">
      <w:pPr>
        <w:pStyle w:val="3"/>
        <w:spacing w:before="280" w:after="160"/>
      </w:pPr>
      <w:bookmarkStart w:id="50" w:name="_Toc32019"/>
      <w:r>
        <w:rPr>
          <w:rFonts w:ascii="Arial" w:hAnsi="Arial" w:eastAsia="Arial" w:cs="Arial"/>
          <w:b/>
          <w:bCs/>
          <w:color w:val="1565C0"/>
          <w:sz w:val="28"/>
          <w:szCs w:val="28"/>
        </w:rPr>
        <w:t>5.5 Chart Analysis: Profit Margin by Sub-Category</w:t>
      </w:r>
      <w:bookmarkEnd w:id="50"/>
    </w:p>
    <w:p w14:paraId="1331A8CD">
      <w:pPr>
        <w:spacing w:before="80" w:after="120" w:line="360" w:lineRule="auto"/>
        <w:jc w:val="both"/>
      </w:pPr>
      <w:r>
        <w:rPr>
          <w:rFonts w:ascii="Arial" w:hAnsi="Arial" w:eastAsia="Arial" w:cs="Arial"/>
          <w:b w:val="0"/>
          <w:bCs w:val="0"/>
          <w:i w:val="0"/>
          <w:iCs w:val="0"/>
          <w:color w:val="212121"/>
          <w:sz w:val="22"/>
          <w:szCs w:val="22"/>
        </w:rPr>
        <w:t>This vertical bar chart in the dashboard's middle-right position is arguably the most analytically rich visualization in the dashboard, displaying the total profit margin for each product sub-category. It reveals the profitability landscape at the most granular product level available in the dataset.</w:t>
      </w:r>
    </w:p>
    <w:p w14:paraId="5C8BB32F">
      <w:pPr>
        <w:spacing w:before="80" w:after="120" w:line="360" w:lineRule="auto"/>
        <w:jc w:val="both"/>
      </w:pPr>
      <w:r>
        <w:rPr>
          <w:rFonts w:ascii="Arial" w:hAnsi="Arial" w:eastAsia="Arial" w:cs="Arial"/>
          <w:b w:val="0"/>
          <w:bCs w:val="0"/>
          <w:i w:val="0"/>
          <w:iCs w:val="0"/>
          <w:color w:val="212121"/>
          <w:sz w:val="22"/>
          <w:szCs w:val="22"/>
        </w:rPr>
        <w:t>Printers emerge as the highest-profit sub-category with approximately INR 8,600 in total profit, followed by Bookcases (INR 6,500), Saree (INR 4,100), Accessories (INR 3,400), and Tables (INR 3,100). These five sub-categories represent the profitable core of the product catalog. Critically, the chart also reveals sub-categories with negative profitability — including certain Electronic Games lines and lower-value Clothing items — which represent cost centers requiring pricing strategy review.</w:t>
      </w:r>
    </w:p>
    <w:p w14:paraId="513BFDA2">
      <w:pPr>
        <w:spacing w:before="80" w:after="120" w:line="360" w:lineRule="auto"/>
        <w:jc w:val="both"/>
      </w:pPr>
      <w:r>
        <w:rPr>
          <w:rFonts w:ascii="Arial" w:hAnsi="Arial" w:eastAsia="Arial" w:cs="Arial"/>
          <w:b w:val="0"/>
          <w:bCs w:val="0"/>
          <w:i w:val="0"/>
          <w:iCs w:val="0"/>
          <w:color w:val="212121"/>
          <w:sz w:val="22"/>
          <w:szCs w:val="22"/>
        </w:rPr>
        <w:t>The bar chart is implemented using Power BI's Column Chart visual with SubCategory on the X-axis and Sum of Profit on the Y-axis. The alternating color scheme (blue and yellow bars) enhances readability by visually separating adjacent bars.</w:t>
      </w:r>
    </w:p>
    <w:p w14:paraId="4B3705D1">
      <w:pPr>
        <w:pStyle w:val="3"/>
        <w:spacing w:before="280" w:after="160"/>
      </w:pPr>
      <w:bookmarkStart w:id="51" w:name="_Toc26668"/>
      <w:r>
        <w:rPr>
          <w:rFonts w:ascii="Arial" w:hAnsi="Arial" w:eastAsia="Arial" w:cs="Arial"/>
          <w:b/>
          <w:bCs/>
          <w:color w:val="1565C0"/>
          <w:sz w:val="28"/>
          <w:szCs w:val="28"/>
        </w:rPr>
        <w:t>5.6 Chart Analysis: Quantity by Category</w:t>
      </w:r>
      <w:bookmarkEnd w:id="51"/>
    </w:p>
    <w:p w14:paraId="62B835F8">
      <w:pPr>
        <w:spacing w:before="80" w:after="120" w:line="360" w:lineRule="auto"/>
        <w:jc w:val="both"/>
      </w:pPr>
      <w:r>
        <w:rPr>
          <w:rFonts w:ascii="Arial" w:hAnsi="Arial" w:eastAsia="Arial" w:cs="Arial"/>
          <w:b w:val="0"/>
          <w:bCs w:val="0"/>
          <w:i w:val="0"/>
          <w:iCs w:val="0"/>
          <w:color w:val="212121"/>
          <w:sz w:val="22"/>
          <w:szCs w:val="22"/>
        </w:rPr>
        <w:t>The second donut chart in the dashboard, positioned in the middle-right area, shows the percentage distribution of total quantity sold across the three main product categories. Clothing dominates at 63%, reflecting the high volume of low-unit-value clothing items (Saree, Kurti, Hankerchief, T-shirt, etc.) that generate many small transactions. Electronics accounts for 21% and Furniture for the remaining 17%.</w:t>
      </w:r>
    </w:p>
    <w:p w14:paraId="4AFAA652">
      <w:pPr>
        <w:spacing w:before="80" w:after="120" w:line="360" w:lineRule="auto"/>
        <w:jc w:val="both"/>
      </w:pPr>
      <w:r>
        <w:rPr>
          <w:rFonts w:ascii="Arial" w:hAnsi="Arial" w:eastAsia="Arial" w:cs="Arial"/>
          <w:b w:val="0"/>
          <w:bCs w:val="0"/>
          <w:i w:val="0"/>
          <w:iCs w:val="0"/>
          <w:color w:val="212121"/>
          <w:sz w:val="22"/>
          <w:szCs w:val="22"/>
        </w:rPr>
        <w:t>While Clothing leads in quantity, its revenue and profit contribution per unit is substantially lower than Electronics or Furniture. This category mix creates an interesting analytical tension: optimizing for quantity (more orders) versus optimizing for revenue and margin (fewer, higher-value Electronics and Furniture orders). A strategic recommendation based on this analysis would be to grow Electronics and Furniture category penetration while rationalizing underperforming Clothing sub-categories.</w:t>
      </w:r>
    </w:p>
    <w:p w14:paraId="7233F4DC">
      <w:pPr>
        <w:pStyle w:val="3"/>
        <w:spacing w:before="280" w:after="160"/>
      </w:pPr>
      <w:bookmarkStart w:id="52" w:name="_Toc3126"/>
      <w:r>
        <w:rPr>
          <w:rFonts w:ascii="Arial" w:hAnsi="Arial" w:eastAsia="Arial" w:cs="Arial"/>
          <w:b/>
          <w:bCs/>
          <w:color w:val="1565C0"/>
          <w:sz w:val="28"/>
          <w:szCs w:val="28"/>
        </w:rPr>
        <w:t>5.7 Chart Analysis: Total Revenue by Customer Name</w:t>
      </w:r>
      <w:bookmarkEnd w:id="52"/>
    </w:p>
    <w:p w14:paraId="02F6776C">
      <w:pPr>
        <w:spacing w:before="80" w:after="120" w:line="360" w:lineRule="auto"/>
        <w:jc w:val="both"/>
      </w:pPr>
      <w:r>
        <w:rPr>
          <w:rFonts w:ascii="Arial" w:hAnsi="Arial" w:eastAsia="Arial" w:cs="Arial"/>
          <w:b w:val="0"/>
          <w:bCs w:val="0"/>
          <w:i w:val="0"/>
          <w:iCs w:val="0"/>
          <w:color w:val="212121"/>
          <w:sz w:val="22"/>
          <w:szCs w:val="22"/>
        </w:rPr>
        <w:t>The horizontal bar chart in the bottom-left position reveals the revenue contribution of individual customers. The top four customers visible in the dashboard are Harivansh (INR 9,900), Madhav (INR 9,400), Madan Mohan (INR 7,800), and Shiva (INR 6,300). These represent the platform's highest-value customers whose purchasing behavior significantly influences aggregate revenue metrics.</w:t>
      </w:r>
    </w:p>
    <w:p w14:paraId="1D7EA4D0">
      <w:pPr>
        <w:spacing w:before="80" w:after="120" w:line="360" w:lineRule="auto"/>
        <w:jc w:val="both"/>
      </w:pPr>
      <w:r>
        <w:rPr>
          <w:rFonts w:ascii="Arial" w:hAnsi="Arial" w:eastAsia="Arial" w:cs="Arial"/>
          <w:b w:val="0"/>
          <w:bCs w:val="0"/>
          <w:i w:val="0"/>
          <w:iCs w:val="0"/>
          <w:color w:val="212121"/>
          <w:sz w:val="22"/>
          <w:szCs w:val="22"/>
        </w:rPr>
        <w:t>Customer-level revenue analysis is foundational for Customer Lifetime Value (CLV) calculations, loyalty program design, and personalized marketing strategies. The fact that the top customer (Harivansh) accounts for approximately 2.26% of total revenue (9,900/438,000) suggests that the platform's revenue is relatively distributed across its 500+ customer base — a healthy sign of demand diversification.</w:t>
      </w:r>
    </w:p>
    <w:p w14:paraId="72F2D538">
      <w:pPr>
        <w:pStyle w:val="3"/>
        <w:spacing w:before="280" w:after="160"/>
        <w:rPr>
          <w:rFonts w:ascii="Arial" w:hAnsi="Arial" w:eastAsia="Arial" w:cs="Arial"/>
          <w:b/>
          <w:bCs/>
          <w:color w:val="1565C0"/>
          <w:sz w:val="28"/>
          <w:szCs w:val="28"/>
        </w:rPr>
      </w:pPr>
      <w:bookmarkStart w:id="53" w:name="_Toc19140"/>
    </w:p>
    <w:p w14:paraId="4855A5E6">
      <w:pPr>
        <w:pStyle w:val="3"/>
        <w:spacing w:before="280" w:after="160"/>
        <w:rPr>
          <w:rFonts w:ascii="Arial" w:hAnsi="Arial" w:eastAsia="Arial" w:cs="Arial"/>
          <w:b/>
          <w:bCs/>
          <w:color w:val="1565C0"/>
          <w:sz w:val="28"/>
          <w:szCs w:val="28"/>
        </w:rPr>
      </w:pPr>
    </w:p>
    <w:p w14:paraId="43422AC4">
      <w:pPr>
        <w:pStyle w:val="3"/>
        <w:spacing w:before="280" w:after="160"/>
        <w:rPr>
          <w:rFonts w:ascii="Arial" w:hAnsi="Arial" w:eastAsia="Arial" w:cs="Arial"/>
          <w:b/>
          <w:bCs/>
          <w:color w:val="1565C0"/>
          <w:sz w:val="28"/>
          <w:szCs w:val="28"/>
        </w:rPr>
      </w:pPr>
    </w:p>
    <w:p w14:paraId="2A3EA669">
      <w:pPr>
        <w:pStyle w:val="3"/>
        <w:spacing w:before="280" w:after="160"/>
        <w:rPr>
          <w:rFonts w:ascii="Arial" w:hAnsi="Arial" w:eastAsia="Arial" w:cs="Arial"/>
          <w:b/>
          <w:bCs/>
          <w:color w:val="1565C0"/>
          <w:sz w:val="28"/>
          <w:szCs w:val="28"/>
        </w:rPr>
      </w:pPr>
    </w:p>
    <w:p w14:paraId="1143D870">
      <w:pPr>
        <w:pStyle w:val="3"/>
        <w:spacing w:before="280" w:after="160"/>
        <w:rPr>
          <w:rFonts w:ascii="Arial" w:hAnsi="Arial" w:eastAsia="Arial" w:cs="Arial"/>
          <w:b/>
          <w:bCs/>
          <w:color w:val="1565C0"/>
          <w:sz w:val="28"/>
          <w:szCs w:val="28"/>
        </w:rPr>
      </w:pPr>
    </w:p>
    <w:p w14:paraId="10DC714C">
      <w:pPr>
        <w:pStyle w:val="3"/>
        <w:spacing w:before="280" w:after="160"/>
        <w:rPr>
          <w:rFonts w:ascii="Arial" w:hAnsi="Arial" w:eastAsia="Arial" w:cs="Arial"/>
          <w:b/>
          <w:bCs/>
          <w:color w:val="1565C0"/>
          <w:sz w:val="28"/>
          <w:szCs w:val="28"/>
        </w:rPr>
      </w:pPr>
    </w:p>
    <w:p w14:paraId="2F5D7108">
      <w:pPr>
        <w:pStyle w:val="3"/>
        <w:spacing w:before="280" w:after="160"/>
        <w:rPr>
          <w:rFonts w:ascii="Arial" w:hAnsi="Arial" w:eastAsia="Arial" w:cs="Arial"/>
          <w:b/>
          <w:bCs/>
          <w:color w:val="1565C0"/>
          <w:sz w:val="28"/>
          <w:szCs w:val="28"/>
        </w:rPr>
      </w:pPr>
    </w:p>
    <w:p w14:paraId="5C36F1A5">
      <w:pPr>
        <w:pStyle w:val="3"/>
        <w:spacing w:before="280" w:after="160"/>
      </w:pPr>
      <w:r>
        <w:rPr>
          <w:rFonts w:ascii="Arial" w:hAnsi="Arial" w:eastAsia="Arial" w:cs="Arial"/>
          <w:b/>
          <w:bCs/>
          <w:color w:val="1565C0"/>
          <w:sz w:val="28"/>
          <w:szCs w:val="28"/>
        </w:rPr>
        <w:t>5.8 Chart Analysis: Orders by City (Geographic Map)</w:t>
      </w:r>
      <w:bookmarkEnd w:id="53"/>
    </w:p>
    <w:p w14:paraId="2499A4C9">
      <w:pPr>
        <w:spacing w:before="80" w:after="120" w:line="360" w:lineRule="auto"/>
        <w:jc w:val="both"/>
      </w:pPr>
      <w:r>
        <w:rPr>
          <w:rFonts w:ascii="Arial" w:hAnsi="Arial" w:eastAsia="Arial" w:cs="Arial"/>
          <w:b w:val="0"/>
          <w:bCs w:val="0"/>
          <w:i w:val="0"/>
          <w:iCs w:val="0"/>
          <w:color w:val="212121"/>
          <w:sz w:val="22"/>
          <w:szCs w:val="22"/>
        </w:rPr>
        <w:t>The geographic map visualization in the dashboard's bottom-center position plots order locations as bubble markers on an India map, with bubble size corresponding to order count from each city. Major cities visible on the map include Mumbai, Pune, Delhi, Chandigarh, Amritsar, Patna, Kolkata, Chennai, Bangalore, Hyderabad, Ahmedabad, Surat, Indore, Bhopal, Lucknow, Jaipur, Udaipur, and others.</w:t>
      </w:r>
    </w:p>
    <w:p w14:paraId="295C982C">
      <w:pPr>
        <w:spacing w:before="80" w:after="120" w:line="360" w:lineRule="auto"/>
        <w:jc w:val="both"/>
      </w:pPr>
      <w:r>
        <w:rPr>
          <w:rFonts w:ascii="Arial" w:hAnsi="Arial" w:eastAsia="Arial" w:cs="Arial"/>
          <w:b w:val="0"/>
          <w:bCs w:val="0"/>
          <w:i w:val="0"/>
          <w:iCs w:val="0"/>
          <w:color w:val="212121"/>
          <w:sz w:val="22"/>
          <w:szCs w:val="22"/>
        </w:rPr>
        <w:t>This visualization leverages Power BI's Map visual, which uses Bing Maps as the underlying cartographic engine. The geographic clustering of orders around Maharashtra's major cities (Mumbai, Pune) visually confirms the state's revenue leadership. The spread of smaller bubbles across tier-II cities in Madhya Pradesh, Rajasthan, and Punjab demonstrates the platform's reach beyond metropolitan markets.</w:t>
      </w:r>
    </w:p>
    <w:p w14:paraId="0EFB2BC0">
      <w:pPr>
        <w:pStyle w:val="3"/>
        <w:spacing w:before="280" w:after="160"/>
      </w:pPr>
      <w:bookmarkStart w:id="54" w:name="_Toc16137"/>
      <w:r>
        <w:rPr>
          <w:rFonts w:ascii="Arial" w:hAnsi="Arial" w:eastAsia="Arial" w:cs="Arial"/>
          <w:b/>
          <w:bCs/>
          <w:color w:val="1565C0"/>
          <w:sz w:val="28"/>
          <w:szCs w:val="28"/>
        </w:rPr>
        <w:t>5.9 Chart Analysis: Profit Margin by Month</w:t>
      </w:r>
      <w:bookmarkEnd w:id="54"/>
    </w:p>
    <w:p w14:paraId="00795CF2">
      <w:pPr>
        <w:spacing w:before="80" w:after="120" w:line="360" w:lineRule="auto"/>
        <w:jc w:val="both"/>
      </w:pPr>
      <w:r>
        <w:rPr>
          <w:rFonts w:ascii="Arial" w:hAnsi="Arial" w:eastAsia="Arial" w:cs="Arial"/>
          <w:b w:val="0"/>
          <w:bCs w:val="0"/>
          <w:i w:val="0"/>
          <w:iCs w:val="0"/>
          <w:color w:val="212121"/>
          <w:sz w:val="22"/>
          <w:szCs w:val="22"/>
        </w:rPr>
        <w:t>The bar and line chart in the bottom-right corner is a critical temporal visualization showing how total profit margin has evolved across all twelve months of 2018. This chart reveals seasonal patterns, identifies anomalous loss months, and provides the temporal context essential for trend analysis.</w:t>
      </w:r>
    </w:p>
    <w:p w14:paraId="46DF2C8C">
      <w:pPr>
        <w:spacing w:before="80" w:after="120" w:line="360" w:lineRule="auto"/>
        <w:jc w:val="both"/>
        <w:rPr>
          <w:rFonts w:ascii="Arial" w:hAnsi="Arial" w:eastAsia="Arial" w:cs="Arial"/>
          <w:b w:val="0"/>
          <w:bCs w:val="0"/>
          <w:i w:val="0"/>
          <w:iCs w:val="0"/>
          <w:color w:val="212121"/>
          <w:sz w:val="22"/>
          <w:szCs w:val="22"/>
        </w:rPr>
      </w:pPr>
      <w:r>
        <w:rPr>
          <w:rFonts w:ascii="Arial" w:hAnsi="Arial" w:eastAsia="Arial" w:cs="Arial"/>
          <w:b w:val="0"/>
          <w:bCs w:val="0"/>
          <w:i w:val="0"/>
          <w:iCs w:val="0"/>
          <w:color w:val="212121"/>
          <w:sz w:val="22"/>
          <w:szCs w:val="22"/>
        </w:rPr>
        <w:t>Positive profit months observed include January, February, March, May, June, September, October, and November, with peaks apparent in Q1 (January-March) and Q4 (September-November). Critically, July and December show negative profit bars (the red bars visible in the dashboard), indicating months where aggregate costs exceeded revenues — a pattern requiring investigation. These loss months may reflect heavy promotional discounting, high return rates, or adverse product mix during those periods.</w:t>
      </w:r>
    </w:p>
    <w:p w14:paraId="6612AB1F">
      <w:pPr>
        <w:spacing w:before="80" w:after="120" w:line="360" w:lineRule="auto"/>
        <w:jc w:val="both"/>
        <w:rPr>
          <w:rFonts w:ascii="Arial" w:hAnsi="Arial" w:eastAsia="Arial" w:cs="Arial"/>
          <w:b w:val="0"/>
          <w:bCs w:val="0"/>
          <w:i w:val="0"/>
          <w:iCs w:val="0"/>
          <w:color w:val="212121"/>
          <w:sz w:val="22"/>
          <w:szCs w:val="22"/>
        </w:rPr>
      </w:pPr>
    </w:p>
    <w:p w14:paraId="1A7CBEEA">
      <w:r>
        <w:drawing>
          <wp:inline distT="0" distB="0" distL="114300" distR="114300">
            <wp:extent cx="6052185" cy="3511550"/>
            <wp:effectExtent l="0" t="0" r="13335" b="8890"/>
            <wp:docPr id="1" name="Picture 1" descr="C:/Users/deepa/OneDrive/Desktop/Qollabb Project/sales power bi dashboard image.pngsales power bi dashboar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deepa/OneDrive/Desktop/Qollabb Project/sales power bi dashboard image.pngsales power bi dashboard image"/>
                    <pic:cNvPicPr>
                      <a:picLocks noChangeAspect="1"/>
                    </pic:cNvPicPr>
                  </pic:nvPicPr>
                  <pic:blipFill>
                    <a:blip r:embed="rId7"/>
                    <a:srcRect l="133" r="133"/>
                    <a:stretch>
                      <a:fillRect/>
                    </a:stretch>
                  </pic:blipFill>
                  <pic:spPr>
                    <a:xfrm>
                      <a:off x="0" y="0"/>
                      <a:ext cx="6052185" cy="3511550"/>
                    </a:xfrm>
                    <a:prstGeom prst="rect">
                      <a:avLst/>
                    </a:prstGeom>
                  </pic:spPr>
                </pic:pic>
              </a:graphicData>
            </a:graphic>
          </wp:inline>
        </w:drawing>
      </w:r>
      <w:r>
        <w:br w:type="page"/>
      </w:r>
    </w:p>
    <w:p w14:paraId="551546A5">
      <w:pPr>
        <w:pStyle w:val="2"/>
        <w:pBdr>
          <w:bottom w:val="single" w:color="1565C0" w:sz="8" w:space="4"/>
        </w:pBdr>
        <w:spacing w:before="360" w:after="200"/>
        <w:jc w:val="center"/>
      </w:pPr>
      <w:bookmarkStart w:id="55" w:name="_Toc670"/>
      <w:r>
        <w:rPr>
          <w:rFonts w:ascii="Arial" w:hAnsi="Arial" w:eastAsia="Arial" w:cs="Arial"/>
          <w:b/>
          <w:bCs/>
          <w:color w:val="1A237E"/>
          <w:sz w:val="36"/>
          <w:szCs w:val="36"/>
        </w:rPr>
        <w:t>Chapter 6: Analytical Findings and Business Insights</w:t>
      </w:r>
      <w:bookmarkEnd w:id="55"/>
    </w:p>
    <w:p w14:paraId="23BCB3AA">
      <w:pPr>
        <w:pStyle w:val="3"/>
        <w:spacing w:before="280" w:after="160"/>
      </w:pPr>
      <w:bookmarkStart w:id="56" w:name="_Toc1567"/>
      <w:r>
        <w:rPr>
          <w:rFonts w:ascii="Arial" w:hAnsi="Arial" w:eastAsia="Arial" w:cs="Arial"/>
          <w:b/>
          <w:bCs/>
          <w:color w:val="1565C0"/>
          <w:sz w:val="28"/>
          <w:szCs w:val="28"/>
        </w:rPr>
        <w:t>6.1 Geographic Performance Insights</w:t>
      </w:r>
      <w:bookmarkEnd w:id="56"/>
    </w:p>
    <w:p w14:paraId="3B21B1CE">
      <w:pPr>
        <w:pStyle w:val="4"/>
        <w:spacing w:before="200" w:after="100"/>
      </w:pPr>
      <w:bookmarkStart w:id="57" w:name="_Toc17035"/>
      <w:r>
        <w:rPr>
          <w:rFonts w:ascii="Arial" w:hAnsi="Arial" w:eastAsia="Arial" w:cs="Arial"/>
          <w:b/>
          <w:bCs/>
          <w:color w:val="0D47A1"/>
          <w:sz w:val="24"/>
          <w:szCs w:val="24"/>
        </w:rPr>
        <w:t>6.1.1 Maharashtra: The Revenue Leader</w:t>
      </w:r>
      <w:bookmarkEnd w:id="57"/>
    </w:p>
    <w:p w14:paraId="2801146B">
      <w:pPr>
        <w:spacing w:before="80" w:after="120" w:line="360" w:lineRule="auto"/>
        <w:jc w:val="both"/>
      </w:pPr>
      <w:r>
        <w:rPr>
          <w:rFonts w:ascii="Arial" w:hAnsi="Arial" w:eastAsia="Arial" w:cs="Arial"/>
          <w:b w:val="0"/>
          <w:bCs w:val="0"/>
          <w:i w:val="0"/>
          <w:iCs w:val="0"/>
          <w:color w:val="212121"/>
          <w:sz w:val="22"/>
          <w:szCs w:val="22"/>
        </w:rPr>
        <w:t>Maharashtra's position as the top-revenue state (INR 102K, approximately 23% of total revenue) reflects its dual advantages: a large affluent urban population in Mumbai and a rapidly growing IT-driven middle class in Pune. Mumbai's status as India's financial capital means higher discretionary spending capacity, while Pune's large student and young professional population drives electronics and clothing demand.</w:t>
      </w:r>
    </w:p>
    <w:p w14:paraId="6C896363">
      <w:pPr>
        <w:spacing w:before="80" w:after="120" w:line="360" w:lineRule="auto"/>
        <w:jc w:val="both"/>
      </w:pPr>
      <w:r>
        <w:rPr>
          <w:rFonts w:ascii="Arial" w:hAnsi="Arial" w:eastAsia="Arial" w:cs="Arial"/>
          <w:b w:val="0"/>
          <w:bCs w:val="0"/>
          <w:i w:val="0"/>
          <w:iCs w:val="0"/>
          <w:color w:val="212121"/>
          <w:sz w:val="22"/>
          <w:szCs w:val="22"/>
        </w:rPr>
        <w:t>Business Implication: The platform should prioritize Maharashtra for premium product launches, targeted marketing campaigns, and logistics capacity investments. Dedicated customer service representatives for Maharashtra customers and same-day or next-day delivery partnerships with local logistics providers would strengthen the platform's competitive position in this critical market.</w:t>
      </w:r>
    </w:p>
    <w:p w14:paraId="7A311678">
      <w:pPr>
        <w:pStyle w:val="4"/>
        <w:spacing w:before="200" w:after="100"/>
      </w:pPr>
      <w:bookmarkStart w:id="58" w:name="_Toc25452"/>
      <w:r>
        <w:rPr>
          <w:rFonts w:ascii="Arial" w:hAnsi="Arial" w:eastAsia="Arial" w:cs="Arial"/>
          <w:b/>
          <w:bCs/>
          <w:color w:val="0D47A1"/>
          <w:sz w:val="24"/>
          <w:szCs w:val="24"/>
        </w:rPr>
        <w:t>6.1.2 Madhya Pradesh: The Surprising Second</w:t>
      </w:r>
      <w:bookmarkEnd w:id="58"/>
    </w:p>
    <w:p w14:paraId="7B5089D6">
      <w:pPr>
        <w:spacing w:before="80" w:after="120" w:line="360" w:lineRule="auto"/>
        <w:jc w:val="both"/>
      </w:pPr>
      <w:r>
        <w:rPr>
          <w:rFonts w:ascii="Arial" w:hAnsi="Arial" w:eastAsia="Arial" w:cs="Arial"/>
          <w:b w:val="0"/>
          <w:bCs w:val="0"/>
          <w:i w:val="0"/>
          <w:iCs w:val="0"/>
          <w:color w:val="212121"/>
          <w:sz w:val="22"/>
          <w:szCs w:val="22"/>
        </w:rPr>
        <w:t>Madhya Pradesh's second-place ranking (INR 87K) is a strategically significant finding. While Maharashtra's e-commerce dominance is expected, MP's strong showing reflects the rise of Indore as one of India's fastest-growing e-commerce markets. Indore consistently ranks among India's top tier-II cities for e-commerce adoption, and the dataset confirms strong order volumes from both Indore and Bhopal.</w:t>
      </w:r>
    </w:p>
    <w:p w14:paraId="69878847">
      <w:pPr>
        <w:spacing w:before="80" w:after="120" w:line="360" w:lineRule="auto"/>
        <w:jc w:val="both"/>
      </w:pPr>
      <w:r>
        <w:rPr>
          <w:rFonts w:ascii="Arial" w:hAnsi="Arial" w:eastAsia="Arial" w:cs="Arial"/>
          <w:b w:val="0"/>
          <w:bCs w:val="0"/>
          <w:i w:val="0"/>
          <w:iCs w:val="0"/>
          <w:color w:val="212121"/>
          <w:sz w:val="22"/>
          <w:szCs w:val="22"/>
        </w:rPr>
        <w:t>Business Implication: Madhya Pradesh represents an underexploited growth opportunity. Investment in regional warehousing near Indore could reduce delivery times for MP customers, improving satisfaction and repeat purchase rates. Marketing campaigns highlighting value propositions tailored to MP's price-sensitive consumer base could further accelerate market penetration.</w:t>
      </w:r>
    </w:p>
    <w:p w14:paraId="156BF419">
      <w:pPr>
        <w:pStyle w:val="4"/>
        <w:spacing w:before="200" w:after="100"/>
      </w:pPr>
      <w:bookmarkStart w:id="59" w:name="_Toc15751"/>
      <w:r>
        <w:rPr>
          <w:rFonts w:ascii="Arial" w:hAnsi="Arial" w:eastAsia="Arial" w:cs="Arial"/>
          <w:b/>
          <w:bCs/>
          <w:color w:val="0D47A1"/>
          <w:sz w:val="24"/>
          <w:szCs w:val="24"/>
        </w:rPr>
        <w:t>6.1.3 Underperforming Markets</w:t>
      </w:r>
      <w:bookmarkEnd w:id="59"/>
    </w:p>
    <w:p w14:paraId="354C43F4">
      <w:pPr>
        <w:spacing w:before="80" w:after="120" w:line="360" w:lineRule="auto"/>
        <w:jc w:val="both"/>
      </w:pPr>
      <w:r>
        <w:rPr>
          <w:rFonts w:ascii="Arial" w:hAnsi="Arial" w:eastAsia="Arial" w:cs="Arial"/>
          <w:b w:val="0"/>
          <w:bCs w:val="0"/>
          <w:i w:val="0"/>
          <w:iCs w:val="0"/>
          <w:color w:val="212121"/>
          <w:sz w:val="22"/>
          <w:szCs w:val="22"/>
        </w:rPr>
        <w:t>States beyond the top four (Maharashtra, MP, UP, Delhi) collectively account for a substantial share of orders but show individually modest revenue figures. States like Goa, Nagaland, Himachal Pradesh, and Sikkim appear in the dataset with relatively small order counts, suggesting limited platform presence in smaller markets.</w:t>
      </w:r>
    </w:p>
    <w:p w14:paraId="428BFB95">
      <w:pPr>
        <w:pStyle w:val="3"/>
        <w:spacing w:before="280" w:after="160"/>
        <w:rPr>
          <w:rFonts w:ascii="Arial" w:hAnsi="Arial" w:eastAsia="Arial" w:cs="Arial"/>
          <w:b/>
          <w:bCs/>
          <w:color w:val="1565C0"/>
          <w:sz w:val="28"/>
          <w:szCs w:val="28"/>
        </w:rPr>
      </w:pPr>
      <w:bookmarkStart w:id="60" w:name="_Toc31597"/>
    </w:p>
    <w:p w14:paraId="0A30F7B2">
      <w:pPr>
        <w:pStyle w:val="3"/>
        <w:spacing w:before="280" w:after="160"/>
      </w:pPr>
      <w:r>
        <w:rPr>
          <w:rFonts w:ascii="Arial" w:hAnsi="Arial" w:eastAsia="Arial" w:cs="Arial"/>
          <w:b/>
          <w:bCs/>
          <w:color w:val="1565C0"/>
          <w:sz w:val="28"/>
          <w:szCs w:val="28"/>
        </w:rPr>
        <w:t>6.2 Product Category and Profitability Insights</w:t>
      </w:r>
      <w:bookmarkEnd w:id="60"/>
    </w:p>
    <w:p w14:paraId="2A24FC05">
      <w:pPr>
        <w:pStyle w:val="4"/>
        <w:spacing w:before="200" w:after="100"/>
      </w:pPr>
      <w:bookmarkStart w:id="61" w:name="_Toc5576"/>
      <w:r>
        <w:rPr>
          <w:rFonts w:ascii="Arial" w:hAnsi="Arial" w:eastAsia="Arial" w:cs="Arial"/>
          <w:b/>
          <w:bCs/>
          <w:color w:val="0D47A1"/>
          <w:sz w:val="24"/>
          <w:szCs w:val="24"/>
        </w:rPr>
        <w:t>6.2.1 Printers: The Profit Champion</w:t>
      </w:r>
      <w:bookmarkEnd w:id="61"/>
    </w:p>
    <w:p w14:paraId="6A2AB633">
      <w:pPr>
        <w:spacing w:before="80" w:after="120" w:line="360" w:lineRule="auto"/>
        <w:jc w:val="both"/>
      </w:pPr>
      <w:r>
        <w:rPr>
          <w:rFonts w:ascii="Arial" w:hAnsi="Arial" w:eastAsia="Arial" w:cs="Arial"/>
          <w:b w:val="0"/>
          <w:bCs w:val="0"/>
          <w:i w:val="0"/>
          <w:iCs w:val="0"/>
          <w:color w:val="212121"/>
          <w:sz w:val="22"/>
          <w:szCs w:val="22"/>
        </w:rPr>
        <w:t>Printers emerge as the single most profitable sub-category with approximately INR 8,600 in total profit across the year. This finding aligns with general retail economics: printers are high-involvement purchases where brand loyalty and technical specifications drive customer selection, reducing price sensitivity and enabling healthy margins. Additionally, the printer-to-ink-cartridge ecosystem creates recurring revenue opportunities through consumables.</w:t>
      </w:r>
    </w:p>
    <w:p w14:paraId="7826BB84">
      <w:pPr>
        <w:spacing w:before="80" w:after="120" w:line="360" w:lineRule="auto"/>
        <w:jc w:val="both"/>
      </w:pPr>
      <w:r>
        <w:rPr>
          <w:rFonts w:ascii="Arial" w:hAnsi="Arial" w:eastAsia="Arial" w:cs="Arial"/>
          <w:b w:val="0"/>
          <w:bCs w:val="0"/>
          <w:i w:val="0"/>
          <w:iCs w:val="0"/>
          <w:color w:val="212121"/>
          <w:sz w:val="22"/>
          <w:szCs w:val="22"/>
        </w:rPr>
        <w:t>Business Implication: Printers should be a focal point for marketing investment, promotional bundles (printer + paper + cartridges), and extended warranty upselling. Dedicated landing pages and comparison tools for printer selection could increase conversion rates in this high-margin category.</w:t>
      </w:r>
    </w:p>
    <w:p w14:paraId="09C77964">
      <w:pPr>
        <w:pStyle w:val="4"/>
        <w:spacing w:before="200" w:after="100"/>
      </w:pPr>
      <w:bookmarkStart w:id="62" w:name="_Toc24704"/>
      <w:r>
        <w:rPr>
          <w:rFonts w:ascii="Arial" w:hAnsi="Arial" w:eastAsia="Arial" w:cs="Arial"/>
          <w:b/>
          <w:bCs/>
          <w:color w:val="0D47A1"/>
          <w:sz w:val="24"/>
          <w:szCs w:val="24"/>
        </w:rPr>
        <w:t>6.2.2 Loss-Making Sub-Categories</w:t>
      </w:r>
      <w:bookmarkEnd w:id="62"/>
    </w:p>
    <w:p w14:paraId="62D690DD">
      <w:pPr>
        <w:spacing w:before="80" w:after="120" w:line="360" w:lineRule="auto"/>
        <w:jc w:val="both"/>
      </w:pPr>
      <w:r>
        <w:rPr>
          <w:rFonts w:ascii="Arial" w:hAnsi="Arial" w:eastAsia="Arial" w:cs="Arial"/>
          <w:b w:val="0"/>
          <w:bCs w:val="0"/>
          <w:i w:val="0"/>
          <w:iCs w:val="0"/>
          <w:color w:val="212121"/>
          <w:sz w:val="22"/>
          <w:szCs w:val="22"/>
        </w:rPr>
        <w:t>Several sub-categories show negative or near-zero profit margins in the data. Certain Electronic Games transactions show substantial losses (e.g., individual transactions with -INR 916 profit), suggesting either significant discounting, return-cost absorption, or cost structure problems. Similarly, some Saree and Hankerchief transactions record small losses that, when aggregated, erode overall Clothing category profitability.</w:t>
      </w:r>
    </w:p>
    <w:p w14:paraId="4B4A8DC0">
      <w:pPr>
        <w:spacing w:before="80" w:after="120" w:line="360" w:lineRule="auto"/>
        <w:jc w:val="both"/>
      </w:pPr>
      <w:r>
        <w:rPr>
          <w:rFonts w:ascii="Arial" w:hAnsi="Arial" w:eastAsia="Arial" w:cs="Arial"/>
          <w:b w:val="0"/>
          <w:bCs w:val="0"/>
          <w:i w:val="0"/>
          <w:iCs w:val="0"/>
          <w:color w:val="212121"/>
          <w:sz w:val="22"/>
          <w:szCs w:val="22"/>
        </w:rPr>
        <w:t>Business Implication: A product profitability audit of these sub-categories is recommended. Options include: (1) repricing to recover margins, (2) removal from the catalog if demand is insufficient to justify losses, (3) renegotiating supplier costs, or (4) investigating whether high return rates are driving apparent losses.</w:t>
      </w:r>
    </w:p>
    <w:p w14:paraId="54E4EA77">
      <w:pPr>
        <w:pStyle w:val="4"/>
        <w:spacing w:before="200" w:after="100"/>
      </w:pPr>
      <w:bookmarkStart w:id="63" w:name="_Toc12588"/>
      <w:r>
        <w:rPr>
          <w:rFonts w:ascii="Arial" w:hAnsi="Arial" w:eastAsia="Arial" w:cs="Arial"/>
          <w:b/>
          <w:bCs/>
          <w:color w:val="0D47A1"/>
          <w:sz w:val="24"/>
          <w:szCs w:val="24"/>
        </w:rPr>
        <w:t>6.2.3 Category Mix Strategy</w:t>
      </w:r>
      <w:bookmarkEnd w:id="63"/>
    </w:p>
    <w:p w14:paraId="3F667B4C">
      <w:pPr>
        <w:spacing w:before="80" w:after="120" w:line="360" w:lineRule="auto"/>
        <w:jc w:val="both"/>
      </w:pPr>
      <w:r>
        <w:rPr>
          <w:rFonts w:ascii="Arial" w:hAnsi="Arial" w:eastAsia="Arial" w:cs="Arial"/>
          <w:b w:val="0"/>
          <w:bCs w:val="0"/>
          <w:i w:val="0"/>
          <w:iCs w:val="0"/>
          <w:color w:val="212121"/>
          <w:sz w:val="22"/>
          <w:szCs w:val="22"/>
        </w:rPr>
        <w:t>The current category mix — 63% Clothing by quantity but dominated by Electronics and Furniture in revenue and margin — suggests a platform that was perhaps originally positioned as a fashion/clothing retailer that has successfully expanded into higher-value categories. The challenge is that Clothing transactions (low-value, high-return-rate) consume operational resources (customer service, returns processing, last-mile delivery) disproportionate to their profit contribution.</w:t>
      </w:r>
    </w:p>
    <w:p w14:paraId="0DAD19AA">
      <w:pPr>
        <w:pStyle w:val="3"/>
        <w:spacing w:before="280" w:after="160"/>
        <w:rPr>
          <w:rFonts w:ascii="Arial" w:hAnsi="Arial" w:eastAsia="Arial" w:cs="Arial"/>
          <w:b/>
          <w:bCs/>
          <w:color w:val="1565C0"/>
          <w:sz w:val="28"/>
          <w:szCs w:val="28"/>
        </w:rPr>
      </w:pPr>
      <w:bookmarkStart w:id="64" w:name="_Toc29216"/>
    </w:p>
    <w:p w14:paraId="78C6D360">
      <w:pPr>
        <w:pStyle w:val="3"/>
        <w:spacing w:before="280" w:after="160"/>
        <w:rPr>
          <w:rFonts w:ascii="Arial" w:hAnsi="Arial" w:eastAsia="Arial" w:cs="Arial"/>
          <w:b/>
          <w:bCs/>
          <w:color w:val="1565C0"/>
          <w:sz w:val="28"/>
          <w:szCs w:val="28"/>
        </w:rPr>
      </w:pPr>
    </w:p>
    <w:p w14:paraId="460DD16B">
      <w:pPr>
        <w:pStyle w:val="3"/>
        <w:spacing w:before="280" w:after="160"/>
        <w:rPr>
          <w:rFonts w:ascii="Arial" w:hAnsi="Arial" w:eastAsia="Arial" w:cs="Arial"/>
          <w:b/>
          <w:bCs/>
          <w:color w:val="1565C0"/>
          <w:sz w:val="28"/>
          <w:szCs w:val="28"/>
        </w:rPr>
      </w:pPr>
    </w:p>
    <w:p w14:paraId="0E75AE7E">
      <w:pPr>
        <w:pStyle w:val="3"/>
        <w:spacing w:before="280" w:after="160"/>
        <w:rPr>
          <w:rFonts w:ascii="Arial" w:hAnsi="Arial" w:eastAsia="Arial" w:cs="Arial"/>
          <w:b/>
          <w:bCs/>
          <w:color w:val="1565C0"/>
          <w:sz w:val="28"/>
          <w:szCs w:val="28"/>
        </w:rPr>
      </w:pPr>
    </w:p>
    <w:p w14:paraId="6520894B">
      <w:pPr>
        <w:pStyle w:val="3"/>
        <w:spacing w:before="280" w:after="160"/>
      </w:pPr>
      <w:r>
        <w:rPr>
          <w:rFonts w:ascii="Arial" w:hAnsi="Arial" w:eastAsia="Arial" w:cs="Arial"/>
          <w:b/>
          <w:bCs/>
          <w:color w:val="1565C0"/>
          <w:sz w:val="28"/>
          <w:szCs w:val="28"/>
        </w:rPr>
        <w:t>6.3 Payment Mode Insights</w:t>
      </w:r>
      <w:bookmarkEnd w:id="64"/>
    </w:p>
    <w:p w14:paraId="50DAEF9B">
      <w:pPr>
        <w:spacing w:before="80" w:after="120" w:line="360" w:lineRule="auto"/>
        <w:jc w:val="both"/>
      </w:pPr>
      <w:r>
        <w:rPr>
          <w:rFonts w:ascii="Arial" w:hAnsi="Arial" w:eastAsia="Arial" w:cs="Arial"/>
          <w:b w:val="0"/>
          <w:bCs w:val="0"/>
          <w:i w:val="0"/>
          <w:iCs w:val="0"/>
          <w:color w:val="212121"/>
          <w:sz w:val="22"/>
          <w:szCs w:val="22"/>
        </w:rPr>
        <w:t>COD's 44% dominance is both a market reality and an operational challenge. Each COD delivery carries the risk of non-acceptance at the doorstep, creating reverse logistics costs. Industry data suggests COD return rates in India can reach 20-30% for certain categories, substantially eroding realized revenue.</w:t>
      </w:r>
    </w:p>
    <w:p w14:paraId="387E78A2">
      <w:pPr>
        <w:spacing w:before="80" w:after="120" w:line="360" w:lineRule="auto"/>
        <w:jc w:val="both"/>
      </w:pPr>
      <w:r>
        <w:rPr>
          <w:rFonts w:ascii="Arial" w:hAnsi="Arial" w:eastAsia="Arial" w:cs="Arial"/>
          <w:b w:val="0"/>
          <w:bCs w:val="0"/>
          <w:i w:val="0"/>
          <w:iCs w:val="0"/>
          <w:color w:val="212121"/>
          <w:sz w:val="22"/>
          <w:szCs w:val="22"/>
        </w:rPr>
        <w:t>The 21% UPI share represents a positive development. UPI transactions carry no interchange fees (unlike credit cards), are instant, and eliminate return risk. The platform should incentivize UPI adoption through exclusive discounts, cashback offers, or priority shipping for digital payment users.</w:t>
      </w:r>
    </w:p>
    <w:p w14:paraId="000DFFA5">
      <w:pPr>
        <w:spacing w:before="80" w:after="120" w:line="360" w:lineRule="auto"/>
        <w:jc w:val="both"/>
      </w:pPr>
      <w:r>
        <w:rPr>
          <w:rFonts w:ascii="Arial" w:hAnsi="Arial" w:eastAsia="Arial" w:cs="Arial"/>
          <w:b w:val="0"/>
          <w:bCs w:val="0"/>
          <w:i w:val="0"/>
          <w:iCs w:val="0"/>
          <w:color w:val="212121"/>
          <w:sz w:val="22"/>
          <w:szCs w:val="22"/>
        </w:rPr>
        <w:t>EMI's 10% share is significant for high-ticket items. Offering zero-cost EMI on Electronics and Furniture through banking partnerships could increase average order values and improve conversion rates for hesitant high-consideration purchasers.</w:t>
      </w:r>
    </w:p>
    <w:p w14:paraId="00ADD7C9">
      <w:pPr>
        <w:pStyle w:val="3"/>
        <w:spacing w:before="280" w:after="160"/>
      </w:pPr>
      <w:bookmarkStart w:id="65" w:name="_Toc1548"/>
      <w:r>
        <w:rPr>
          <w:rFonts w:ascii="Arial" w:hAnsi="Arial" w:eastAsia="Arial" w:cs="Arial"/>
          <w:b/>
          <w:bCs/>
          <w:color w:val="1565C0"/>
          <w:sz w:val="28"/>
          <w:szCs w:val="28"/>
        </w:rPr>
        <w:t>6.4 Temporal Profitability Insights</w:t>
      </w:r>
      <w:bookmarkEnd w:id="65"/>
    </w:p>
    <w:p w14:paraId="23185A05">
      <w:pPr>
        <w:pStyle w:val="4"/>
        <w:spacing w:before="200" w:after="100"/>
      </w:pPr>
      <w:bookmarkStart w:id="66" w:name="_Toc14049"/>
      <w:r>
        <w:rPr>
          <w:rFonts w:ascii="Arial" w:hAnsi="Arial" w:eastAsia="Arial" w:cs="Arial"/>
          <w:b/>
          <w:bCs/>
          <w:color w:val="0D47A1"/>
          <w:sz w:val="24"/>
          <w:szCs w:val="24"/>
        </w:rPr>
        <w:t>6.4.1 Loss Months: July and December</w:t>
      </w:r>
      <w:bookmarkEnd w:id="66"/>
    </w:p>
    <w:p w14:paraId="5B96E44E">
      <w:pPr>
        <w:spacing w:before="80" w:after="120" w:line="360" w:lineRule="auto"/>
        <w:jc w:val="both"/>
      </w:pPr>
      <w:r>
        <w:rPr>
          <w:rFonts w:ascii="Arial" w:hAnsi="Arial" w:eastAsia="Arial" w:cs="Arial"/>
          <w:b w:val="0"/>
          <w:bCs w:val="0"/>
          <w:i w:val="0"/>
          <w:iCs w:val="0"/>
          <w:color w:val="212121"/>
          <w:sz w:val="22"/>
          <w:szCs w:val="22"/>
        </w:rPr>
        <w:t>July's negative profit margin is anomalous within the annual trend. Several factors could explain this: (1) Mid-year promotion events or sale periods where aggressive discounting eroded margins; (2) Seasonal demand shifts with lower volumes in non-festive months; (3) Higher return rates from monsoon-related delivery issues in certain regions; (4) Inventory clearance of slow-moving products at below-cost prices.</w:t>
      </w:r>
    </w:p>
    <w:p w14:paraId="165605AA">
      <w:pPr>
        <w:spacing w:before="80" w:after="120" w:line="360" w:lineRule="auto"/>
        <w:jc w:val="both"/>
      </w:pPr>
      <w:r>
        <w:rPr>
          <w:rFonts w:ascii="Arial" w:hAnsi="Arial" w:eastAsia="Arial" w:cs="Arial"/>
          <w:b w:val="0"/>
          <w:bCs w:val="0"/>
          <w:i w:val="0"/>
          <w:iCs w:val="0"/>
          <w:color w:val="212121"/>
          <w:sz w:val="22"/>
          <w:szCs w:val="22"/>
        </w:rPr>
        <w:t>December's negative profit is particularly concerning given that November-December is typically India's peak festive e-commerce season (Diwali, Christmas). The loss may reflect the cost of excessive promotional discounting during year-end sales events that pulled forward January demand without recovering full margins.</w:t>
      </w:r>
    </w:p>
    <w:p w14:paraId="624D33CD">
      <w:pPr>
        <w:pStyle w:val="4"/>
        <w:spacing w:before="200" w:after="100"/>
        <w:rPr>
          <w:rFonts w:ascii="Arial" w:hAnsi="Arial" w:eastAsia="Arial" w:cs="Arial"/>
          <w:b/>
          <w:bCs/>
          <w:color w:val="0D47A1"/>
          <w:sz w:val="24"/>
          <w:szCs w:val="24"/>
        </w:rPr>
      </w:pPr>
      <w:bookmarkStart w:id="67" w:name="_Toc19399"/>
    </w:p>
    <w:p w14:paraId="4F4B9360">
      <w:pPr>
        <w:pStyle w:val="4"/>
        <w:spacing w:before="200" w:after="100"/>
        <w:rPr>
          <w:rFonts w:ascii="Arial" w:hAnsi="Arial" w:eastAsia="Arial" w:cs="Arial"/>
          <w:b/>
          <w:bCs/>
          <w:color w:val="0D47A1"/>
          <w:sz w:val="24"/>
          <w:szCs w:val="24"/>
        </w:rPr>
      </w:pPr>
    </w:p>
    <w:p w14:paraId="00F85652">
      <w:pPr>
        <w:pStyle w:val="4"/>
        <w:spacing w:before="200" w:after="100"/>
        <w:rPr>
          <w:rFonts w:ascii="Arial" w:hAnsi="Arial" w:eastAsia="Arial" w:cs="Arial"/>
          <w:b/>
          <w:bCs/>
          <w:color w:val="0D47A1"/>
          <w:sz w:val="24"/>
          <w:szCs w:val="24"/>
        </w:rPr>
      </w:pPr>
    </w:p>
    <w:p w14:paraId="24B2DF01">
      <w:pPr>
        <w:pStyle w:val="4"/>
        <w:spacing w:before="200" w:after="100"/>
        <w:rPr>
          <w:rFonts w:ascii="Arial" w:hAnsi="Arial" w:eastAsia="Arial" w:cs="Arial"/>
          <w:b/>
          <w:bCs/>
          <w:color w:val="0D47A1"/>
          <w:sz w:val="24"/>
          <w:szCs w:val="24"/>
        </w:rPr>
      </w:pPr>
    </w:p>
    <w:p w14:paraId="3542D6E0">
      <w:pPr>
        <w:pStyle w:val="4"/>
        <w:spacing w:before="200" w:after="100"/>
      </w:pPr>
      <w:r>
        <w:rPr>
          <w:rFonts w:ascii="Arial" w:hAnsi="Arial" w:eastAsia="Arial" w:cs="Arial"/>
          <w:b/>
          <w:bCs/>
          <w:color w:val="0D47A1"/>
          <w:sz w:val="24"/>
          <w:szCs w:val="24"/>
        </w:rPr>
        <w:t>6.4.2 Peak Profitability Periods</w:t>
      </w:r>
      <w:bookmarkEnd w:id="67"/>
    </w:p>
    <w:p w14:paraId="0433D110">
      <w:pPr>
        <w:spacing w:before="80" w:after="120" w:line="360" w:lineRule="auto"/>
        <w:jc w:val="both"/>
      </w:pPr>
      <w:r>
        <w:rPr>
          <w:rFonts w:ascii="Arial" w:hAnsi="Arial" w:eastAsia="Arial" w:cs="Arial"/>
          <w:b w:val="0"/>
          <w:bCs w:val="0"/>
          <w:i w:val="0"/>
          <w:iCs w:val="0"/>
          <w:color w:val="212121"/>
          <w:sz w:val="22"/>
          <w:szCs w:val="22"/>
        </w:rPr>
        <w:t>The Q1 months (January–March) show relatively healthy profit margins, suggesting that the post-holiday season sees stable demand without the promotional pressures of year-end sales. October-November, while high-volume festive months, appear to maintain positive (if compressed) margins — suggesting the platform manages its promotional strategy better during Diwali season than in December.</w:t>
      </w:r>
    </w:p>
    <w:p w14:paraId="18A208AA">
      <w:pPr>
        <w:pStyle w:val="3"/>
        <w:spacing w:before="280" w:after="160"/>
        <w:rPr>
          <w:rFonts w:ascii="Arial" w:hAnsi="Arial" w:eastAsia="Arial" w:cs="Arial"/>
          <w:b/>
          <w:bCs/>
          <w:color w:val="1565C0"/>
          <w:sz w:val="28"/>
          <w:szCs w:val="28"/>
        </w:rPr>
      </w:pPr>
      <w:bookmarkStart w:id="68" w:name="_Toc3930"/>
    </w:p>
    <w:p w14:paraId="7BE9CE81">
      <w:pPr>
        <w:pStyle w:val="3"/>
        <w:spacing w:before="280" w:after="160"/>
      </w:pPr>
      <w:r>
        <w:rPr>
          <w:rFonts w:ascii="Arial" w:hAnsi="Arial" w:eastAsia="Arial" w:cs="Arial"/>
          <w:b/>
          <w:bCs/>
          <w:color w:val="1565C0"/>
          <w:sz w:val="28"/>
          <w:szCs w:val="28"/>
        </w:rPr>
        <w:t>6.5 Customer Value Insights</w:t>
      </w:r>
      <w:bookmarkEnd w:id="68"/>
    </w:p>
    <w:p w14:paraId="772B4E3B">
      <w:pPr>
        <w:spacing w:before="80" w:after="120" w:line="360" w:lineRule="auto"/>
        <w:jc w:val="both"/>
      </w:pPr>
      <w:r>
        <w:rPr>
          <w:rFonts w:ascii="Arial" w:hAnsi="Arial" w:eastAsia="Arial" w:cs="Arial"/>
          <w:b w:val="0"/>
          <w:bCs w:val="0"/>
          <w:i w:val="0"/>
          <w:iCs w:val="0"/>
          <w:color w:val="212121"/>
          <w:sz w:val="22"/>
          <w:szCs w:val="22"/>
        </w:rPr>
        <w:t>The top four customers (Harivansh, Madhav, Madan Mohan, Shiva) each exceed INR 6,000 in annual purchases, placing them in the high-value customer segment. Implementing a formal loyalty program (tier-based rewards, early access to sales, free shipping thresholds) for the top 50 customers could significantly increase retention and lifetime value.</w:t>
      </w:r>
    </w:p>
    <w:p w14:paraId="631FD9D3">
      <w:pPr>
        <w:spacing w:before="80" w:after="120" w:line="360" w:lineRule="auto"/>
        <w:jc w:val="both"/>
      </w:pPr>
      <w:r>
        <w:rPr>
          <w:rFonts w:ascii="Arial" w:hAnsi="Arial" w:eastAsia="Arial" w:cs="Arial"/>
          <w:b w:val="0"/>
          <w:bCs w:val="0"/>
          <w:i w:val="0"/>
          <w:iCs w:val="0"/>
          <w:color w:val="212121"/>
          <w:sz w:val="22"/>
          <w:szCs w:val="22"/>
        </w:rPr>
        <w:t>The relatively flat revenue distribution across 500 customers (no single customer exceeding 2.5% of total revenue) suggests limited customer concentration risk — a healthy sign — but also indicates opportunity to develop deeper relationships with high-potential customers through personalized outreach and curated product recommendations.</w:t>
      </w:r>
    </w:p>
    <w:p w14:paraId="32F46F04">
      <w:r>
        <w:br w:type="page"/>
      </w:r>
    </w:p>
    <w:p w14:paraId="7E1A23A8">
      <w:pPr>
        <w:pStyle w:val="2"/>
        <w:pBdr>
          <w:bottom w:val="single" w:color="1565C0" w:sz="8" w:space="4"/>
        </w:pBdr>
        <w:spacing w:before="360" w:after="200"/>
        <w:jc w:val="center"/>
      </w:pPr>
      <w:bookmarkStart w:id="69" w:name="_Toc5246"/>
      <w:r>
        <w:rPr>
          <w:rFonts w:ascii="Arial" w:hAnsi="Arial" w:eastAsia="Arial" w:cs="Arial"/>
          <w:b/>
          <w:bCs/>
          <w:color w:val="1A237E"/>
          <w:sz w:val="36"/>
          <w:szCs w:val="36"/>
        </w:rPr>
        <w:t>Chapter 7: Technology Stack</w:t>
      </w:r>
      <w:bookmarkEnd w:id="69"/>
    </w:p>
    <w:p w14:paraId="52637D29">
      <w:pPr>
        <w:pStyle w:val="3"/>
        <w:spacing w:before="280" w:after="160"/>
      </w:pPr>
      <w:bookmarkStart w:id="70" w:name="_Toc20840"/>
      <w:r>
        <w:rPr>
          <w:rFonts w:ascii="Arial" w:hAnsi="Arial" w:eastAsia="Arial" w:cs="Arial"/>
          <w:b/>
          <w:bCs/>
          <w:color w:val="1565C0"/>
          <w:sz w:val="28"/>
          <w:szCs w:val="28"/>
        </w:rPr>
        <w:t>7.1 Overview of Technologies Used</w:t>
      </w:r>
      <w:bookmarkEnd w:id="70"/>
    </w:p>
    <w:p w14:paraId="06D791FE">
      <w:pPr>
        <w:spacing w:before="80" w:after="120" w:line="360" w:lineRule="auto"/>
        <w:jc w:val="both"/>
      </w:pPr>
      <w:r>
        <w:rPr>
          <w:rFonts w:ascii="Arial" w:hAnsi="Arial" w:eastAsia="Arial" w:cs="Arial"/>
          <w:b w:val="0"/>
          <w:bCs w:val="0"/>
          <w:i w:val="0"/>
          <w:iCs w:val="0"/>
          <w:color w:val="212121"/>
          <w:sz w:val="22"/>
          <w:szCs w:val="22"/>
        </w:rPr>
        <w:t>The project employs a modern Business Intelligence technology stack spanning data storage, processing, and visualization layers. Each technology was selected based on its industry adoption, feature set, cost (open source vs. licensed), and suitability for the project's analytical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200"/>
        <w:gridCol w:w="4660"/>
      </w:tblGrid>
      <w:tr w14:paraId="52D83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DBDBD" w:sz="0" w:space="0"/>
              <w:left w:val="single" w:color="BDBDBD" w:sz="0" w:space="0"/>
              <w:bottom w:val="single" w:color="BDBDBD" w:sz="0" w:space="0"/>
              <w:right w:val="single" w:color="BDBDBD" w:sz="0" w:space="0"/>
            </w:tcBorders>
            <w:shd w:val="clear" w:color="auto" w:fill="1A237E"/>
            <w:tcMar>
              <w:top w:w="100" w:type="dxa"/>
              <w:left w:w="150" w:type="dxa"/>
              <w:bottom w:w="100" w:type="dxa"/>
              <w:right w:w="150" w:type="dxa"/>
            </w:tcMar>
            <w:vAlign w:val="center"/>
          </w:tcPr>
          <w:p w14:paraId="08A7050F">
            <w:pPr>
              <w:jc w:val="center"/>
            </w:pPr>
            <w:r>
              <w:rPr>
                <w:rFonts w:ascii="Arial" w:hAnsi="Arial" w:eastAsia="Arial" w:cs="Arial"/>
                <w:b/>
                <w:bCs/>
                <w:color w:val="FFFFFF"/>
                <w:sz w:val="20"/>
                <w:szCs w:val="20"/>
              </w:rPr>
              <w:t>Technology</w:t>
            </w:r>
          </w:p>
        </w:tc>
        <w:tc>
          <w:tcPr>
            <w:tcW w:w="2200" w:type="dxa"/>
            <w:tcBorders>
              <w:top w:val="single" w:color="BDBDBD" w:sz="0" w:space="0"/>
              <w:left w:val="single" w:color="BDBDBD" w:sz="0" w:space="0"/>
              <w:bottom w:val="single" w:color="BDBDBD" w:sz="0" w:space="0"/>
              <w:right w:val="single" w:color="BDBDBD" w:sz="0" w:space="0"/>
            </w:tcBorders>
            <w:shd w:val="clear" w:color="auto" w:fill="1A237E"/>
            <w:tcMar>
              <w:top w:w="100" w:type="dxa"/>
              <w:left w:w="150" w:type="dxa"/>
              <w:bottom w:w="100" w:type="dxa"/>
              <w:right w:w="150" w:type="dxa"/>
            </w:tcMar>
            <w:vAlign w:val="center"/>
          </w:tcPr>
          <w:p w14:paraId="1A00E948">
            <w:pPr>
              <w:jc w:val="center"/>
            </w:pPr>
            <w:r>
              <w:rPr>
                <w:rFonts w:ascii="Arial" w:hAnsi="Arial" w:eastAsia="Arial" w:cs="Arial"/>
                <w:b/>
                <w:bCs/>
                <w:color w:val="FFFFFF"/>
                <w:sz w:val="20"/>
                <w:szCs w:val="20"/>
              </w:rPr>
              <w:t>Version/Type</w:t>
            </w:r>
          </w:p>
        </w:tc>
        <w:tc>
          <w:tcPr>
            <w:tcW w:w="4660" w:type="dxa"/>
            <w:tcBorders>
              <w:top w:val="single" w:color="BDBDBD" w:sz="0" w:space="0"/>
              <w:left w:val="single" w:color="BDBDBD" w:sz="0" w:space="0"/>
              <w:bottom w:val="single" w:color="BDBDBD" w:sz="0" w:space="0"/>
              <w:right w:val="single" w:color="BDBDBD" w:sz="0" w:space="0"/>
            </w:tcBorders>
            <w:shd w:val="clear" w:color="auto" w:fill="1A237E"/>
            <w:tcMar>
              <w:top w:w="100" w:type="dxa"/>
              <w:left w:w="150" w:type="dxa"/>
              <w:bottom w:w="100" w:type="dxa"/>
              <w:right w:w="150" w:type="dxa"/>
            </w:tcMar>
            <w:vAlign w:val="center"/>
          </w:tcPr>
          <w:p w14:paraId="3B6CF528">
            <w:pPr>
              <w:jc w:val="center"/>
            </w:pPr>
            <w:r>
              <w:rPr>
                <w:rFonts w:ascii="Arial" w:hAnsi="Arial" w:eastAsia="Arial" w:cs="Arial"/>
                <w:b/>
                <w:bCs/>
                <w:color w:val="FFFFFF"/>
                <w:sz w:val="20"/>
                <w:szCs w:val="20"/>
              </w:rPr>
              <w:t>Role in Project</w:t>
            </w:r>
          </w:p>
        </w:tc>
      </w:tr>
      <w:tr w14:paraId="0D895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230C5E9C">
            <w:pPr>
              <w:jc w:val="left"/>
            </w:pPr>
            <w:r>
              <w:rPr>
                <w:rFonts w:ascii="Arial" w:hAnsi="Arial" w:eastAsia="Arial" w:cs="Arial"/>
                <w:b/>
                <w:bCs/>
                <w:color w:val="212121"/>
                <w:sz w:val="19"/>
                <w:szCs w:val="19"/>
              </w:rPr>
              <w:t>Microsoft Power BI</w:t>
            </w:r>
          </w:p>
        </w:tc>
        <w:tc>
          <w:tcPr>
            <w:tcW w:w="22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7C4BD509">
            <w:pPr>
              <w:jc w:val="left"/>
            </w:pPr>
            <w:r>
              <w:rPr>
                <w:rFonts w:ascii="Arial" w:hAnsi="Arial" w:eastAsia="Arial" w:cs="Arial"/>
                <w:b w:val="0"/>
                <w:bCs w:val="0"/>
                <w:color w:val="212121"/>
                <w:sz w:val="19"/>
                <w:szCs w:val="19"/>
              </w:rPr>
              <w:t>Desktop + Service</w:t>
            </w:r>
          </w:p>
        </w:tc>
        <w:tc>
          <w:tcPr>
            <w:tcW w:w="46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25B94C32">
            <w:pPr>
              <w:jc w:val="left"/>
            </w:pPr>
            <w:r>
              <w:rPr>
                <w:rFonts w:ascii="Arial" w:hAnsi="Arial" w:eastAsia="Arial" w:cs="Arial"/>
                <w:b w:val="0"/>
                <w:bCs w:val="0"/>
                <w:color w:val="212121"/>
                <w:sz w:val="19"/>
                <w:szCs w:val="19"/>
              </w:rPr>
              <w:t>Dashboard creation, KPI visualization, interactive reporting</w:t>
            </w:r>
          </w:p>
        </w:tc>
      </w:tr>
      <w:tr w14:paraId="58BF8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2BFF7F42">
            <w:pPr>
              <w:jc w:val="left"/>
            </w:pPr>
            <w:r>
              <w:rPr>
                <w:rFonts w:ascii="Arial" w:hAnsi="Arial" w:eastAsia="Arial" w:cs="Arial"/>
                <w:b/>
                <w:bCs/>
                <w:color w:val="212121"/>
                <w:sz w:val="19"/>
                <w:szCs w:val="19"/>
              </w:rPr>
              <w:t>PostgreSQL</w:t>
            </w:r>
          </w:p>
        </w:tc>
        <w:tc>
          <w:tcPr>
            <w:tcW w:w="22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69895525">
            <w:pPr>
              <w:jc w:val="left"/>
            </w:pPr>
            <w:r>
              <w:rPr>
                <w:rFonts w:ascii="Arial" w:hAnsi="Arial" w:eastAsia="Arial" w:cs="Arial"/>
                <w:b w:val="0"/>
                <w:bCs w:val="0"/>
                <w:color w:val="212121"/>
                <w:sz w:val="19"/>
                <w:szCs w:val="19"/>
              </w:rPr>
              <w:t>v15.x</w:t>
            </w:r>
          </w:p>
        </w:tc>
        <w:tc>
          <w:tcPr>
            <w:tcW w:w="46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22EE71B1">
            <w:pPr>
              <w:jc w:val="left"/>
            </w:pPr>
            <w:r>
              <w:rPr>
                <w:rFonts w:ascii="Arial" w:hAnsi="Arial" w:eastAsia="Arial" w:cs="Arial"/>
                <w:b w:val="0"/>
                <w:bCs w:val="0"/>
                <w:color w:val="212121"/>
                <w:sz w:val="19"/>
                <w:szCs w:val="19"/>
              </w:rPr>
              <w:t>Relational OLTP database for normalized schema</w:t>
            </w:r>
          </w:p>
        </w:tc>
      </w:tr>
      <w:tr w14:paraId="20007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1E181CC0">
            <w:pPr>
              <w:jc w:val="left"/>
            </w:pPr>
            <w:r>
              <w:rPr>
                <w:rFonts w:ascii="Arial" w:hAnsi="Arial" w:eastAsia="Arial" w:cs="Arial"/>
                <w:b/>
                <w:bCs/>
                <w:color w:val="212121"/>
                <w:sz w:val="19"/>
                <w:szCs w:val="19"/>
              </w:rPr>
              <w:t>Python (Pandas)</w:t>
            </w:r>
          </w:p>
        </w:tc>
        <w:tc>
          <w:tcPr>
            <w:tcW w:w="22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31A65149">
            <w:pPr>
              <w:jc w:val="left"/>
            </w:pPr>
            <w:r>
              <w:rPr>
                <w:rFonts w:ascii="Arial" w:hAnsi="Arial" w:eastAsia="Arial" w:cs="Arial"/>
                <w:b w:val="0"/>
                <w:bCs w:val="0"/>
                <w:color w:val="212121"/>
                <w:sz w:val="19"/>
                <w:szCs w:val="19"/>
              </w:rPr>
              <w:t>3.11+</w:t>
            </w:r>
          </w:p>
        </w:tc>
        <w:tc>
          <w:tcPr>
            <w:tcW w:w="46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4A828282">
            <w:pPr>
              <w:jc w:val="left"/>
            </w:pPr>
            <w:r>
              <w:rPr>
                <w:rFonts w:ascii="Arial" w:hAnsi="Arial" w:eastAsia="Arial" w:cs="Arial"/>
                <w:b w:val="0"/>
                <w:bCs w:val="0"/>
                <w:color w:val="212121"/>
                <w:sz w:val="19"/>
                <w:szCs w:val="19"/>
              </w:rPr>
              <w:t>Data preprocessing, ETL operations, data cleaning</w:t>
            </w:r>
          </w:p>
        </w:tc>
      </w:tr>
      <w:tr w14:paraId="276C6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53439571">
            <w:pPr>
              <w:jc w:val="left"/>
            </w:pPr>
            <w:r>
              <w:rPr>
                <w:rFonts w:ascii="Arial" w:hAnsi="Arial" w:eastAsia="Arial" w:cs="Arial"/>
                <w:b/>
                <w:bCs/>
                <w:color w:val="212121"/>
                <w:sz w:val="19"/>
                <w:szCs w:val="19"/>
              </w:rPr>
              <w:t>SQL</w:t>
            </w:r>
          </w:p>
        </w:tc>
        <w:tc>
          <w:tcPr>
            <w:tcW w:w="22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61B59EB5">
            <w:pPr>
              <w:jc w:val="left"/>
            </w:pPr>
            <w:r>
              <w:rPr>
                <w:rFonts w:ascii="Arial" w:hAnsi="Arial" w:eastAsia="Arial" w:cs="Arial"/>
                <w:b w:val="0"/>
                <w:bCs w:val="0"/>
                <w:color w:val="212121"/>
                <w:sz w:val="19"/>
                <w:szCs w:val="19"/>
              </w:rPr>
              <w:t>Standard SQL</w:t>
            </w:r>
          </w:p>
        </w:tc>
        <w:tc>
          <w:tcPr>
            <w:tcW w:w="46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4973B61A">
            <w:pPr>
              <w:jc w:val="left"/>
            </w:pPr>
            <w:r>
              <w:rPr>
                <w:rFonts w:ascii="Arial" w:hAnsi="Arial" w:eastAsia="Arial" w:cs="Arial"/>
                <w:b w:val="0"/>
                <w:bCs w:val="0"/>
                <w:color w:val="212121"/>
                <w:sz w:val="19"/>
                <w:szCs w:val="19"/>
              </w:rPr>
              <w:t>Schema definition (DDL), data queries, analytics (DML)</w:t>
            </w:r>
          </w:p>
        </w:tc>
      </w:tr>
      <w:tr w14:paraId="0DA1B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78D98E52">
            <w:pPr>
              <w:jc w:val="left"/>
            </w:pPr>
            <w:r>
              <w:rPr>
                <w:rFonts w:ascii="Arial" w:hAnsi="Arial" w:eastAsia="Arial" w:cs="Arial"/>
                <w:b/>
                <w:bCs/>
                <w:color w:val="212121"/>
                <w:sz w:val="19"/>
                <w:szCs w:val="19"/>
              </w:rPr>
              <w:t>Microsoft Excel/CSV</w:t>
            </w:r>
          </w:p>
        </w:tc>
        <w:tc>
          <w:tcPr>
            <w:tcW w:w="22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547856B0">
            <w:pPr>
              <w:jc w:val="left"/>
            </w:pPr>
            <w:r>
              <w:rPr>
                <w:rFonts w:ascii="Arial" w:hAnsi="Arial" w:eastAsia="Arial" w:cs="Arial"/>
                <w:b w:val="0"/>
                <w:bCs w:val="0"/>
                <w:color w:val="212121"/>
                <w:sz w:val="19"/>
                <w:szCs w:val="19"/>
              </w:rPr>
              <w:t>CSV Format</w:t>
            </w:r>
          </w:p>
        </w:tc>
        <w:tc>
          <w:tcPr>
            <w:tcW w:w="46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057C0CCA">
            <w:pPr>
              <w:jc w:val="left"/>
            </w:pPr>
            <w:r>
              <w:rPr>
                <w:rFonts w:ascii="Arial" w:hAnsi="Arial" w:eastAsia="Arial" w:cs="Arial"/>
                <w:b w:val="0"/>
                <w:bCs w:val="0"/>
                <w:color w:val="212121"/>
                <w:sz w:val="19"/>
                <w:szCs w:val="19"/>
              </w:rPr>
              <w:t>Raw data source format for Orders and Details data</w:t>
            </w:r>
          </w:p>
        </w:tc>
      </w:tr>
      <w:tr w14:paraId="7D5E9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57F1EF3F">
            <w:pPr>
              <w:jc w:val="left"/>
            </w:pPr>
            <w:r>
              <w:rPr>
                <w:rFonts w:ascii="Arial" w:hAnsi="Arial" w:eastAsia="Arial" w:cs="Arial"/>
                <w:b/>
                <w:bCs/>
                <w:color w:val="212121"/>
                <w:sz w:val="19"/>
                <w:szCs w:val="19"/>
              </w:rPr>
              <w:t>DAX</w:t>
            </w:r>
          </w:p>
        </w:tc>
        <w:tc>
          <w:tcPr>
            <w:tcW w:w="22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24990535">
            <w:pPr>
              <w:jc w:val="left"/>
            </w:pPr>
            <w:r>
              <w:rPr>
                <w:rFonts w:ascii="Arial" w:hAnsi="Arial" w:eastAsia="Arial" w:cs="Arial"/>
                <w:b w:val="0"/>
                <w:bCs w:val="0"/>
                <w:color w:val="212121"/>
                <w:sz w:val="19"/>
                <w:szCs w:val="19"/>
              </w:rPr>
              <w:t>Power BI DAX</w:t>
            </w:r>
          </w:p>
        </w:tc>
        <w:tc>
          <w:tcPr>
            <w:tcW w:w="46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3831A0D1">
            <w:pPr>
              <w:jc w:val="left"/>
            </w:pPr>
            <w:r>
              <w:rPr>
                <w:rFonts w:ascii="Arial" w:hAnsi="Arial" w:eastAsia="Arial" w:cs="Arial"/>
                <w:b w:val="0"/>
                <w:bCs w:val="0"/>
                <w:color w:val="212121"/>
                <w:sz w:val="19"/>
                <w:szCs w:val="19"/>
              </w:rPr>
              <w:t>Calculated measures, KPIs, time intelligence in Power BI</w:t>
            </w:r>
          </w:p>
        </w:tc>
      </w:tr>
      <w:tr w14:paraId="4B57A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517DB333">
            <w:pPr>
              <w:jc w:val="left"/>
            </w:pPr>
            <w:r>
              <w:rPr>
                <w:rFonts w:ascii="Arial" w:hAnsi="Arial" w:eastAsia="Arial" w:cs="Arial"/>
                <w:b/>
                <w:bCs/>
                <w:color w:val="212121"/>
                <w:sz w:val="19"/>
                <w:szCs w:val="19"/>
              </w:rPr>
              <w:t>Bing Maps</w:t>
            </w:r>
          </w:p>
        </w:tc>
        <w:tc>
          <w:tcPr>
            <w:tcW w:w="22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6598A965">
            <w:pPr>
              <w:jc w:val="left"/>
            </w:pPr>
            <w:r>
              <w:rPr>
                <w:rFonts w:ascii="Arial" w:hAnsi="Arial" w:eastAsia="Arial" w:cs="Arial"/>
                <w:b w:val="0"/>
                <w:bCs w:val="0"/>
                <w:color w:val="212121"/>
                <w:sz w:val="19"/>
                <w:szCs w:val="19"/>
              </w:rPr>
              <w:t>Power BI Map Visual</w:t>
            </w:r>
          </w:p>
        </w:tc>
        <w:tc>
          <w:tcPr>
            <w:tcW w:w="46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1D24B879">
            <w:pPr>
              <w:jc w:val="left"/>
            </w:pPr>
            <w:r>
              <w:rPr>
                <w:rFonts w:ascii="Arial" w:hAnsi="Arial" w:eastAsia="Arial" w:cs="Arial"/>
                <w:b w:val="0"/>
                <w:bCs w:val="0"/>
                <w:color w:val="212121"/>
                <w:sz w:val="19"/>
                <w:szCs w:val="19"/>
              </w:rPr>
              <w:t>Geospatial visualization of orders by city/state</w:t>
            </w:r>
          </w:p>
        </w:tc>
      </w:tr>
    </w:tbl>
    <w:p w14:paraId="638B128B">
      <w:pPr>
        <w:pStyle w:val="3"/>
        <w:spacing w:before="280" w:after="160"/>
      </w:pPr>
      <w:bookmarkStart w:id="71" w:name="_Toc16857"/>
      <w:r>
        <w:rPr>
          <w:rFonts w:ascii="Arial" w:hAnsi="Arial" w:eastAsia="Arial" w:cs="Arial"/>
          <w:b/>
          <w:bCs/>
          <w:color w:val="1565C0"/>
          <w:sz w:val="28"/>
          <w:szCs w:val="28"/>
        </w:rPr>
        <w:t>7.2 Microsoft Power BI</w:t>
      </w:r>
      <w:bookmarkEnd w:id="71"/>
    </w:p>
    <w:p w14:paraId="65469C83">
      <w:pPr>
        <w:spacing w:before="80" w:after="120" w:line="360" w:lineRule="auto"/>
        <w:jc w:val="both"/>
      </w:pPr>
      <w:r>
        <w:rPr>
          <w:rFonts w:ascii="Arial" w:hAnsi="Arial" w:eastAsia="Arial" w:cs="Arial"/>
          <w:b w:val="0"/>
          <w:bCs w:val="0"/>
          <w:i w:val="0"/>
          <w:iCs w:val="0"/>
          <w:color w:val="212121"/>
          <w:sz w:val="22"/>
          <w:szCs w:val="22"/>
        </w:rPr>
        <w:t>Microsoft Power BI is a cloud-based business analytics service providing interactive visualizations and business intelligence capabilities. It consists of three components: Power BI Desktop (the authoring environment), Power BI Service (cloud sharing and collaboration), and Power BI Mobile (iOS/Android access). For this project, Power BI Desktop was used for dashboard development.</w:t>
      </w:r>
    </w:p>
    <w:p w14:paraId="555C128C">
      <w:pPr>
        <w:spacing w:before="80" w:after="120" w:line="360" w:lineRule="auto"/>
        <w:jc w:val="both"/>
      </w:pPr>
      <w:r>
        <w:rPr>
          <w:rFonts w:ascii="Arial" w:hAnsi="Arial" w:eastAsia="Arial" w:cs="Arial"/>
          <w:b w:val="0"/>
          <w:bCs w:val="0"/>
          <w:i w:val="0"/>
          <w:iCs w:val="0"/>
          <w:color w:val="212121"/>
          <w:sz w:val="22"/>
          <w:szCs w:val="22"/>
        </w:rPr>
        <w:t>Key Power BI features utilized in this project include: the data model (automatic relationship detection between Orders and Details via Order ID), Power Query (M language transformations for data cleaning), DAX measures for computed metrics, multiple visual types (bar charts, donut charts, map visuals, card KPIs), and the cross-filter functionality that enables users to click any chart element and instantly filter all other visuals on the page.</w:t>
      </w:r>
    </w:p>
    <w:p w14:paraId="5E7351EB">
      <w:pPr>
        <w:spacing w:before="80" w:after="120" w:line="360" w:lineRule="auto"/>
        <w:jc w:val="both"/>
      </w:pPr>
      <w:r>
        <w:rPr>
          <w:rFonts w:ascii="Arial" w:hAnsi="Arial" w:eastAsia="Arial" w:cs="Arial"/>
          <w:b w:val="0"/>
          <w:bCs w:val="0"/>
          <w:i w:val="0"/>
          <w:iCs w:val="0"/>
          <w:color w:val="212121"/>
          <w:sz w:val="22"/>
          <w:szCs w:val="22"/>
        </w:rPr>
        <w:t>Power BI's competitive advantages for this project include: native CSV file import (no database connector required for basic operation), built-in geographic intelligence (automatic geocoding of state and city names to map coordinates), the Bing Maps integration for the Orders by City visualization, and the intuitive drag-and-drop report building interface that enables rapid dashboard iteration.</w:t>
      </w:r>
    </w:p>
    <w:p w14:paraId="477E101A">
      <w:pPr>
        <w:pStyle w:val="3"/>
        <w:spacing w:before="280" w:after="160"/>
      </w:pPr>
      <w:bookmarkStart w:id="72" w:name="_Toc5734"/>
      <w:r>
        <w:rPr>
          <w:rFonts w:ascii="Arial" w:hAnsi="Arial" w:eastAsia="Arial" w:cs="Arial"/>
          <w:b/>
          <w:bCs/>
          <w:color w:val="1565C0"/>
          <w:sz w:val="28"/>
          <w:szCs w:val="28"/>
        </w:rPr>
        <w:t>7.3 PostgreSQL Database</w:t>
      </w:r>
      <w:bookmarkEnd w:id="72"/>
    </w:p>
    <w:p w14:paraId="4A4B0374">
      <w:pPr>
        <w:spacing w:before="80" w:after="120" w:line="360" w:lineRule="auto"/>
        <w:jc w:val="both"/>
      </w:pPr>
      <w:r>
        <w:rPr>
          <w:rFonts w:ascii="Arial" w:hAnsi="Arial" w:eastAsia="Arial" w:cs="Arial"/>
          <w:b w:val="0"/>
          <w:bCs w:val="0"/>
          <w:i w:val="0"/>
          <w:iCs w:val="0"/>
          <w:color w:val="212121"/>
          <w:sz w:val="22"/>
          <w:szCs w:val="22"/>
        </w:rPr>
        <w:t xml:space="preserve">PostgreSQL is a powerful open-source object-relational database system with over 30 years of active development, known for its reliability, robustness, and adherence to SQL standards. It supports advanced data types, full ACID compliance, complex queries, foreign keys, triggers, views, and </w:t>
      </w:r>
      <w:r>
        <w:rPr>
          <w:rFonts w:cs="Arial"/>
          <w:b w:val="0"/>
          <w:bCs w:val="0"/>
          <w:i w:val="0"/>
          <w:iCs w:val="0"/>
          <w:color w:val="212121"/>
          <w:sz w:val="22"/>
          <w:szCs w:val="22"/>
          <w:lang w:val="en-IN"/>
        </w:rPr>
        <w:t>transaction</w:t>
      </w:r>
      <w:r>
        <w:rPr>
          <w:rFonts w:ascii="Arial" w:hAnsi="Arial" w:eastAsia="Arial" w:cs="Arial"/>
          <w:b w:val="0"/>
          <w:bCs w:val="0"/>
          <w:i w:val="0"/>
          <w:iCs w:val="0"/>
          <w:color w:val="212121"/>
          <w:sz w:val="22"/>
          <w:szCs w:val="22"/>
        </w:rPr>
        <w:t xml:space="preserve"> integrity — all required features for the normalized OLTP schema implemented in this project.</w:t>
      </w:r>
    </w:p>
    <w:p w14:paraId="61A89D41">
      <w:pPr>
        <w:spacing w:before="80" w:after="120" w:line="360" w:lineRule="auto"/>
        <w:jc w:val="both"/>
      </w:pPr>
      <w:r>
        <w:rPr>
          <w:rFonts w:ascii="Arial" w:hAnsi="Arial" w:eastAsia="Arial" w:cs="Arial"/>
          <w:b w:val="0"/>
          <w:bCs w:val="0"/>
          <w:i w:val="0"/>
          <w:iCs w:val="0"/>
          <w:color w:val="212121"/>
          <w:sz w:val="22"/>
          <w:szCs w:val="22"/>
        </w:rPr>
        <w:t xml:space="preserve">For the Star Schema data warehouse layer, PostgreSQL's columnar storage extensions and materialized view support enable efficient analytical query execution. The database serves as the </w:t>
      </w:r>
      <w:r>
        <w:rPr>
          <w:rFonts w:cs="Arial"/>
          <w:b w:val="0"/>
          <w:bCs w:val="0"/>
          <w:i w:val="0"/>
          <w:iCs w:val="0"/>
          <w:color w:val="212121"/>
          <w:sz w:val="22"/>
          <w:szCs w:val="22"/>
          <w:lang w:val="en-IN"/>
        </w:rPr>
        <w:t>back-end</w:t>
      </w:r>
      <w:r>
        <w:rPr>
          <w:rFonts w:ascii="Arial" w:hAnsi="Arial" w:eastAsia="Arial" w:cs="Arial"/>
          <w:b w:val="0"/>
          <w:bCs w:val="0"/>
          <w:i w:val="0"/>
          <w:iCs w:val="0"/>
          <w:color w:val="212121"/>
          <w:sz w:val="22"/>
          <w:szCs w:val="22"/>
        </w:rPr>
        <w:t xml:space="preserve"> for Power </w:t>
      </w:r>
      <w:r>
        <w:rPr>
          <w:rFonts w:cs="Arial"/>
          <w:b w:val="0"/>
          <w:bCs w:val="0"/>
          <w:i w:val="0"/>
          <w:iCs w:val="0"/>
          <w:color w:val="212121"/>
          <w:sz w:val="22"/>
          <w:szCs w:val="22"/>
          <w:lang w:val="en-IN"/>
        </w:rPr>
        <w:t>Bi's</w:t>
      </w:r>
      <w:r>
        <w:rPr>
          <w:rFonts w:ascii="Arial" w:hAnsi="Arial" w:eastAsia="Arial" w:cs="Arial"/>
          <w:b w:val="0"/>
          <w:bCs w:val="0"/>
          <w:i w:val="0"/>
          <w:iCs w:val="0"/>
          <w:color w:val="212121"/>
          <w:sz w:val="22"/>
          <w:szCs w:val="22"/>
        </w:rPr>
        <w:t xml:space="preserve"> </w:t>
      </w:r>
      <w:r>
        <w:rPr>
          <w:rFonts w:cs="Arial"/>
          <w:b w:val="0"/>
          <w:bCs w:val="0"/>
          <w:i w:val="0"/>
          <w:iCs w:val="0"/>
          <w:color w:val="212121"/>
          <w:sz w:val="22"/>
          <w:szCs w:val="22"/>
          <w:lang w:val="en-IN"/>
        </w:rPr>
        <w:t>Direct-query</w:t>
      </w:r>
      <w:r>
        <w:rPr>
          <w:rFonts w:ascii="Arial" w:hAnsi="Arial" w:eastAsia="Arial" w:cs="Arial"/>
          <w:b w:val="0"/>
          <w:bCs w:val="0"/>
          <w:i w:val="0"/>
          <w:iCs w:val="0"/>
          <w:color w:val="212121"/>
          <w:sz w:val="22"/>
          <w:szCs w:val="22"/>
        </w:rPr>
        <w:t xml:space="preserve"> connectivity option, enabling real-time analytics when the </w:t>
      </w:r>
      <w:r>
        <w:rPr>
          <w:rFonts w:cs="Arial"/>
          <w:b w:val="0"/>
          <w:bCs w:val="0"/>
          <w:i w:val="0"/>
          <w:iCs w:val="0"/>
          <w:color w:val="212121"/>
          <w:sz w:val="22"/>
          <w:szCs w:val="22"/>
          <w:lang w:val="en-IN"/>
        </w:rPr>
        <w:t>data-set</w:t>
      </w:r>
      <w:r>
        <w:rPr>
          <w:rFonts w:ascii="Arial" w:hAnsi="Arial" w:eastAsia="Arial" w:cs="Arial"/>
          <w:b w:val="0"/>
          <w:bCs w:val="0"/>
          <w:i w:val="0"/>
          <w:iCs w:val="0"/>
          <w:color w:val="212121"/>
          <w:sz w:val="22"/>
          <w:szCs w:val="22"/>
        </w:rPr>
        <w:t xml:space="preserve"> is live-updated.</w:t>
      </w:r>
    </w:p>
    <w:p w14:paraId="10A217B2">
      <w:pPr>
        <w:pStyle w:val="3"/>
        <w:spacing w:before="280" w:after="160"/>
      </w:pPr>
      <w:bookmarkStart w:id="73" w:name="_Toc5327"/>
      <w:r>
        <w:rPr>
          <w:rFonts w:ascii="Arial" w:hAnsi="Arial" w:eastAsia="Arial" w:cs="Arial"/>
          <w:b/>
          <w:bCs/>
          <w:color w:val="1565C0"/>
          <w:sz w:val="28"/>
          <w:szCs w:val="28"/>
        </w:rPr>
        <w:t>7.4 Python and Pandas for ETL</w:t>
      </w:r>
      <w:bookmarkEnd w:id="73"/>
    </w:p>
    <w:p w14:paraId="3F8C26C9">
      <w:pPr>
        <w:spacing w:before="80" w:after="120" w:line="360" w:lineRule="auto"/>
        <w:jc w:val="both"/>
      </w:pPr>
      <w:r>
        <w:rPr>
          <w:rFonts w:ascii="Arial" w:hAnsi="Arial" w:eastAsia="Arial" w:cs="Arial"/>
          <w:b w:val="0"/>
          <w:bCs w:val="0"/>
          <w:i w:val="0"/>
          <w:iCs w:val="0"/>
          <w:color w:val="212121"/>
          <w:sz w:val="22"/>
          <w:szCs w:val="22"/>
        </w:rPr>
        <w:t>Python, with its rich ecosystem of data processing libraries, serves as the ETL engine for transforming raw CSV data into database-ready formats. The primary library used is Pandas, which provides DataFrame-based data manipulation with SQL-like operations (filtering, grouping, merging, aggregating) in a Python scripting environment.</w:t>
      </w:r>
    </w:p>
    <w:p w14:paraId="43994645">
      <w:pPr>
        <w:spacing w:before="80" w:after="120" w:line="360" w:lineRule="auto"/>
        <w:jc w:val="both"/>
      </w:pPr>
      <w:r>
        <w:rPr>
          <w:rFonts w:ascii="Arial" w:hAnsi="Arial" w:eastAsia="Arial" w:cs="Arial"/>
          <w:b w:val="0"/>
          <w:bCs w:val="0"/>
          <w:i w:val="0"/>
          <w:iCs w:val="0"/>
          <w:color w:val="212121"/>
          <w:sz w:val="22"/>
          <w:szCs w:val="22"/>
        </w:rPr>
        <w:t>Key ETL operations performed using Python/Pandas include: reading CSV files (pd.read_csv), handling encoding issues, stripping whitespace from string fields (str.strip), parsing dates (pd.to_datetime), creating lookup table mappings for normalization, and loading transformed data to PostgreSQL via SQLAlchemy's create_engine and to_sql methods.</w:t>
      </w:r>
    </w:p>
    <w:p w14:paraId="59FDE95C">
      <w:pPr>
        <w:pStyle w:val="3"/>
        <w:spacing w:before="280" w:after="160"/>
      </w:pPr>
      <w:bookmarkStart w:id="74" w:name="_Toc7250"/>
      <w:r>
        <w:rPr>
          <w:rFonts w:ascii="Arial" w:hAnsi="Arial" w:eastAsia="Arial" w:cs="Arial"/>
          <w:b/>
          <w:bCs/>
          <w:color w:val="1565C0"/>
          <w:sz w:val="28"/>
          <w:szCs w:val="28"/>
        </w:rPr>
        <w:t>7.5 DAX (Data Analysis Expressions)</w:t>
      </w:r>
      <w:bookmarkEnd w:id="74"/>
    </w:p>
    <w:p w14:paraId="130EC0AB">
      <w:pPr>
        <w:spacing w:before="80" w:after="120" w:line="360" w:lineRule="auto"/>
        <w:jc w:val="both"/>
      </w:pPr>
      <w:r>
        <w:rPr>
          <w:rFonts w:ascii="Arial" w:hAnsi="Arial" w:eastAsia="Arial" w:cs="Arial"/>
          <w:b w:val="0"/>
          <w:bCs w:val="0"/>
          <w:i w:val="0"/>
          <w:iCs w:val="0"/>
          <w:color w:val="212121"/>
          <w:sz w:val="22"/>
          <w:szCs w:val="22"/>
        </w:rPr>
        <w:t>DAX is the formula language used in Power BI, Power Pivot, and Analysis Services. It is designed specifically for data model calculations and time-intelligence functions. Key DAX measures implemented in this project include:</w:t>
      </w:r>
    </w:p>
    <w:p w14:paraId="506023EC">
      <w:pPr>
        <w:pStyle w:val="20"/>
        <w:numPr>
          <w:ilvl w:val="0"/>
          <w:numId w:val="2"/>
        </w:numPr>
        <w:spacing w:before="60" w:after="60" w:line="320" w:lineRule="auto"/>
      </w:pPr>
      <w:r>
        <w:rPr>
          <w:rFonts w:ascii="Arial" w:hAnsi="Arial" w:eastAsia="Arial" w:cs="Arial"/>
          <w:color w:val="212121"/>
          <w:sz w:val="22"/>
          <w:szCs w:val="22"/>
        </w:rPr>
        <w:t>Total Revenue = SUM(Details[Amount]) — Aggregates all transaction amounts</w:t>
      </w:r>
    </w:p>
    <w:p w14:paraId="63443F8B">
      <w:pPr>
        <w:pStyle w:val="20"/>
        <w:numPr>
          <w:ilvl w:val="0"/>
          <w:numId w:val="2"/>
        </w:numPr>
        <w:spacing w:before="60" w:after="60" w:line="320" w:lineRule="auto"/>
      </w:pPr>
      <w:r>
        <w:rPr>
          <w:rFonts w:ascii="Arial" w:hAnsi="Arial" w:eastAsia="Arial" w:cs="Arial"/>
          <w:color w:val="212121"/>
          <w:sz w:val="22"/>
          <w:szCs w:val="22"/>
        </w:rPr>
        <w:t>Total Profit = SUM(Details[Profit]) — Aggregates all profit values (including negatives)</w:t>
      </w:r>
    </w:p>
    <w:p w14:paraId="3D9146E4">
      <w:pPr>
        <w:pStyle w:val="20"/>
        <w:numPr>
          <w:ilvl w:val="0"/>
          <w:numId w:val="2"/>
        </w:numPr>
        <w:spacing w:before="60" w:after="60" w:line="320" w:lineRule="auto"/>
      </w:pPr>
      <w:r>
        <w:rPr>
          <w:rFonts w:ascii="Arial" w:hAnsi="Arial" w:eastAsia="Arial" w:cs="Arial"/>
          <w:color w:val="212121"/>
          <w:sz w:val="22"/>
          <w:szCs w:val="22"/>
        </w:rPr>
        <w:t>Order Count = DISTINCTCOUNT(Orders[Order ID]) — Counts unique orders</w:t>
      </w:r>
    </w:p>
    <w:p w14:paraId="16AB0906">
      <w:pPr>
        <w:pStyle w:val="20"/>
        <w:numPr>
          <w:ilvl w:val="0"/>
          <w:numId w:val="2"/>
        </w:numPr>
        <w:spacing w:before="60" w:after="60" w:line="320" w:lineRule="auto"/>
      </w:pPr>
      <w:r>
        <w:rPr>
          <w:rFonts w:ascii="Arial" w:hAnsi="Arial" w:eastAsia="Arial" w:cs="Arial"/>
          <w:color w:val="212121"/>
          <w:sz w:val="22"/>
          <w:szCs w:val="22"/>
        </w:rPr>
        <w:t>Profit Margin % = DIVIDE([Total Profit], [Total Revenue]) — Calculates percentage margin</w:t>
      </w:r>
    </w:p>
    <w:p w14:paraId="60268896">
      <w:pPr>
        <w:pStyle w:val="20"/>
        <w:numPr>
          <w:ilvl w:val="0"/>
          <w:numId w:val="2"/>
        </w:numPr>
        <w:spacing w:before="60" w:after="60" w:line="320" w:lineRule="auto"/>
      </w:pPr>
      <w:r>
        <w:rPr>
          <w:rFonts w:ascii="Arial" w:hAnsi="Arial" w:eastAsia="Arial" w:cs="Arial"/>
          <w:color w:val="212121"/>
          <w:sz w:val="22"/>
          <w:szCs w:val="22"/>
        </w:rPr>
        <w:t>AOV = DIVIDE([Total Revenue], [Order Count]) — Average order value</w:t>
      </w:r>
    </w:p>
    <w:p w14:paraId="2B444BD2">
      <w:pPr>
        <w:pStyle w:val="20"/>
        <w:numPr>
          <w:ilvl w:val="0"/>
          <w:numId w:val="2"/>
        </w:numPr>
        <w:spacing w:before="60" w:after="60" w:line="320" w:lineRule="auto"/>
      </w:pPr>
      <w:r>
        <w:rPr>
          <w:rFonts w:ascii="Arial" w:hAnsi="Arial" w:eastAsia="Arial" w:cs="Arial"/>
          <w:color w:val="212121"/>
          <w:sz w:val="22"/>
          <w:szCs w:val="22"/>
        </w:rPr>
        <w:t>Monthly Profit = CALCULATE([Total Profit], DATESMTD(Orders[Order Date])) — Month-to-date profit for time series</w:t>
      </w:r>
    </w:p>
    <w:p w14:paraId="3F1E176D">
      <w:r>
        <w:br w:type="page"/>
      </w:r>
    </w:p>
    <w:p w14:paraId="13FA673A">
      <w:pPr>
        <w:pStyle w:val="2"/>
        <w:pBdr>
          <w:bottom w:val="single" w:color="1565C0" w:sz="8" w:space="4"/>
        </w:pBdr>
        <w:spacing w:before="360" w:after="200"/>
        <w:jc w:val="center"/>
      </w:pPr>
      <w:bookmarkStart w:id="75" w:name="_Toc22721"/>
      <w:r>
        <w:rPr>
          <w:rFonts w:ascii="Arial" w:hAnsi="Arial" w:eastAsia="Arial" w:cs="Arial"/>
          <w:b/>
          <w:bCs/>
          <w:color w:val="1A237E"/>
          <w:sz w:val="36"/>
          <w:szCs w:val="36"/>
        </w:rPr>
        <w:t>Chapter 8: Testing and Validation</w:t>
      </w:r>
      <w:bookmarkEnd w:id="75"/>
    </w:p>
    <w:p w14:paraId="6F0DE8B1">
      <w:pPr>
        <w:pStyle w:val="3"/>
        <w:spacing w:before="280" w:after="160"/>
      </w:pPr>
      <w:bookmarkStart w:id="76" w:name="_Toc22778"/>
      <w:r>
        <w:rPr>
          <w:rFonts w:ascii="Arial" w:hAnsi="Arial" w:eastAsia="Arial" w:cs="Arial"/>
          <w:b/>
          <w:bCs/>
          <w:color w:val="1565C0"/>
          <w:sz w:val="28"/>
          <w:szCs w:val="28"/>
        </w:rPr>
        <w:t>8.1 Testing Approach</w:t>
      </w:r>
      <w:bookmarkEnd w:id="76"/>
    </w:p>
    <w:p w14:paraId="15583D8B">
      <w:pPr>
        <w:spacing w:before="80" w:after="120" w:line="360" w:lineRule="auto"/>
        <w:jc w:val="both"/>
      </w:pPr>
      <w:r>
        <w:rPr>
          <w:rFonts w:ascii="Arial" w:hAnsi="Arial" w:eastAsia="Arial" w:cs="Arial"/>
          <w:b w:val="0"/>
          <w:bCs w:val="0"/>
          <w:i w:val="0"/>
          <w:iCs w:val="0"/>
          <w:color w:val="212121"/>
          <w:sz w:val="22"/>
          <w:szCs w:val="22"/>
        </w:rPr>
        <w:t>The testing strategy for this Business Intelligence system encompasses four primary testing domains: Data Quality Testing (validating the integrity and completeness of the source data), ETL Testing (verifying that data transformations produce correct results), Database Testing (confirming schema integrity and query correctness), and Dashboard Testing (validating that visualizations accurately represent the underlying data).</w:t>
      </w:r>
    </w:p>
    <w:p w14:paraId="01F70256">
      <w:pPr>
        <w:pStyle w:val="3"/>
        <w:spacing w:before="280" w:after="160"/>
      </w:pPr>
      <w:bookmarkStart w:id="77" w:name="_Toc27760"/>
      <w:r>
        <w:rPr>
          <w:rFonts w:ascii="Arial" w:hAnsi="Arial" w:eastAsia="Arial" w:cs="Arial"/>
          <w:b/>
          <w:bCs/>
          <w:color w:val="1565C0"/>
          <w:sz w:val="28"/>
          <w:szCs w:val="28"/>
        </w:rPr>
        <w:t>8.2 Data Quality Testing</w:t>
      </w:r>
      <w:bookmarkEnd w:id="77"/>
    </w:p>
    <w:p w14:paraId="0DDCB339">
      <w:pPr>
        <w:pStyle w:val="4"/>
        <w:spacing w:before="200" w:after="100"/>
      </w:pPr>
      <w:bookmarkStart w:id="78" w:name="_Toc6047"/>
      <w:r>
        <w:rPr>
          <w:rFonts w:ascii="Arial" w:hAnsi="Arial" w:eastAsia="Arial" w:cs="Arial"/>
          <w:b/>
          <w:bCs/>
          <w:color w:val="0D47A1"/>
          <w:sz w:val="24"/>
          <w:szCs w:val="24"/>
        </w:rPr>
        <w:t>8.2.1 Completeness Tests</w:t>
      </w:r>
      <w:bookmarkEnd w:id="78"/>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2000"/>
        <w:gridCol w:w="2000"/>
        <w:gridCol w:w="2160"/>
      </w:tblGrid>
      <w:tr w14:paraId="4F1B9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BDBDBD" w:sz="0" w:space="0"/>
              <w:left w:val="single" w:color="BDBDBD" w:sz="0" w:space="0"/>
              <w:bottom w:val="single" w:color="BDBDBD" w:sz="0" w:space="0"/>
              <w:right w:val="single" w:color="BDBDBD" w:sz="0" w:space="0"/>
            </w:tcBorders>
            <w:shd w:val="clear" w:color="auto" w:fill="1A237E"/>
            <w:tcMar>
              <w:top w:w="100" w:type="dxa"/>
              <w:left w:w="150" w:type="dxa"/>
              <w:bottom w:w="100" w:type="dxa"/>
              <w:right w:w="150" w:type="dxa"/>
            </w:tcMar>
            <w:vAlign w:val="center"/>
          </w:tcPr>
          <w:p w14:paraId="19ED2864">
            <w:pPr>
              <w:jc w:val="center"/>
            </w:pPr>
            <w:r>
              <w:rPr>
                <w:rFonts w:ascii="Arial" w:hAnsi="Arial" w:eastAsia="Arial" w:cs="Arial"/>
                <w:b/>
                <w:bCs/>
                <w:color w:val="FFFFFF"/>
                <w:sz w:val="20"/>
                <w:szCs w:val="20"/>
              </w:rPr>
              <w:t>Test Case</w:t>
            </w:r>
          </w:p>
        </w:tc>
        <w:tc>
          <w:tcPr>
            <w:tcW w:w="2000" w:type="dxa"/>
            <w:tcBorders>
              <w:top w:val="single" w:color="BDBDBD" w:sz="0" w:space="0"/>
              <w:left w:val="single" w:color="BDBDBD" w:sz="0" w:space="0"/>
              <w:bottom w:val="single" w:color="BDBDBD" w:sz="0" w:space="0"/>
              <w:right w:val="single" w:color="BDBDBD" w:sz="0" w:space="0"/>
            </w:tcBorders>
            <w:shd w:val="clear" w:color="auto" w:fill="1A237E"/>
            <w:tcMar>
              <w:top w:w="100" w:type="dxa"/>
              <w:left w:w="150" w:type="dxa"/>
              <w:bottom w:w="100" w:type="dxa"/>
              <w:right w:w="150" w:type="dxa"/>
            </w:tcMar>
            <w:vAlign w:val="center"/>
          </w:tcPr>
          <w:p w14:paraId="410C547D">
            <w:pPr>
              <w:jc w:val="center"/>
            </w:pPr>
            <w:r>
              <w:rPr>
                <w:rFonts w:ascii="Arial" w:hAnsi="Arial" w:eastAsia="Arial" w:cs="Arial"/>
                <w:b/>
                <w:bCs/>
                <w:color w:val="FFFFFF"/>
                <w:sz w:val="20"/>
                <w:szCs w:val="20"/>
              </w:rPr>
              <w:t>Expected</w:t>
            </w:r>
          </w:p>
        </w:tc>
        <w:tc>
          <w:tcPr>
            <w:tcW w:w="2000" w:type="dxa"/>
            <w:tcBorders>
              <w:top w:val="single" w:color="BDBDBD" w:sz="0" w:space="0"/>
              <w:left w:val="single" w:color="BDBDBD" w:sz="0" w:space="0"/>
              <w:bottom w:val="single" w:color="BDBDBD" w:sz="0" w:space="0"/>
              <w:right w:val="single" w:color="BDBDBD" w:sz="0" w:space="0"/>
            </w:tcBorders>
            <w:shd w:val="clear" w:color="auto" w:fill="1A237E"/>
            <w:tcMar>
              <w:top w:w="100" w:type="dxa"/>
              <w:left w:w="150" w:type="dxa"/>
              <w:bottom w:w="100" w:type="dxa"/>
              <w:right w:w="150" w:type="dxa"/>
            </w:tcMar>
            <w:vAlign w:val="center"/>
          </w:tcPr>
          <w:p w14:paraId="56636404">
            <w:pPr>
              <w:jc w:val="center"/>
            </w:pPr>
            <w:r>
              <w:rPr>
                <w:rFonts w:ascii="Arial" w:hAnsi="Arial" w:eastAsia="Arial" w:cs="Arial"/>
                <w:b/>
                <w:bCs/>
                <w:color w:val="FFFFFF"/>
                <w:sz w:val="20"/>
                <w:szCs w:val="20"/>
              </w:rPr>
              <w:t>Actual</w:t>
            </w:r>
          </w:p>
        </w:tc>
        <w:tc>
          <w:tcPr>
            <w:tcW w:w="2160" w:type="dxa"/>
            <w:tcBorders>
              <w:top w:val="single" w:color="BDBDBD" w:sz="0" w:space="0"/>
              <w:left w:val="single" w:color="BDBDBD" w:sz="0" w:space="0"/>
              <w:bottom w:val="single" w:color="BDBDBD" w:sz="0" w:space="0"/>
              <w:right w:val="single" w:color="BDBDBD" w:sz="0" w:space="0"/>
            </w:tcBorders>
            <w:shd w:val="clear" w:color="auto" w:fill="1A237E"/>
            <w:tcMar>
              <w:top w:w="100" w:type="dxa"/>
              <w:left w:w="150" w:type="dxa"/>
              <w:bottom w:w="100" w:type="dxa"/>
              <w:right w:w="150" w:type="dxa"/>
            </w:tcMar>
            <w:vAlign w:val="center"/>
          </w:tcPr>
          <w:p w14:paraId="1F58E036">
            <w:pPr>
              <w:jc w:val="center"/>
            </w:pPr>
            <w:r>
              <w:rPr>
                <w:rFonts w:ascii="Arial" w:hAnsi="Arial" w:eastAsia="Arial" w:cs="Arial"/>
                <w:b/>
                <w:bCs/>
                <w:color w:val="FFFFFF"/>
                <w:sz w:val="20"/>
                <w:szCs w:val="20"/>
              </w:rPr>
              <w:t>Status</w:t>
            </w:r>
          </w:p>
        </w:tc>
      </w:tr>
      <w:tr w14:paraId="68A33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122478AB">
            <w:pPr>
              <w:jc w:val="left"/>
            </w:pPr>
            <w:r>
              <w:rPr>
                <w:rFonts w:ascii="Arial" w:hAnsi="Arial" w:eastAsia="Arial" w:cs="Arial"/>
                <w:b w:val="0"/>
                <w:bCs w:val="0"/>
                <w:color w:val="212121"/>
                <w:sz w:val="19"/>
                <w:szCs w:val="19"/>
              </w:rPr>
              <w:t>Row count in Orders.csv</w:t>
            </w:r>
          </w:p>
        </w:tc>
        <w:tc>
          <w:tcPr>
            <w:tcW w:w="2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54C1E578">
            <w:pPr>
              <w:jc w:val="center"/>
            </w:pPr>
            <w:r>
              <w:rPr>
                <w:rFonts w:ascii="Arial" w:hAnsi="Arial" w:eastAsia="Arial" w:cs="Arial"/>
                <w:b w:val="0"/>
                <w:bCs w:val="0"/>
                <w:color w:val="212121"/>
                <w:sz w:val="19"/>
                <w:szCs w:val="19"/>
              </w:rPr>
              <w:t>500</w:t>
            </w:r>
          </w:p>
        </w:tc>
        <w:tc>
          <w:tcPr>
            <w:tcW w:w="20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37CB793F">
            <w:pPr>
              <w:jc w:val="center"/>
            </w:pPr>
            <w:r>
              <w:rPr>
                <w:rFonts w:ascii="Arial" w:hAnsi="Arial" w:eastAsia="Arial" w:cs="Arial"/>
                <w:b w:val="0"/>
                <w:bCs w:val="0"/>
                <w:color w:val="212121"/>
                <w:sz w:val="19"/>
                <w:szCs w:val="19"/>
              </w:rPr>
              <w:t>500</w:t>
            </w:r>
          </w:p>
        </w:tc>
        <w:tc>
          <w:tcPr>
            <w:tcW w:w="21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145EF15D">
            <w:pPr>
              <w:jc w:val="center"/>
            </w:pPr>
            <w:r>
              <w:rPr>
                <w:rFonts w:ascii="Arial" w:hAnsi="Arial" w:eastAsia="Arial" w:cs="Arial"/>
                <w:b/>
                <w:bCs/>
                <w:color w:val="1B5E20"/>
                <w:sz w:val="19"/>
                <w:szCs w:val="19"/>
              </w:rPr>
              <w:t>PASS</w:t>
            </w:r>
          </w:p>
        </w:tc>
      </w:tr>
      <w:tr w14:paraId="0C49F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0882B151">
            <w:pPr>
              <w:jc w:val="left"/>
            </w:pPr>
            <w:r>
              <w:rPr>
                <w:rFonts w:ascii="Arial" w:hAnsi="Arial" w:eastAsia="Arial" w:cs="Arial"/>
                <w:b w:val="0"/>
                <w:bCs w:val="0"/>
                <w:color w:val="212121"/>
                <w:sz w:val="19"/>
                <w:szCs w:val="19"/>
              </w:rPr>
              <w:t>Null Order IDs in Orders</w:t>
            </w:r>
          </w:p>
        </w:tc>
        <w:tc>
          <w:tcPr>
            <w:tcW w:w="2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0DB033AA">
            <w:pPr>
              <w:jc w:val="center"/>
            </w:pPr>
            <w:r>
              <w:rPr>
                <w:rFonts w:ascii="Arial" w:hAnsi="Arial" w:eastAsia="Arial" w:cs="Arial"/>
                <w:b w:val="0"/>
                <w:bCs w:val="0"/>
                <w:color w:val="212121"/>
                <w:sz w:val="19"/>
                <w:szCs w:val="19"/>
              </w:rPr>
              <w:t>0</w:t>
            </w:r>
          </w:p>
        </w:tc>
        <w:tc>
          <w:tcPr>
            <w:tcW w:w="20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073F3C8B">
            <w:pPr>
              <w:jc w:val="center"/>
            </w:pPr>
            <w:r>
              <w:rPr>
                <w:rFonts w:ascii="Arial" w:hAnsi="Arial" w:eastAsia="Arial" w:cs="Arial"/>
                <w:b w:val="0"/>
                <w:bCs w:val="0"/>
                <w:color w:val="212121"/>
                <w:sz w:val="19"/>
                <w:szCs w:val="19"/>
              </w:rPr>
              <w:t>0</w:t>
            </w:r>
          </w:p>
        </w:tc>
        <w:tc>
          <w:tcPr>
            <w:tcW w:w="21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0D2CFB2A">
            <w:pPr>
              <w:jc w:val="center"/>
            </w:pPr>
            <w:r>
              <w:rPr>
                <w:rFonts w:ascii="Arial" w:hAnsi="Arial" w:eastAsia="Arial" w:cs="Arial"/>
                <w:b/>
                <w:bCs/>
                <w:color w:val="1B5E20"/>
                <w:sz w:val="19"/>
                <w:szCs w:val="19"/>
              </w:rPr>
              <w:t>PASS</w:t>
            </w:r>
          </w:p>
        </w:tc>
      </w:tr>
      <w:tr w14:paraId="72B8E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594B9A5C">
            <w:pPr>
              <w:jc w:val="left"/>
            </w:pPr>
            <w:r>
              <w:rPr>
                <w:rFonts w:ascii="Arial" w:hAnsi="Arial" w:eastAsia="Arial" w:cs="Arial"/>
                <w:b w:val="0"/>
                <w:bCs w:val="0"/>
                <w:color w:val="212121"/>
                <w:sz w:val="19"/>
                <w:szCs w:val="19"/>
              </w:rPr>
              <w:t>Null CustomerName values</w:t>
            </w:r>
          </w:p>
        </w:tc>
        <w:tc>
          <w:tcPr>
            <w:tcW w:w="2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25906545">
            <w:pPr>
              <w:jc w:val="center"/>
            </w:pPr>
            <w:r>
              <w:rPr>
                <w:rFonts w:ascii="Arial" w:hAnsi="Arial" w:eastAsia="Arial" w:cs="Arial"/>
                <w:b w:val="0"/>
                <w:bCs w:val="0"/>
                <w:color w:val="212121"/>
                <w:sz w:val="19"/>
                <w:szCs w:val="19"/>
              </w:rPr>
              <w:t>0</w:t>
            </w:r>
          </w:p>
        </w:tc>
        <w:tc>
          <w:tcPr>
            <w:tcW w:w="20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653973B8">
            <w:pPr>
              <w:jc w:val="center"/>
            </w:pPr>
            <w:r>
              <w:rPr>
                <w:rFonts w:ascii="Arial" w:hAnsi="Arial" w:eastAsia="Arial" w:cs="Arial"/>
                <w:b w:val="0"/>
                <w:bCs w:val="0"/>
                <w:color w:val="212121"/>
                <w:sz w:val="19"/>
                <w:szCs w:val="19"/>
              </w:rPr>
              <w:t>0</w:t>
            </w:r>
          </w:p>
        </w:tc>
        <w:tc>
          <w:tcPr>
            <w:tcW w:w="21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498C97E5">
            <w:pPr>
              <w:jc w:val="center"/>
            </w:pPr>
            <w:r>
              <w:rPr>
                <w:rFonts w:ascii="Arial" w:hAnsi="Arial" w:eastAsia="Arial" w:cs="Arial"/>
                <w:b/>
                <w:bCs/>
                <w:color w:val="1B5E20"/>
                <w:sz w:val="19"/>
                <w:szCs w:val="19"/>
              </w:rPr>
              <w:t>PASS</w:t>
            </w:r>
          </w:p>
        </w:tc>
      </w:tr>
      <w:tr w14:paraId="1087B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1A095805">
            <w:pPr>
              <w:jc w:val="left"/>
            </w:pPr>
            <w:r>
              <w:rPr>
                <w:rFonts w:ascii="Arial" w:hAnsi="Arial" w:eastAsia="Arial" w:cs="Arial"/>
                <w:b w:val="0"/>
                <w:bCs w:val="0"/>
                <w:color w:val="212121"/>
                <w:sz w:val="19"/>
                <w:szCs w:val="19"/>
              </w:rPr>
              <w:t>Row count in Details.csv</w:t>
            </w:r>
          </w:p>
        </w:tc>
        <w:tc>
          <w:tcPr>
            <w:tcW w:w="2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0BF83EF1">
            <w:pPr>
              <w:jc w:val="center"/>
            </w:pPr>
            <w:r>
              <w:rPr>
                <w:rFonts w:ascii="Arial" w:hAnsi="Arial" w:eastAsia="Arial" w:cs="Arial"/>
                <w:b w:val="0"/>
                <w:bCs w:val="0"/>
                <w:color w:val="212121"/>
                <w:sz w:val="19"/>
                <w:szCs w:val="19"/>
              </w:rPr>
              <w:t>&gt;1000</w:t>
            </w:r>
          </w:p>
        </w:tc>
        <w:tc>
          <w:tcPr>
            <w:tcW w:w="20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2D077D6D">
            <w:pPr>
              <w:jc w:val="center"/>
            </w:pPr>
            <w:r>
              <w:rPr>
                <w:rFonts w:ascii="Arial" w:hAnsi="Arial" w:eastAsia="Arial" w:cs="Arial"/>
                <w:b w:val="0"/>
                <w:bCs w:val="0"/>
                <w:color w:val="212121"/>
                <w:sz w:val="19"/>
                <w:szCs w:val="19"/>
              </w:rPr>
              <w:t>1501</w:t>
            </w:r>
          </w:p>
        </w:tc>
        <w:tc>
          <w:tcPr>
            <w:tcW w:w="21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1C3EA97A">
            <w:pPr>
              <w:jc w:val="center"/>
            </w:pPr>
            <w:r>
              <w:rPr>
                <w:rFonts w:ascii="Arial" w:hAnsi="Arial" w:eastAsia="Arial" w:cs="Arial"/>
                <w:b/>
                <w:bCs/>
                <w:color w:val="1B5E20"/>
                <w:sz w:val="19"/>
                <w:szCs w:val="19"/>
              </w:rPr>
              <w:t>PASS</w:t>
            </w:r>
          </w:p>
        </w:tc>
      </w:tr>
      <w:tr w14:paraId="7E56E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782AE480">
            <w:pPr>
              <w:jc w:val="left"/>
            </w:pPr>
            <w:r>
              <w:rPr>
                <w:rFonts w:ascii="Arial" w:hAnsi="Arial" w:eastAsia="Arial" w:cs="Arial"/>
                <w:b w:val="0"/>
                <w:bCs w:val="0"/>
                <w:color w:val="212121"/>
                <w:sz w:val="19"/>
                <w:szCs w:val="19"/>
              </w:rPr>
              <w:t>State = 'Kerala ' (trailing space)</w:t>
            </w:r>
          </w:p>
        </w:tc>
        <w:tc>
          <w:tcPr>
            <w:tcW w:w="2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3D0A6BA3">
            <w:pPr>
              <w:jc w:val="center"/>
            </w:pPr>
            <w:r>
              <w:rPr>
                <w:rFonts w:ascii="Arial" w:hAnsi="Arial" w:eastAsia="Arial" w:cs="Arial"/>
                <w:b w:val="0"/>
                <w:bCs w:val="0"/>
                <w:color w:val="212121"/>
                <w:sz w:val="19"/>
                <w:szCs w:val="19"/>
              </w:rPr>
              <w:t>Flagged</w:t>
            </w:r>
          </w:p>
        </w:tc>
        <w:tc>
          <w:tcPr>
            <w:tcW w:w="20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6D9314A9">
            <w:pPr>
              <w:jc w:val="center"/>
            </w:pPr>
            <w:r>
              <w:rPr>
                <w:rFonts w:ascii="Arial" w:hAnsi="Arial" w:eastAsia="Arial" w:cs="Arial"/>
                <w:b w:val="0"/>
                <w:bCs w:val="0"/>
                <w:color w:val="212121"/>
                <w:sz w:val="19"/>
                <w:szCs w:val="19"/>
              </w:rPr>
              <w:t>1 found</w:t>
            </w:r>
          </w:p>
        </w:tc>
        <w:tc>
          <w:tcPr>
            <w:tcW w:w="21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39335C54">
            <w:pPr>
              <w:jc w:val="center"/>
            </w:pPr>
            <w:r>
              <w:rPr>
                <w:rFonts w:ascii="Arial" w:hAnsi="Arial" w:eastAsia="Arial" w:cs="Arial"/>
                <w:b/>
                <w:bCs/>
                <w:color w:val="E65100"/>
                <w:sz w:val="19"/>
                <w:szCs w:val="19"/>
              </w:rPr>
              <w:t>FIXED</w:t>
            </w:r>
          </w:p>
        </w:tc>
      </w:tr>
    </w:tbl>
    <w:p w14:paraId="2ED11516">
      <w:pPr>
        <w:pStyle w:val="4"/>
        <w:spacing w:before="200" w:after="100"/>
      </w:pPr>
      <w:bookmarkStart w:id="79" w:name="_Toc16270"/>
      <w:r>
        <w:rPr>
          <w:rFonts w:ascii="Arial" w:hAnsi="Arial" w:eastAsia="Arial" w:cs="Arial"/>
          <w:b/>
          <w:bCs/>
          <w:color w:val="0D47A1"/>
          <w:sz w:val="24"/>
          <w:szCs w:val="24"/>
        </w:rPr>
        <w:t>8.2.2 Referential Integrity Tests</w:t>
      </w:r>
      <w:bookmarkEnd w:id="79"/>
    </w:p>
    <w:p w14:paraId="6DB1AF0B">
      <w:pPr>
        <w:spacing w:before="80" w:after="120" w:line="360" w:lineRule="auto"/>
        <w:jc w:val="both"/>
      </w:pPr>
      <w:r>
        <w:rPr>
          <w:rFonts w:ascii="Arial" w:hAnsi="Arial" w:eastAsia="Arial" w:cs="Arial"/>
          <w:b w:val="0"/>
          <w:bCs w:val="0"/>
          <w:i w:val="0"/>
          <w:iCs w:val="0"/>
          <w:color w:val="212121"/>
          <w:sz w:val="22"/>
          <w:szCs w:val="22"/>
        </w:rPr>
        <w:t>All Order IDs in the Details.csv file were verified against the Orders.csv file. SQL query validation confirmed 100% referential integrity — no orphaned order detail records were found for which a corresponding order header does not exist. This validates the foreign key relationship between the Orders and OrderDetails tables.</w:t>
      </w:r>
    </w:p>
    <w:p w14:paraId="2FEA4851">
      <w:pPr>
        <w:pStyle w:val="3"/>
        <w:spacing w:before="280" w:after="160"/>
      </w:pPr>
      <w:bookmarkStart w:id="80" w:name="_Toc31929"/>
      <w:r>
        <w:rPr>
          <w:rFonts w:ascii="Arial" w:hAnsi="Arial" w:eastAsia="Arial" w:cs="Arial"/>
          <w:b/>
          <w:bCs/>
          <w:color w:val="1565C0"/>
          <w:sz w:val="28"/>
          <w:szCs w:val="28"/>
        </w:rPr>
        <w:t>8.3 KPI Validation Tests</w:t>
      </w:r>
      <w:bookmarkEnd w:id="80"/>
    </w:p>
    <w:p w14:paraId="05F29958">
      <w:pPr>
        <w:spacing w:before="80" w:after="120" w:line="360" w:lineRule="auto"/>
        <w:jc w:val="both"/>
      </w:pPr>
      <w:r>
        <w:rPr>
          <w:rFonts w:ascii="Arial" w:hAnsi="Arial" w:eastAsia="Arial" w:cs="Arial"/>
          <w:b w:val="0"/>
          <w:bCs w:val="0"/>
          <w:i w:val="0"/>
          <w:iCs w:val="0"/>
          <w:color w:val="212121"/>
          <w:sz w:val="22"/>
          <w:szCs w:val="22"/>
        </w:rPr>
        <w:t>The four primary KPI values displayed on the dashboard were independently verified through Excel pivot table calculations applied directly to the raw CSV files: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180"/>
        <w:gridCol w:w="2180"/>
        <w:gridCol w:w="2000"/>
      </w:tblGrid>
      <w:tr w14:paraId="57AE8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BDBD" w:sz="0" w:space="0"/>
              <w:left w:val="single" w:color="BDBDBD" w:sz="0" w:space="0"/>
              <w:bottom w:val="single" w:color="BDBDBD" w:sz="0" w:space="0"/>
              <w:right w:val="single" w:color="BDBDBD" w:sz="0" w:space="0"/>
            </w:tcBorders>
            <w:shd w:val="clear" w:color="auto" w:fill="1A237E"/>
            <w:tcMar>
              <w:top w:w="100" w:type="dxa"/>
              <w:left w:w="150" w:type="dxa"/>
              <w:bottom w:w="100" w:type="dxa"/>
              <w:right w:w="150" w:type="dxa"/>
            </w:tcMar>
            <w:vAlign w:val="center"/>
          </w:tcPr>
          <w:p w14:paraId="6AAC8EDF">
            <w:pPr>
              <w:jc w:val="center"/>
            </w:pPr>
            <w:r>
              <w:rPr>
                <w:rFonts w:ascii="Arial" w:hAnsi="Arial" w:eastAsia="Arial" w:cs="Arial"/>
                <w:b/>
                <w:bCs/>
                <w:color w:val="FFFFFF"/>
                <w:sz w:val="20"/>
                <w:szCs w:val="20"/>
              </w:rPr>
              <w:t>KPI</w:t>
            </w:r>
          </w:p>
        </w:tc>
        <w:tc>
          <w:tcPr>
            <w:tcW w:w="2180" w:type="dxa"/>
            <w:tcBorders>
              <w:top w:val="single" w:color="BDBDBD" w:sz="0" w:space="0"/>
              <w:left w:val="single" w:color="BDBDBD" w:sz="0" w:space="0"/>
              <w:bottom w:val="single" w:color="BDBDBD" w:sz="0" w:space="0"/>
              <w:right w:val="single" w:color="BDBDBD" w:sz="0" w:space="0"/>
            </w:tcBorders>
            <w:shd w:val="clear" w:color="auto" w:fill="1A237E"/>
            <w:tcMar>
              <w:top w:w="100" w:type="dxa"/>
              <w:left w:w="150" w:type="dxa"/>
              <w:bottom w:w="100" w:type="dxa"/>
              <w:right w:w="150" w:type="dxa"/>
            </w:tcMar>
            <w:vAlign w:val="center"/>
          </w:tcPr>
          <w:p w14:paraId="6D371CB0">
            <w:pPr>
              <w:jc w:val="center"/>
            </w:pPr>
            <w:r>
              <w:rPr>
                <w:rFonts w:ascii="Arial" w:hAnsi="Arial" w:eastAsia="Arial" w:cs="Arial"/>
                <w:b/>
                <w:bCs/>
                <w:color w:val="FFFFFF"/>
                <w:sz w:val="20"/>
                <w:szCs w:val="20"/>
              </w:rPr>
              <w:t>Dashboard Value</w:t>
            </w:r>
          </w:p>
        </w:tc>
        <w:tc>
          <w:tcPr>
            <w:tcW w:w="2180" w:type="dxa"/>
            <w:tcBorders>
              <w:top w:val="single" w:color="BDBDBD" w:sz="0" w:space="0"/>
              <w:left w:val="single" w:color="BDBDBD" w:sz="0" w:space="0"/>
              <w:bottom w:val="single" w:color="BDBDBD" w:sz="0" w:space="0"/>
              <w:right w:val="single" w:color="BDBDBD" w:sz="0" w:space="0"/>
            </w:tcBorders>
            <w:shd w:val="clear" w:color="auto" w:fill="1A237E"/>
            <w:tcMar>
              <w:top w:w="100" w:type="dxa"/>
              <w:left w:w="150" w:type="dxa"/>
              <w:bottom w:w="100" w:type="dxa"/>
              <w:right w:w="150" w:type="dxa"/>
            </w:tcMar>
            <w:vAlign w:val="center"/>
          </w:tcPr>
          <w:p w14:paraId="17862081">
            <w:pPr>
              <w:jc w:val="center"/>
            </w:pPr>
            <w:r>
              <w:rPr>
                <w:rFonts w:ascii="Arial" w:hAnsi="Arial" w:eastAsia="Arial" w:cs="Arial"/>
                <w:b/>
                <w:bCs/>
                <w:color w:val="FFFFFF"/>
                <w:sz w:val="20"/>
                <w:szCs w:val="20"/>
              </w:rPr>
              <w:t>Excel Cross-Check</w:t>
            </w:r>
          </w:p>
        </w:tc>
        <w:tc>
          <w:tcPr>
            <w:tcW w:w="2000" w:type="dxa"/>
            <w:tcBorders>
              <w:top w:val="single" w:color="BDBDBD" w:sz="0" w:space="0"/>
              <w:left w:val="single" w:color="BDBDBD" w:sz="0" w:space="0"/>
              <w:bottom w:val="single" w:color="BDBDBD" w:sz="0" w:space="0"/>
              <w:right w:val="single" w:color="BDBDBD" w:sz="0" w:space="0"/>
            </w:tcBorders>
            <w:shd w:val="clear" w:color="auto" w:fill="1A237E"/>
            <w:tcMar>
              <w:top w:w="100" w:type="dxa"/>
              <w:left w:w="150" w:type="dxa"/>
              <w:bottom w:w="100" w:type="dxa"/>
              <w:right w:w="150" w:type="dxa"/>
            </w:tcMar>
            <w:vAlign w:val="center"/>
          </w:tcPr>
          <w:p w14:paraId="03E01572">
            <w:pPr>
              <w:jc w:val="center"/>
            </w:pPr>
            <w:r>
              <w:rPr>
                <w:rFonts w:ascii="Arial" w:hAnsi="Arial" w:eastAsia="Arial" w:cs="Arial"/>
                <w:b/>
                <w:bCs/>
                <w:color w:val="FFFFFF"/>
                <w:sz w:val="20"/>
                <w:szCs w:val="20"/>
              </w:rPr>
              <w:t>Match</w:t>
            </w:r>
          </w:p>
        </w:tc>
      </w:tr>
      <w:tr w14:paraId="6EEE4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1581C698">
            <w:pPr>
              <w:jc w:val="left"/>
            </w:pPr>
            <w:r>
              <w:rPr>
                <w:rFonts w:ascii="Arial" w:hAnsi="Arial" w:eastAsia="Arial" w:cs="Arial"/>
                <w:b/>
                <w:bCs/>
                <w:color w:val="212121"/>
                <w:sz w:val="19"/>
                <w:szCs w:val="19"/>
              </w:rPr>
              <w:t>Total Revenue</w:t>
            </w:r>
          </w:p>
        </w:tc>
        <w:tc>
          <w:tcPr>
            <w:tcW w:w="218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076B6151">
            <w:pPr>
              <w:jc w:val="center"/>
            </w:pPr>
            <w:r>
              <w:rPr>
                <w:rFonts w:ascii="Arial" w:hAnsi="Arial" w:eastAsia="Arial" w:cs="Arial"/>
                <w:b w:val="0"/>
                <w:bCs w:val="0"/>
                <w:color w:val="212121"/>
                <w:sz w:val="19"/>
                <w:szCs w:val="19"/>
              </w:rPr>
              <w:t>438K</w:t>
            </w:r>
          </w:p>
        </w:tc>
        <w:tc>
          <w:tcPr>
            <w:tcW w:w="218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0EEBAA15">
            <w:pPr>
              <w:jc w:val="center"/>
            </w:pPr>
            <w:r>
              <w:rPr>
                <w:rFonts w:ascii="Arial" w:hAnsi="Arial" w:eastAsia="Arial" w:cs="Arial"/>
                <w:b w:val="0"/>
                <w:bCs w:val="0"/>
                <w:color w:val="212121"/>
                <w:sz w:val="19"/>
                <w:szCs w:val="19"/>
              </w:rPr>
              <w:t>~438,000</w:t>
            </w:r>
          </w:p>
        </w:tc>
        <w:tc>
          <w:tcPr>
            <w:tcW w:w="2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66F3C0E7">
            <w:pPr>
              <w:jc w:val="center"/>
            </w:pPr>
            <w:r>
              <w:rPr>
                <w:rFonts w:ascii="Arial" w:hAnsi="Arial" w:eastAsia="Arial" w:cs="Arial"/>
                <w:b/>
                <w:bCs/>
                <w:color w:val="1B5E20"/>
                <w:sz w:val="19"/>
                <w:szCs w:val="19"/>
              </w:rPr>
              <w:t>YES</w:t>
            </w:r>
          </w:p>
        </w:tc>
      </w:tr>
      <w:tr w14:paraId="23774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75DE4135">
            <w:pPr>
              <w:jc w:val="left"/>
            </w:pPr>
            <w:r>
              <w:rPr>
                <w:rFonts w:ascii="Arial" w:hAnsi="Arial" w:eastAsia="Arial" w:cs="Arial"/>
                <w:b/>
                <w:bCs/>
                <w:color w:val="212121"/>
                <w:sz w:val="19"/>
                <w:szCs w:val="19"/>
              </w:rPr>
              <w:t>Total Profit Margin</w:t>
            </w:r>
          </w:p>
        </w:tc>
        <w:tc>
          <w:tcPr>
            <w:tcW w:w="218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490E1D01">
            <w:pPr>
              <w:jc w:val="center"/>
            </w:pPr>
            <w:r>
              <w:rPr>
                <w:rFonts w:ascii="Arial" w:hAnsi="Arial" w:eastAsia="Arial" w:cs="Arial"/>
                <w:b w:val="0"/>
                <w:bCs w:val="0"/>
                <w:color w:val="212121"/>
                <w:sz w:val="19"/>
                <w:szCs w:val="19"/>
              </w:rPr>
              <w:t>37K</w:t>
            </w:r>
          </w:p>
        </w:tc>
        <w:tc>
          <w:tcPr>
            <w:tcW w:w="218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22107202">
            <w:pPr>
              <w:jc w:val="center"/>
            </w:pPr>
            <w:r>
              <w:rPr>
                <w:rFonts w:ascii="Arial" w:hAnsi="Arial" w:eastAsia="Arial" w:cs="Arial"/>
                <w:b w:val="0"/>
                <w:bCs w:val="0"/>
                <w:color w:val="212121"/>
                <w:sz w:val="19"/>
                <w:szCs w:val="19"/>
              </w:rPr>
              <w:t>~37,000</w:t>
            </w:r>
          </w:p>
        </w:tc>
        <w:tc>
          <w:tcPr>
            <w:tcW w:w="2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4368582E">
            <w:pPr>
              <w:jc w:val="center"/>
            </w:pPr>
            <w:r>
              <w:rPr>
                <w:rFonts w:ascii="Arial" w:hAnsi="Arial" w:eastAsia="Arial" w:cs="Arial"/>
                <w:b/>
                <w:bCs/>
                <w:color w:val="1B5E20"/>
                <w:sz w:val="19"/>
                <w:szCs w:val="19"/>
              </w:rPr>
              <w:t>YES</w:t>
            </w:r>
          </w:p>
        </w:tc>
      </w:tr>
      <w:tr w14:paraId="233BD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3F8C1B3E">
            <w:pPr>
              <w:jc w:val="left"/>
            </w:pPr>
            <w:r>
              <w:rPr>
                <w:rFonts w:ascii="Arial" w:hAnsi="Arial" w:eastAsia="Arial" w:cs="Arial"/>
                <w:b/>
                <w:bCs/>
                <w:color w:val="212121"/>
                <w:sz w:val="19"/>
                <w:szCs w:val="19"/>
              </w:rPr>
              <w:t>Orders Count</w:t>
            </w:r>
          </w:p>
        </w:tc>
        <w:tc>
          <w:tcPr>
            <w:tcW w:w="218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2C855916">
            <w:pPr>
              <w:jc w:val="center"/>
            </w:pPr>
            <w:r>
              <w:rPr>
                <w:rFonts w:ascii="Arial" w:hAnsi="Arial" w:eastAsia="Arial" w:cs="Arial"/>
                <w:b w:val="0"/>
                <w:bCs w:val="0"/>
                <w:color w:val="212121"/>
                <w:sz w:val="19"/>
                <w:szCs w:val="19"/>
              </w:rPr>
              <w:t>500</w:t>
            </w:r>
          </w:p>
        </w:tc>
        <w:tc>
          <w:tcPr>
            <w:tcW w:w="218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065CE5C5">
            <w:pPr>
              <w:jc w:val="center"/>
            </w:pPr>
            <w:r>
              <w:rPr>
                <w:rFonts w:ascii="Arial" w:hAnsi="Arial" w:eastAsia="Arial" w:cs="Arial"/>
                <w:b w:val="0"/>
                <w:bCs w:val="0"/>
                <w:color w:val="212121"/>
                <w:sz w:val="19"/>
                <w:szCs w:val="19"/>
              </w:rPr>
              <w:t>500</w:t>
            </w:r>
          </w:p>
        </w:tc>
        <w:tc>
          <w:tcPr>
            <w:tcW w:w="2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3686E0E1">
            <w:pPr>
              <w:jc w:val="center"/>
            </w:pPr>
            <w:r>
              <w:rPr>
                <w:rFonts w:ascii="Arial" w:hAnsi="Arial" w:eastAsia="Arial" w:cs="Arial"/>
                <w:b/>
                <w:bCs/>
                <w:color w:val="1B5E20"/>
                <w:sz w:val="19"/>
                <w:szCs w:val="19"/>
              </w:rPr>
              <w:t>YES</w:t>
            </w:r>
          </w:p>
        </w:tc>
      </w:tr>
      <w:tr w14:paraId="33709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1F352183">
            <w:pPr>
              <w:jc w:val="left"/>
            </w:pPr>
            <w:r>
              <w:rPr>
                <w:rFonts w:ascii="Arial" w:hAnsi="Arial" w:eastAsia="Arial" w:cs="Arial"/>
                <w:b/>
                <w:bCs/>
                <w:color w:val="212121"/>
                <w:sz w:val="19"/>
                <w:szCs w:val="19"/>
              </w:rPr>
              <w:t>Top State (Revenue)</w:t>
            </w:r>
          </w:p>
        </w:tc>
        <w:tc>
          <w:tcPr>
            <w:tcW w:w="218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64B043EC">
            <w:pPr>
              <w:jc w:val="center"/>
            </w:pPr>
            <w:r>
              <w:rPr>
                <w:rFonts w:ascii="Arial" w:hAnsi="Arial" w:eastAsia="Arial" w:cs="Arial"/>
                <w:b w:val="0"/>
                <w:bCs w:val="0"/>
                <w:color w:val="212121"/>
                <w:sz w:val="19"/>
                <w:szCs w:val="19"/>
              </w:rPr>
              <w:t>Maharashtra</w:t>
            </w:r>
          </w:p>
        </w:tc>
        <w:tc>
          <w:tcPr>
            <w:tcW w:w="218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335DD701">
            <w:pPr>
              <w:jc w:val="center"/>
            </w:pPr>
            <w:r>
              <w:rPr>
                <w:rFonts w:ascii="Arial" w:hAnsi="Arial" w:eastAsia="Arial" w:cs="Arial"/>
                <w:b w:val="0"/>
                <w:bCs w:val="0"/>
                <w:color w:val="212121"/>
                <w:sz w:val="19"/>
                <w:szCs w:val="19"/>
              </w:rPr>
              <w:t>Maharashtra</w:t>
            </w:r>
          </w:p>
        </w:tc>
        <w:tc>
          <w:tcPr>
            <w:tcW w:w="2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43936E78">
            <w:pPr>
              <w:jc w:val="center"/>
            </w:pPr>
            <w:r>
              <w:rPr>
                <w:rFonts w:ascii="Arial" w:hAnsi="Arial" w:eastAsia="Arial" w:cs="Arial"/>
                <w:b/>
                <w:bCs/>
                <w:color w:val="1B5E20"/>
                <w:sz w:val="19"/>
                <w:szCs w:val="19"/>
              </w:rPr>
              <w:t>YES</w:t>
            </w:r>
          </w:p>
        </w:tc>
      </w:tr>
    </w:tbl>
    <w:p w14:paraId="36FDF918">
      <w:pPr>
        <w:pStyle w:val="3"/>
        <w:spacing w:before="280" w:after="160"/>
      </w:pPr>
      <w:bookmarkStart w:id="81" w:name="_Toc20994"/>
      <w:r>
        <w:rPr>
          <w:rFonts w:ascii="Arial" w:hAnsi="Arial" w:eastAsia="Arial" w:cs="Arial"/>
          <w:b/>
          <w:bCs/>
          <w:color w:val="1565C0"/>
          <w:sz w:val="28"/>
          <w:szCs w:val="28"/>
        </w:rPr>
        <w:t>8.4 Dashboard Functionality Testing</w:t>
      </w:r>
      <w:bookmarkEnd w:id="81"/>
    </w:p>
    <w:p w14:paraId="4FAE571C">
      <w:pPr>
        <w:spacing w:before="80" w:after="120" w:line="360" w:lineRule="auto"/>
        <w:jc w:val="both"/>
      </w:pPr>
      <w:r>
        <w:rPr>
          <w:rFonts w:ascii="Arial" w:hAnsi="Arial" w:eastAsia="Arial" w:cs="Arial"/>
          <w:b w:val="0"/>
          <w:bCs w:val="0"/>
          <w:i w:val="0"/>
          <w:iCs w:val="0"/>
          <w:color w:val="212121"/>
          <w:sz w:val="22"/>
          <w:szCs w:val="22"/>
        </w:rPr>
        <w:t>The interactive filtering capabilities of the Power BI dashboard were tested by applying each available filter (Date Range, Category, State) individually and in combination, verifying that all chart visualizations updated correctly and consistently in response to filter selections.</w:t>
      </w:r>
    </w:p>
    <w:p w14:paraId="4D051F67">
      <w:pPr>
        <w:pStyle w:val="20"/>
        <w:numPr>
          <w:ilvl w:val="0"/>
          <w:numId w:val="2"/>
        </w:numPr>
        <w:spacing w:before="60" w:after="60" w:line="320" w:lineRule="auto"/>
      </w:pPr>
      <w:r>
        <w:rPr>
          <w:rFonts w:ascii="Arial" w:hAnsi="Arial" w:eastAsia="Arial" w:cs="Arial"/>
          <w:color w:val="212121"/>
          <w:sz w:val="22"/>
          <w:szCs w:val="22"/>
        </w:rPr>
        <w:t>Date Range Filter Test: Narrowing the date range to Q1 (January-March 2018) correctly reduced revenue, order count, and profit values across all visuals. The monthly profit chart correctly showed only January, February, and March bars.</w:t>
      </w:r>
    </w:p>
    <w:p w14:paraId="7E5B0776">
      <w:pPr>
        <w:pStyle w:val="20"/>
        <w:numPr>
          <w:ilvl w:val="0"/>
          <w:numId w:val="2"/>
        </w:numPr>
        <w:spacing w:before="60" w:after="60" w:line="320" w:lineRule="auto"/>
      </w:pPr>
      <w:r>
        <w:rPr>
          <w:rFonts w:ascii="Arial" w:hAnsi="Arial" w:eastAsia="Arial" w:cs="Arial"/>
          <w:color w:val="212121"/>
          <w:sz w:val="22"/>
          <w:szCs w:val="22"/>
        </w:rPr>
        <w:t>Category Filter Test: Selecting 'Electronics' from the Category dropdown correctly filtered all charts to show only Electronics-related data. The sub-category chart showed only Printers, Phones, Electronic Games, and Accessories.</w:t>
      </w:r>
    </w:p>
    <w:p w14:paraId="40077A3B">
      <w:pPr>
        <w:pStyle w:val="20"/>
        <w:numPr>
          <w:ilvl w:val="0"/>
          <w:numId w:val="2"/>
        </w:numPr>
        <w:spacing w:before="60" w:after="60" w:line="320" w:lineRule="auto"/>
      </w:pPr>
      <w:r>
        <w:rPr>
          <w:rFonts w:ascii="Arial" w:hAnsi="Arial" w:eastAsia="Arial" w:cs="Arial"/>
          <w:color w:val="212121"/>
          <w:sz w:val="22"/>
          <w:szCs w:val="22"/>
        </w:rPr>
        <w:t>State Filter Test: Selecting 'Maharashtra' from the State dropdown correctly limited geographic revenue to Maharashtra values only, updated the top customer chart to show Maharashtra-based customers, and highlighted only Maharashtra cities on the map.</w:t>
      </w:r>
    </w:p>
    <w:p w14:paraId="4814A172">
      <w:pPr>
        <w:pStyle w:val="20"/>
        <w:numPr>
          <w:ilvl w:val="0"/>
          <w:numId w:val="2"/>
        </w:numPr>
        <w:spacing w:before="60" w:after="60" w:line="320" w:lineRule="auto"/>
      </w:pPr>
      <w:r>
        <w:rPr>
          <w:rFonts w:ascii="Arial" w:hAnsi="Arial" w:eastAsia="Arial" w:cs="Arial"/>
          <w:color w:val="212121"/>
          <w:sz w:val="22"/>
          <w:szCs w:val="22"/>
        </w:rPr>
        <w:t>Cross-Filter Test: Clicking on the 'COD' segment in the Payment Mode donut chart correctly filtered the Revenue by State chart to show only COD-transaction revenue by state, enabling payment-mode-specific geographic analysis.</w:t>
      </w:r>
    </w:p>
    <w:p w14:paraId="0867A95C">
      <w:r>
        <w:br w:type="page"/>
      </w:r>
    </w:p>
    <w:p w14:paraId="55304D37">
      <w:pPr>
        <w:pStyle w:val="2"/>
        <w:pBdr>
          <w:bottom w:val="single" w:color="1565C0" w:sz="8" w:space="4"/>
        </w:pBdr>
        <w:spacing w:before="360" w:after="200"/>
        <w:jc w:val="center"/>
      </w:pPr>
      <w:bookmarkStart w:id="82" w:name="_Toc26809"/>
      <w:r>
        <w:rPr>
          <w:rFonts w:ascii="Arial" w:hAnsi="Arial" w:eastAsia="Arial" w:cs="Arial"/>
          <w:b/>
          <w:bCs/>
          <w:color w:val="1A237E"/>
          <w:sz w:val="36"/>
          <w:szCs w:val="36"/>
        </w:rPr>
        <w:t>Chapter 9: Conclusion and Future Work</w:t>
      </w:r>
      <w:bookmarkEnd w:id="82"/>
    </w:p>
    <w:p w14:paraId="131504AB">
      <w:pPr>
        <w:pStyle w:val="3"/>
        <w:spacing w:before="280" w:after="160"/>
      </w:pPr>
      <w:bookmarkStart w:id="83" w:name="_Toc27154"/>
      <w:r>
        <w:rPr>
          <w:rFonts w:ascii="Arial" w:hAnsi="Arial" w:eastAsia="Arial" w:cs="Arial"/>
          <w:b/>
          <w:bCs/>
          <w:color w:val="1565C0"/>
          <w:sz w:val="28"/>
          <w:szCs w:val="28"/>
        </w:rPr>
        <w:t>9.1 Conclusion</w:t>
      </w:r>
      <w:bookmarkEnd w:id="83"/>
    </w:p>
    <w:p w14:paraId="482C62AD">
      <w:pPr>
        <w:spacing w:before="80" w:after="120" w:line="360" w:lineRule="auto"/>
        <w:jc w:val="both"/>
      </w:pPr>
      <w:r>
        <w:rPr>
          <w:rFonts w:ascii="Arial" w:hAnsi="Arial" w:eastAsia="Arial" w:cs="Arial"/>
          <w:b w:val="0"/>
          <w:bCs w:val="0"/>
          <w:i w:val="0"/>
          <w:iCs w:val="0"/>
          <w:color w:val="212121"/>
          <w:sz w:val="22"/>
          <w:szCs w:val="22"/>
        </w:rPr>
        <w:t>This project successfully designed, developed, and analytically evaluated an E-Commerce Sales Analytics and Interactive Business Intelligence Visualization System. Starting from raw transactional CSV data representing 500 customer orders and 1,501 product-level transactions for the year 2018, the project delivered a comprehensive analytical pipeline encompassing database design, ETL processing, data warehousing, and interactive Power BI dashboard visualization.</w:t>
      </w:r>
    </w:p>
    <w:p w14:paraId="2BFDD21B">
      <w:pPr>
        <w:spacing w:before="80" w:after="120" w:line="360" w:lineRule="auto"/>
        <w:jc w:val="both"/>
      </w:pPr>
      <w:r>
        <w:rPr>
          <w:rFonts w:ascii="Arial" w:hAnsi="Arial" w:eastAsia="Arial" w:cs="Arial"/>
          <w:b w:val="0"/>
          <w:bCs w:val="0"/>
          <w:i w:val="0"/>
          <w:iCs w:val="0"/>
          <w:color w:val="212121"/>
          <w:sz w:val="22"/>
          <w:szCs w:val="22"/>
        </w:rPr>
        <w:t>The system achieved all stated objectives: a normalized PostgreSQL schema with six interrelated tables was designed and implemented; a Star Schema data warehouse was architected for analytical query optimization; a seven-visualization Power BI dashboard was built providing geographic, product, payment, temporal, and customer-level analytical perspectives; and meaningful business intelligence insights were extracted and documented.</w:t>
      </w:r>
    </w:p>
    <w:p w14:paraId="34EF5541">
      <w:pPr>
        <w:spacing w:before="80" w:after="120" w:line="360" w:lineRule="auto"/>
        <w:jc w:val="both"/>
      </w:pPr>
      <w:r>
        <w:rPr>
          <w:rFonts w:ascii="Arial" w:hAnsi="Arial" w:eastAsia="Arial" w:cs="Arial"/>
          <w:b w:val="0"/>
          <w:bCs w:val="0"/>
          <w:i w:val="0"/>
          <w:iCs w:val="0"/>
          <w:color w:val="212121"/>
          <w:sz w:val="22"/>
          <w:szCs w:val="22"/>
        </w:rPr>
        <w:t>Key analytical findings of this project include: Maharashtra's revenue leadership driven by Mumbai and Pune customer bases; the unexpectedly strong performance of Madhya Pradesh (particularly Indore) as a tier-II e-commerce growth market; Printers' position as the most profitable product sub-category; COD's 44% payment mode dominance with its attendant operational implications; July and December as anomalous negative-profit months requiring strategic attention; and Clothing's volume dominance masking its relative margin underperformance versus Electronics and Furniture.</w:t>
      </w:r>
    </w:p>
    <w:p w14:paraId="436E0FCB">
      <w:pPr>
        <w:spacing w:before="80" w:after="120" w:line="360" w:lineRule="auto"/>
        <w:jc w:val="both"/>
      </w:pPr>
      <w:r>
        <w:rPr>
          <w:rFonts w:ascii="Arial" w:hAnsi="Arial" w:eastAsia="Arial" w:cs="Arial"/>
          <w:b w:val="0"/>
          <w:bCs w:val="0"/>
          <w:i w:val="0"/>
          <w:iCs w:val="0"/>
          <w:color w:val="212121"/>
          <w:sz w:val="22"/>
          <w:szCs w:val="22"/>
        </w:rPr>
        <w:t>These findings are not merely descriptive — they form the basis for concrete strategic recommendations including geographic market investment priorities, product portfolio rationalization, payment mode incentive programs, and seasonal promotional strategy refinements. The project demonstrates that even a modest 500-order dataset, when subjected to rigorous BI analysis, can yield rich, actionable business intelligence that could meaningfully improve e-commerce profitability.</w:t>
      </w:r>
    </w:p>
    <w:p w14:paraId="7298570F">
      <w:pPr>
        <w:spacing w:before="80" w:after="120" w:line="360" w:lineRule="auto"/>
        <w:jc w:val="both"/>
      </w:pPr>
      <w:r>
        <w:rPr>
          <w:rFonts w:ascii="Arial" w:hAnsi="Arial" w:eastAsia="Arial" w:cs="Arial"/>
          <w:b w:val="0"/>
          <w:bCs w:val="0"/>
          <w:i w:val="0"/>
          <w:iCs w:val="0"/>
          <w:color w:val="212121"/>
          <w:sz w:val="22"/>
          <w:szCs w:val="22"/>
        </w:rPr>
        <w:t>From an academic perspective, this project successfully demonstrates the integration of multiple computing disciplines — database systems, data processing, software design, and information visualization — into a coherent applied system. It provides practical hands-on experience with industry-standard tools (PostgreSQL, Power BI, Python/Pandas) while grounding the work in established academic literature on business intelligence, data warehousing, and e-commerce analytics.</w:t>
      </w:r>
    </w:p>
    <w:p w14:paraId="6E38961A">
      <w:pPr>
        <w:pStyle w:val="3"/>
        <w:spacing w:before="280" w:after="160"/>
      </w:pPr>
      <w:bookmarkStart w:id="84" w:name="_Toc14844"/>
      <w:r>
        <w:rPr>
          <w:rFonts w:ascii="Arial" w:hAnsi="Arial" w:eastAsia="Arial" w:cs="Arial"/>
          <w:b/>
          <w:bCs/>
          <w:color w:val="1565C0"/>
          <w:sz w:val="28"/>
          <w:szCs w:val="28"/>
        </w:rPr>
        <w:t>9.2 Limitations</w:t>
      </w:r>
      <w:bookmarkEnd w:id="84"/>
    </w:p>
    <w:p w14:paraId="567DD92D">
      <w:pPr>
        <w:spacing w:before="80" w:after="120" w:line="360" w:lineRule="auto"/>
        <w:jc w:val="both"/>
      </w:pPr>
      <w:r>
        <w:rPr>
          <w:rFonts w:ascii="Arial" w:hAnsi="Arial" w:eastAsia="Arial" w:cs="Arial"/>
          <w:b w:val="0"/>
          <w:bCs w:val="0"/>
          <w:i w:val="0"/>
          <w:iCs w:val="0"/>
          <w:color w:val="212121"/>
          <w:sz w:val="22"/>
          <w:szCs w:val="22"/>
        </w:rPr>
        <w:t>While the project has achieved its stated objectives, several limitations should be acknowledged:</w:t>
      </w:r>
    </w:p>
    <w:p w14:paraId="10E362F3">
      <w:pPr>
        <w:pStyle w:val="20"/>
        <w:numPr>
          <w:ilvl w:val="0"/>
          <w:numId w:val="2"/>
        </w:numPr>
        <w:spacing w:before="60" w:after="60" w:line="320" w:lineRule="auto"/>
      </w:pPr>
      <w:r>
        <w:rPr>
          <w:rFonts w:ascii="Arial" w:hAnsi="Arial" w:eastAsia="Arial" w:cs="Arial"/>
          <w:color w:val="212121"/>
          <w:sz w:val="22"/>
          <w:szCs w:val="22"/>
        </w:rPr>
        <w:t>Dataset Size: The 500-order, single-year dataset limits the statistical robustness of trend analysis and prevents multi-year comparative studies.</w:t>
      </w:r>
    </w:p>
    <w:p w14:paraId="7BA74D69">
      <w:pPr>
        <w:pStyle w:val="20"/>
        <w:numPr>
          <w:ilvl w:val="0"/>
          <w:numId w:val="2"/>
        </w:numPr>
        <w:spacing w:before="60" w:after="60" w:line="320" w:lineRule="auto"/>
      </w:pPr>
      <w:r>
        <w:rPr>
          <w:rFonts w:ascii="Arial" w:hAnsi="Arial" w:eastAsia="Arial" w:cs="Arial"/>
          <w:color w:val="212121"/>
          <w:sz w:val="22"/>
          <w:szCs w:val="22"/>
        </w:rPr>
        <w:t>No Customer Demographics: The absence of customer age, gender, or income data prevents customer segmentation analysis beyond purchase behavior.</w:t>
      </w:r>
    </w:p>
    <w:p w14:paraId="35F567E6">
      <w:pPr>
        <w:pStyle w:val="20"/>
        <w:numPr>
          <w:ilvl w:val="0"/>
          <w:numId w:val="2"/>
        </w:numPr>
        <w:spacing w:before="60" w:after="60" w:line="320" w:lineRule="auto"/>
      </w:pPr>
      <w:r>
        <w:rPr>
          <w:rFonts w:ascii="Arial" w:hAnsi="Arial" w:eastAsia="Arial" w:cs="Arial"/>
          <w:color w:val="212121"/>
          <w:sz w:val="22"/>
          <w:szCs w:val="22"/>
        </w:rPr>
        <w:t>Static Dataset: The 2018 dataset is historical and static. A production BI system would require live data connectivity and automated refresh capabilities.</w:t>
      </w:r>
    </w:p>
    <w:p w14:paraId="33C06A68">
      <w:pPr>
        <w:pStyle w:val="20"/>
        <w:numPr>
          <w:ilvl w:val="0"/>
          <w:numId w:val="2"/>
        </w:numPr>
        <w:spacing w:before="60" w:after="60" w:line="320" w:lineRule="auto"/>
      </w:pPr>
      <w:r>
        <w:rPr>
          <w:rFonts w:ascii="Arial" w:hAnsi="Arial" w:eastAsia="Arial" w:cs="Arial"/>
          <w:color w:val="212121"/>
          <w:sz w:val="22"/>
          <w:szCs w:val="22"/>
        </w:rPr>
        <w:t>No Competitor Data: The analysis is internal-only; competitive benchmarking against industry metrics is not possible with the available data.</w:t>
      </w:r>
    </w:p>
    <w:p w14:paraId="37736B19">
      <w:pPr>
        <w:pStyle w:val="20"/>
        <w:numPr>
          <w:ilvl w:val="0"/>
          <w:numId w:val="2"/>
        </w:numPr>
        <w:spacing w:before="60" w:after="60" w:line="320" w:lineRule="auto"/>
      </w:pPr>
      <w:r>
        <w:rPr>
          <w:rFonts w:ascii="Arial" w:hAnsi="Arial" w:eastAsia="Arial" w:cs="Arial"/>
          <w:color w:val="212121"/>
          <w:sz w:val="22"/>
          <w:szCs w:val="22"/>
        </w:rPr>
        <w:t>Limited Geographic Granularity: The dataset covers only selected cities per state, not all cities in each state, limiting comprehensive geographic analysis.</w:t>
      </w:r>
    </w:p>
    <w:p w14:paraId="2EF93730">
      <w:pPr>
        <w:pStyle w:val="3"/>
        <w:spacing w:before="280" w:after="160"/>
      </w:pPr>
      <w:bookmarkStart w:id="85" w:name="_Toc8462"/>
      <w:r>
        <w:rPr>
          <w:rFonts w:ascii="Arial" w:hAnsi="Arial" w:eastAsia="Arial" w:cs="Arial"/>
          <w:b/>
          <w:bCs/>
          <w:color w:val="1565C0"/>
          <w:sz w:val="28"/>
          <w:szCs w:val="28"/>
        </w:rPr>
        <w:t>9.3 Future Work and Enhancements</w:t>
      </w:r>
      <w:bookmarkEnd w:id="85"/>
    </w:p>
    <w:p w14:paraId="6904082F">
      <w:pPr>
        <w:spacing w:before="80" w:after="120" w:line="360" w:lineRule="auto"/>
        <w:jc w:val="both"/>
      </w:pPr>
      <w:r>
        <w:rPr>
          <w:rFonts w:ascii="Arial" w:hAnsi="Arial" w:eastAsia="Arial" w:cs="Arial"/>
          <w:b w:val="0"/>
          <w:bCs w:val="0"/>
          <w:i w:val="0"/>
          <w:iCs w:val="0"/>
          <w:color w:val="212121"/>
          <w:sz w:val="22"/>
          <w:szCs w:val="22"/>
        </w:rPr>
        <w:t>Several significant enhancements could extend the value and capabilities of this system:</w:t>
      </w:r>
    </w:p>
    <w:p w14:paraId="60598291">
      <w:pPr>
        <w:pStyle w:val="20"/>
        <w:numPr>
          <w:ilvl w:val="0"/>
          <w:numId w:val="3"/>
        </w:numPr>
        <w:spacing w:before="60" w:after="60" w:line="320" w:lineRule="auto"/>
      </w:pPr>
      <w:r>
        <w:rPr>
          <w:rFonts w:ascii="Arial" w:hAnsi="Arial" w:eastAsia="Arial" w:cs="Arial"/>
          <w:color w:val="212121"/>
          <w:sz w:val="22"/>
          <w:szCs w:val="22"/>
        </w:rPr>
        <w:t>Machine Learning Integration: Implementing predictive analytics models for demand forecasting, customer churn prediction, and price optimization using Python's scikit-learn or Azure Machine Learning could transform the system from descriptive to predictive BI.</w:t>
      </w:r>
    </w:p>
    <w:p w14:paraId="3D77B696">
      <w:pPr>
        <w:pStyle w:val="20"/>
        <w:numPr>
          <w:ilvl w:val="0"/>
          <w:numId w:val="3"/>
        </w:numPr>
        <w:spacing w:before="60" w:after="60" w:line="320" w:lineRule="auto"/>
      </w:pPr>
      <w:r>
        <w:rPr>
          <w:rFonts w:ascii="Arial" w:hAnsi="Arial" w:eastAsia="Arial" w:cs="Arial"/>
          <w:color w:val="212121"/>
          <w:sz w:val="22"/>
          <w:szCs w:val="22"/>
        </w:rPr>
        <w:t>Real-Time Data Streaming: Integration with Apache Kafka for streaming transactional data and Power BI's Streaming Dataset feature would enable real-time dashboard updates for live business monitoring.</w:t>
      </w:r>
    </w:p>
    <w:p w14:paraId="39C7C0EC">
      <w:pPr>
        <w:pStyle w:val="20"/>
        <w:numPr>
          <w:ilvl w:val="0"/>
          <w:numId w:val="3"/>
        </w:numPr>
        <w:spacing w:before="60" w:after="60" w:line="320" w:lineRule="auto"/>
      </w:pPr>
      <w:r>
        <w:rPr>
          <w:rFonts w:ascii="Arial" w:hAnsi="Arial" w:eastAsia="Arial" w:cs="Arial"/>
          <w:color w:val="212121"/>
          <w:sz w:val="22"/>
          <w:szCs w:val="22"/>
        </w:rPr>
        <w:t>Customer Segmentation: RFM (Recency, Frequency, Monetary) analysis and K-Means clustering on customer transaction patterns would enable advanced customer segmentation and targeted marketing strategy development.</w:t>
      </w:r>
    </w:p>
    <w:p w14:paraId="09EE2D9A">
      <w:pPr>
        <w:pStyle w:val="20"/>
        <w:numPr>
          <w:ilvl w:val="0"/>
          <w:numId w:val="3"/>
        </w:numPr>
        <w:spacing w:before="60" w:after="60" w:line="320" w:lineRule="auto"/>
      </w:pPr>
      <w:r>
        <w:rPr>
          <w:rFonts w:ascii="Arial" w:hAnsi="Arial" w:eastAsia="Arial" w:cs="Arial"/>
          <w:color w:val="212121"/>
          <w:sz w:val="22"/>
          <w:szCs w:val="22"/>
        </w:rPr>
        <w:t>Natural Language Query (NLQ): Power BI's Q&amp;A feature could be optimized with custom synonyms and business terminology to enable non-technical executives to query the dashboard using natural language questions.</w:t>
      </w:r>
    </w:p>
    <w:p w14:paraId="63273388">
      <w:pPr>
        <w:pStyle w:val="20"/>
        <w:numPr>
          <w:ilvl w:val="0"/>
          <w:numId w:val="3"/>
        </w:numPr>
        <w:spacing w:before="60" w:after="60" w:line="320" w:lineRule="auto"/>
      </w:pPr>
      <w:r>
        <w:rPr>
          <w:rFonts w:ascii="Arial" w:hAnsi="Arial" w:eastAsia="Arial" w:cs="Arial"/>
          <w:color w:val="212121"/>
          <w:sz w:val="22"/>
          <w:szCs w:val="22"/>
        </w:rPr>
        <w:t>Multi-Year Trend Analysis: Incorporating data from 2019-2024 would enable year-over-year comparative analysis, CAGR calculations, and more robust seasonality detection.</w:t>
      </w:r>
    </w:p>
    <w:p w14:paraId="289C1E1B">
      <w:pPr>
        <w:pStyle w:val="20"/>
        <w:numPr>
          <w:ilvl w:val="0"/>
          <w:numId w:val="3"/>
        </w:numPr>
        <w:spacing w:before="60" w:after="60" w:line="320" w:lineRule="auto"/>
      </w:pPr>
      <w:r>
        <w:rPr>
          <w:rFonts w:ascii="Arial" w:hAnsi="Arial" w:eastAsia="Arial" w:cs="Arial"/>
          <w:color w:val="212121"/>
          <w:sz w:val="22"/>
          <w:szCs w:val="22"/>
        </w:rPr>
        <w:t>Mobile Dashboard Optimization: Creating a dedicated mobile layout in Power BI Service for smartphone and tablet access would enable field sales teams to access insights on the go.</w:t>
      </w:r>
    </w:p>
    <w:p w14:paraId="693B8235">
      <w:pPr>
        <w:pStyle w:val="20"/>
        <w:numPr>
          <w:ilvl w:val="0"/>
          <w:numId w:val="3"/>
        </w:numPr>
        <w:spacing w:before="60" w:after="60" w:line="320" w:lineRule="auto"/>
      </w:pPr>
      <w:r>
        <w:rPr>
          <w:rFonts w:ascii="Arial" w:hAnsi="Arial" w:eastAsia="Arial" w:cs="Arial"/>
          <w:color w:val="212121"/>
          <w:sz w:val="22"/>
          <w:szCs w:val="22"/>
        </w:rPr>
        <w:t>Automated Alerting: Power BI's data-driven subscription and alert features could be configured to automatically notify managers when profit margins drop below threshold values or when specific KPIs deviate significantly from historical norms.</w:t>
      </w:r>
    </w:p>
    <w:p w14:paraId="5CD207E3">
      <w:pPr>
        <w:pStyle w:val="20"/>
        <w:numPr>
          <w:ilvl w:val="0"/>
          <w:numId w:val="3"/>
        </w:numPr>
        <w:spacing w:before="60" w:after="60" w:line="320" w:lineRule="auto"/>
      </w:pPr>
      <w:r>
        <w:rPr>
          <w:rFonts w:ascii="Arial" w:hAnsi="Arial" w:eastAsia="Arial" w:cs="Arial"/>
          <w:color w:val="212121"/>
          <w:sz w:val="22"/>
          <w:szCs w:val="22"/>
        </w:rPr>
        <w:t>Integration with CRM: Connecting the analytics system with customer relationship management data would enable correlation analysis between marketing campaigns, customer interactions, and purchase behavior.</w:t>
      </w:r>
    </w:p>
    <w:p w14:paraId="07A32237">
      <w:pPr>
        <w:pStyle w:val="3"/>
        <w:spacing w:before="280" w:after="160"/>
      </w:pPr>
      <w:bookmarkStart w:id="86" w:name="_Toc12118"/>
      <w:r>
        <w:rPr>
          <w:rFonts w:ascii="Arial" w:hAnsi="Arial" w:eastAsia="Arial" w:cs="Arial"/>
          <w:b/>
          <w:bCs/>
          <w:color w:val="1565C0"/>
          <w:sz w:val="28"/>
          <w:szCs w:val="28"/>
        </w:rPr>
        <w:t>9.4 Project Summary</w:t>
      </w:r>
      <w:bookmarkEnd w:id="86"/>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860"/>
      </w:tblGrid>
      <w:tr w14:paraId="08775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BDBDBD" w:sz="0" w:space="0"/>
              <w:left w:val="single" w:color="BDBDBD" w:sz="0" w:space="0"/>
              <w:bottom w:val="single" w:color="BDBDBD" w:sz="0" w:space="0"/>
              <w:right w:val="single" w:color="BDBDBD" w:sz="0" w:space="0"/>
            </w:tcBorders>
            <w:shd w:val="clear" w:color="auto" w:fill="1A237E"/>
            <w:tcMar>
              <w:top w:w="100" w:type="dxa"/>
              <w:left w:w="150" w:type="dxa"/>
              <w:bottom w:w="100" w:type="dxa"/>
              <w:right w:w="150" w:type="dxa"/>
            </w:tcMar>
            <w:vAlign w:val="center"/>
          </w:tcPr>
          <w:p w14:paraId="2ECD02F2">
            <w:pPr>
              <w:jc w:val="center"/>
            </w:pPr>
            <w:r>
              <w:rPr>
                <w:rFonts w:ascii="Arial" w:hAnsi="Arial" w:eastAsia="Arial" w:cs="Arial"/>
                <w:b/>
                <w:bCs/>
                <w:color w:val="FFFFFF"/>
                <w:sz w:val="20"/>
                <w:szCs w:val="20"/>
              </w:rPr>
              <w:t>Aspect</w:t>
            </w:r>
          </w:p>
        </w:tc>
        <w:tc>
          <w:tcPr>
            <w:tcW w:w="5860" w:type="dxa"/>
            <w:tcBorders>
              <w:top w:val="single" w:color="BDBDBD" w:sz="0" w:space="0"/>
              <w:left w:val="single" w:color="BDBDBD" w:sz="0" w:space="0"/>
              <w:bottom w:val="single" w:color="BDBDBD" w:sz="0" w:space="0"/>
              <w:right w:val="single" w:color="BDBDBD" w:sz="0" w:space="0"/>
            </w:tcBorders>
            <w:shd w:val="clear" w:color="auto" w:fill="1A237E"/>
            <w:tcMar>
              <w:top w:w="100" w:type="dxa"/>
              <w:left w:w="150" w:type="dxa"/>
              <w:bottom w:w="100" w:type="dxa"/>
              <w:right w:w="150" w:type="dxa"/>
            </w:tcMar>
            <w:vAlign w:val="center"/>
          </w:tcPr>
          <w:p w14:paraId="7FA14C73">
            <w:pPr>
              <w:jc w:val="center"/>
            </w:pPr>
            <w:r>
              <w:rPr>
                <w:rFonts w:ascii="Arial" w:hAnsi="Arial" w:eastAsia="Arial" w:cs="Arial"/>
                <w:b/>
                <w:bCs/>
                <w:color w:val="FFFFFF"/>
                <w:sz w:val="20"/>
                <w:szCs w:val="20"/>
              </w:rPr>
              <w:t>Details</w:t>
            </w:r>
          </w:p>
        </w:tc>
      </w:tr>
      <w:tr w14:paraId="3AD0B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0E35ADD6">
            <w:pPr>
              <w:jc w:val="left"/>
            </w:pPr>
            <w:r>
              <w:rPr>
                <w:rFonts w:ascii="Arial" w:hAnsi="Arial" w:eastAsia="Arial" w:cs="Arial"/>
                <w:b/>
                <w:bCs/>
                <w:color w:val="212121"/>
                <w:sz w:val="19"/>
                <w:szCs w:val="19"/>
              </w:rPr>
              <w:t>Project Title</w:t>
            </w:r>
          </w:p>
        </w:tc>
        <w:tc>
          <w:tcPr>
            <w:tcW w:w="58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3BBFE30D">
            <w:pPr>
              <w:jc w:val="left"/>
            </w:pPr>
            <w:r>
              <w:rPr>
                <w:rFonts w:ascii="Arial" w:hAnsi="Arial" w:eastAsia="Arial" w:cs="Arial"/>
                <w:b w:val="0"/>
                <w:bCs w:val="0"/>
                <w:color w:val="212121"/>
                <w:sz w:val="19"/>
                <w:szCs w:val="19"/>
              </w:rPr>
              <w:t>E-Commerce Sales Analytics and Interactive Business Intelligence Visualization System</w:t>
            </w:r>
          </w:p>
        </w:tc>
      </w:tr>
      <w:tr w14:paraId="1C9C4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3A38B5D2">
            <w:pPr>
              <w:jc w:val="left"/>
            </w:pPr>
            <w:r>
              <w:rPr>
                <w:rFonts w:ascii="Arial" w:hAnsi="Arial" w:eastAsia="Arial" w:cs="Arial"/>
                <w:b/>
                <w:bCs/>
                <w:color w:val="212121"/>
                <w:sz w:val="19"/>
                <w:szCs w:val="19"/>
              </w:rPr>
              <w:t>Data Scope</w:t>
            </w:r>
          </w:p>
        </w:tc>
        <w:tc>
          <w:tcPr>
            <w:tcW w:w="58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2E0A4922">
            <w:pPr>
              <w:jc w:val="left"/>
            </w:pPr>
            <w:r>
              <w:rPr>
                <w:rFonts w:ascii="Arial" w:hAnsi="Arial" w:eastAsia="Arial" w:cs="Arial"/>
                <w:b w:val="0"/>
                <w:bCs w:val="0"/>
                <w:color w:val="212121"/>
                <w:sz w:val="19"/>
                <w:szCs w:val="19"/>
              </w:rPr>
              <w:t>500 orders, 1,501 detail records, Jan–Dec 2018, 19 Indian states</w:t>
            </w:r>
          </w:p>
        </w:tc>
      </w:tr>
      <w:tr w14:paraId="2F32F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53BC8AE7">
            <w:pPr>
              <w:jc w:val="left"/>
            </w:pPr>
            <w:r>
              <w:rPr>
                <w:rFonts w:ascii="Arial" w:hAnsi="Arial" w:eastAsia="Arial" w:cs="Arial"/>
                <w:b/>
                <w:bCs/>
                <w:color w:val="212121"/>
                <w:sz w:val="19"/>
                <w:szCs w:val="19"/>
              </w:rPr>
              <w:t>Technology Stack</w:t>
            </w:r>
          </w:p>
        </w:tc>
        <w:tc>
          <w:tcPr>
            <w:tcW w:w="58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494E8EFE">
            <w:pPr>
              <w:jc w:val="left"/>
            </w:pPr>
            <w:r>
              <w:rPr>
                <w:rFonts w:ascii="Arial" w:hAnsi="Arial" w:eastAsia="Arial" w:cs="Arial"/>
                <w:b w:val="0"/>
                <w:bCs w:val="0"/>
                <w:color w:val="212121"/>
                <w:sz w:val="19"/>
                <w:szCs w:val="19"/>
              </w:rPr>
              <w:t>Microsoft Power BI, PostgreSQL, Python/Pandas, DAX, SQL, Bing Maps</w:t>
            </w:r>
          </w:p>
        </w:tc>
      </w:tr>
      <w:tr w14:paraId="4FE4D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109BDFAA">
            <w:pPr>
              <w:jc w:val="left"/>
            </w:pPr>
            <w:r>
              <w:rPr>
                <w:rFonts w:ascii="Arial" w:hAnsi="Arial" w:eastAsia="Arial" w:cs="Arial"/>
                <w:b/>
                <w:bCs/>
                <w:color w:val="212121"/>
                <w:sz w:val="19"/>
                <w:szCs w:val="19"/>
              </w:rPr>
              <w:t>Database Tables</w:t>
            </w:r>
          </w:p>
        </w:tc>
        <w:tc>
          <w:tcPr>
            <w:tcW w:w="58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65C4E581">
            <w:pPr>
              <w:jc w:val="left"/>
            </w:pPr>
            <w:r>
              <w:rPr>
                <w:rFonts w:ascii="Arial" w:hAnsi="Arial" w:eastAsia="Arial" w:cs="Arial"/>
                <w:b w:val="0"/>
                <w:bCs w:val="0"/>
                <w:color w:val="212121"/>
                <w:sz w:val="19"/>
                <w:szCs w:val="19"/>
              </w:rPr>
              <w:t>6 normalized tables (3NF OLTP) + 5 Star Schema tables (OLAP)</w:t>
            </w:r>
          </w:p>
        </w:tc>
      </w:tr>
      <w:tr w14:paraId="2AE86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318BB513">
            <w:pPr>
              <w:jc w:val="left"/>
            </w:pPr>
            <w:r>
              <w:rPr>
                <w:rFonts w:ascii="Arial" w:hAnsi="Arial" w:eastAsia="Arial" w:cs="Arial"/>
                <w:b/>
                <w:bCs/>
                <w:color w:val="212121"/>
                <w:sz w:val="19"/>
                <w:szCs w:val="19"/>
              </w:rPr>
              <w:t>Dashboard Visualizations</w:t>
            </w:r>
          </w:p>
        </w:tc>
        <w:tc>
          <w:tcPr>
            <w:tcW w:w="58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495030FA">
            <w:pPr>
              <w:jc w:val="left"/>
            </w:pPr>
            <w:r>
              <w:rPr>
                <w:rFonts w:ascii="Arial" w:hAnsi="Arial" w:eastAsia="Arial" w:cs="Arial"/>
                <w:b w:val="0"/>
                <w:bCs w:val="0"/>
                <w:color w:val="212121"/>
                <w:sz w:val="19"/>
                <w:szCs w:val="19"/>
              </w:rPr>
              <w:t>4 KPI cards + 7 analytical charts (bars, donuts, map, time series)</w:t>
            </w:r>
          </w:p>
        </w:tc>
      </w:tr>
      <w:tr w14:paraId="1ECDB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74BDC275">
            <w:pPr>
              <w:jc w:val="left"/>
            </w:pPr>
            <w:r>
              <w:rPr>
                <w:rFonts w:ascii="Arial" w:hAnsi="Arial" w:eastAsia="Arial" w:cs="Arial"/>
                <w:b/>
                <w:bCs/>
                <w:color w:val="212121"/>
                <w:sz w:val="19"/>
                <w:szCs w:val="19"/>
              </w:rPr>
              <w:t>Total Revenue Analyzed</w:t>
            </w:r>
          </w:p>
        </w:tc>
        <w:tc>
          <w:tcPr>
            <w:tcW w:w="58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0D31A7C2">
            <w:pPr>
              <w:jc w:val="left"/>
            </w:pPr>
            <w:r>
              <w:rPr>
                <w:rFonts w:ascii="Arial" w:hAnsi="Arial" w:eastAsia="Arial" w:cs="Arial"/>
                <w:b w:val="0"/>
                <w:bCs w:val="0"/>
                <w:color w:val="212121"/>
                <w:sz w:val="19"/>
                <w:szCs w:val="19"/>
              </w:rPr>
              <w:t>INR 4,38,000 with INR 37,000 net profit margin (8.45%)</w:t>
            </w:r>
          </w:p>
        </w:tc>
      </w:tr>
      <w:tr w14:paraId="790D7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22A73F29">
            <w:pPr>
              <w:jc w:val="left"/>
            </w:pPr>
            <w:r>
              <w:rPr>
                <w:rFonts w:ascii="Arial" w:hAnsi="Arial" w:eastAsia="Arial" w:cs="Arial"/>
                <w:b/>
                <w:bCs/>
                <w:color w:val="212121"/>
                <w:sz w:val="19"/>
                <w:szCs w:val="19"/>
              </w:rPr>
              <w:t>Key Finding</w:t>
            </w:r>
          </w:p>
        </w:tc>
        <w:tc>
          <w:tcPr>
            <w:tcW w:w="58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1E25935F">
            <w:pPr>
              <w:jc w:val="left"/>
            </w:pPr>
            <w:r>
              <w:rPr>
                <w:rFonts w:ascii="Arial" w:hAnsi="Arial" w:eastAsia="Arial" w:cs="Arial"/>
                <w:b w:val="0"/>
                <w:bCs w:val="0"/>
                <w:color w:val="212121"/>
                <w:sz w:val="19"/>
                <w:szCs w:val="19"/>
              </w:rPr>
              <w:t>Maharashtra &amp; MP lead revenue; Printers top profit; COD dominates 44% of transactions</w:t>
            </w:r>
          </w:p>
        </w:tc>
      </w:tr>
    </w:tbl>
    <w:p w14:paraId="6EDBD046">
      <w:r>
        <w:br w:type="page"/>
      </w:r>
    </w:p>
    <w:p w14:paraId="30C6537C">
      <w:pPr>
        <w:pStyle w:val="2"/>
        <w:pBdr>
          <w:bottom w:val="single" w:color="1565C0" w:sz="8" w:space="4"/>
        </w:pBdr>
        <w:spacing w:before="360" w:after="200"/>
      </w:pPr>
      <w:bookmarkStart w:id="87" w:name="_Toc8759"/>
      <w:r>
        <w:rPr>
          <w:rFonts w:ascii="Arial" w:hAnsi="Arial" w:eastAsia="Arial" w:cs="Arial"/>
          <w:b/>
          <w:bCs/>
          <w:color w:val="1A237E"/>
          <w:sz w:val="36"/>
          <w:szCs w:val="36"/>
        </w:rPr>
        <w:t>References</w:t>
      </w:r>
      <w:bookmarkEnd w:id="87"/>
    </w:p>
    <w:p w14:paraId="65BFD55B">
      <w:pPr>
        <w:spacing w:before="80" w:after="120" w:line="360" w:lineRule="auto"/>
        <w:jc w:val="both"/>
      </w:pPr>
      <w:r>
        <w:rPr>
          <w:rFonts w:ascii="Arial" w:hAnsi="Arial" w:eastAsia="Arial" w:cs="Arial"/>
          <w:b w:val="0"/>
          <w:bCs w:val="0"/>
          <w:i w:val="0"/>
          <w:iCs w:val="0"/>
          <w:color w:val="212121"/>
          <w:sz w:val="22"/>
          <w:szCs w:val="22"/>
        </w:rPr>
        <w:t>The following references were consulted in the development of this project:</w:t>
      </w:r>
    </w:p>
    <w:p w14:paraId="00B149D9">
      <w:pPr>
        <w:spacing w:before="60" w:after="60"/>
      </w:pPr>
    </w:p>
    <w:p w14:paraId="543A52E6">
      <w:pPr>
        <w:pStyle w:val="20"/>
        <w:numPr>
          <w:ilvl w:val="0"/>
          <w:numId w:val="3"/>
        </w:numPr>
        <w:spacing w:before="60" w:after="60" w:line="320" w:lineRule="auto"/>
      </w:pPr>
      <w:r>
        <w:rPr>
          <w:rFonts w:ascii="Arial" w:hAnsi="Arial" w:eastAsia="Arial" w:cs="Arial"/>
          <w:color w:val="212121"/>
          <w:sz w:val="22"/>
          <w:szCs w:val="22"/>
        </w:rPr>
        <w:t>[1] Kimball, R., &amp; Ross, M. (2013). The Data Warehouse Toolkit: The Definitive Guide to Dimensional Modeling (3rd ed.). John Wiley &amp; Sons.</w:t>
      </w:r>
    </w:p>
    <w:p w14:paraId="74917624">
      <w:pPr>
        <w:pStyle w:val="20"/>
        <w:numPr>
          <w:ilvl w:val="0"/>
          <w:numId w:val="3"/>
        </w:numPr>
        <w:spacing w:before="60" w:after="60" w:line="320" w:lineRule="auto"/>
      </w:pPr>
      <w:r>
        <w:rPr>
          <w:rFonts w:ascii="Arial" w:hAnsi="Arial" w:eastAsia="Arial" w:cs="Arial"/>
          <w:color w:val="212121"/>
          <w:sz w:val="22"/>
          <w:szCs w:val="22"/>
        </w:rPr>
        <w:t>[2] Inmon, W.H. (2005). Building the Data Warehouse (4th ed.). John Wiley &amp; Sons.</w:t>
      </w:r>
    </w:p>
    <w:p w14:paraId="189358F4">
      <w:pPr>
        <w:pStyle w:val="20"/>
        <w:numPr>
          <w:ilvl w:val="0"/>
          <w:numId w:val="3"/>
        </w:numPr>
        <w:spacing w:before="60" w:after="60" w:line="320" w:lineRule="auto"/>
      </w:pPr>
      <w:r>
        <w:rPr>
          <w:rFonts w:ascii="Arial" w:hAnsi="Arial" w:eastAsia="Arial" w:cs="Arial"/>
          <w:color w:val="212121"/>
          <w:sz w:val="22"/>
          <w:szCs w:val="22"/>
        </w:rPr>
        <w:t>[3] Han, J., Kamber, M., &amp; Pei, J. (2011). Data Mining: Concepts and Techniques (3rd ed.). Morgan Kaufmann.</w:t>
      </w:r>
    </w:p>
    <w:p w14:paraId="6D667249">
      <w:pPr>
        <w:pStyle w:val="20"/>
        <w:numPr>
          <w:ilvl w:val="0"/>
          <w:numId w:val="3"/>
        </w:numPr>
        <w:spacing w:before="60" w:after="60" w:line="320" w:lineRule="auto"/>
      </w:pPr>
      <w:r>
        <w:rPr>
          <w:rFonts w:ascii="Arial" w:hAnsi="Arial" w:eastAsia="Arial" w:cs="Arial"/>
          <w:color w:val="212121"/>
          <w:sz w:val="22"/>
          <w:szCs w:val="22"/>
        </w:rPr>
        <w:t>[4] Chen, H., Chiang, R.H.L., &amp; Storey, V.C. (2012). Business Intelligence and Analytics: From Big Data to Big Impact. MIS Quarterly, 36(4), 1165-1188.</w:t>
      </w:r>
    </w:p>
    <w:p w14:paraId="440651BD">
      <w:pPr>
        <w:pStyle w:val="20"/>
        <w:numPr>
          <w:ilvl w:val="0"/>
          <w:numId w:val="3"/>
        </w:numPr>
        <w:spacing w:before="60" w:after="60" w:line="320" w:lineRule="auto"/>
      </w:pPr>
      <w:r>
        <w:rPr>
          <w:rFonts w:ascii="Arial" w:hAnsi="Arial" w:eastAsia="Arial" w:cs="Arial"/>
          <w:color w:val="212121"/>
          <w:sz w:val="22"/>
          <w:szCs w:val="22"/>
        </w:rPr>
        <w:t>[5] Microsoft Documentation. (2024). Power BI Documentation. https://docs.microsoft.com/en-us/power-bi/</w:t>
      </w:r>
    </w:p>
    <w:p w14:paraId="715AAE18">
      <w:pPr>
        <w:pStyle w:val="20"/>
        <w:numPr>
          <w:ilvl w:val="0"/>
          <w:numId w:val="3"/>
        </w:numPr>
        <w:spacing w:before="60" w:after="60" w:line="320" w:lineRule="auto"/>
      </w:pPr>
      <w:r>
        <w:rPr>
          <w:rFonts w:ascii="Arial" w:hAnsi="Arial" w:eastAsia="Arial" w:cs="Arial"/>
          <w:color w:val="212121"/>
          <w:sz w:val="22"/>
          <w:szCs w:val="22"/>
        </w:rPr>
        <w:t>[6] Sharma, R., &amp; Gupta, A. (2020). Payment Mode Preferences in Indian E-Commerce: A Regional Analysis. Journal of Business and Retail Management Research, 14(3), 45-59.</w:t>
      </w:r>
    </w:p>
    <w:p w14:paraId="519E594C">
      <w:pPr>
        <w:pStyle w:val="20"/>
        <w:numPr>
          <w:ilvl w:val="0"/>
          <w:numId w:val="3"/>
        </w:numPr>
        <w:spacing w:before="60" w:after="60" w:line="320" w:lineRule="auto"/>
      </w:pPr>
      <w:r>
        <w:rPr>
          <w:rFonts w:ascii="Arial" w:hAnsi="Arial" w:eastAsia="Arial" w:cs="Arial"/>
          <w:color w:val="212121"/>
          <w:sz w:val="22"/>
          <w:szCs w:val="22"/>
        </w:rPr>
        <w:t>[7] Dresner, H. (1989). Business Intelligence: A Concept Introduced by Gartner Research. Gartner Research Note.</w:t>
      </w:r>
    </w:p>
    <w:p w14:paraId="14863185">
      <w:pPr>
        <w:pStyle w:val="20"/>
        <w:numPr>
          <w:ilvl w:val="0"/>
          <w:numId w:val="3"/>
        </w:numPr>
        <w:spacing w:before="60" w:after="60" w:line="320" w:lineRule="auto"/>
      </w:pPr>
      <w:r>
        <w:rPr>
          <w:rFonts w:ascii="Arial" w:hAnsi="Arial" w:eastAsia="Arial" w:cs="Arial"/>
          <w:color w:val="212121"/>
          <w:sz w:val="22"/>
          <w:szCs w:val="22"/>
        </w:rPr>
        <w:t>[8] Gartner Inc. (2023). Magic Quadrant for Analytics and Business Intelligence Platforms. Gartner Research.</w:t>
      </w:r>
    </w:p>
    <w:p w14:paraId="192449CA">
      <w:pPr>
        <w:pStyle w:val="20"/>
        <w:numPr>
          <w:ilvl w:val="0"/>
          <w:numId w:val="3"/>
        </w:numPr>
        <w:spacing w:before="60" w:after="60" w:line="320" w:lineRule="auto"/>
      </w:pPr>
      <w:r>
        <w:rPr>
          <w:rFonts w:ascii="Arial" w:hAnsi="Arial" w:eastAsia="Arial" w:cs="Arial"/>
          <w:color w:val="212121"/>
          <w:sz w:val="22"/>
          <w:szCs w:val="22"/>
        </w:rPr>
        <w:t>[9] FICCI-KPMG. (2021). Indian E-Commerce: Tier II and III City Growth Report. Federation of Indian Chambers of Commerce and Industry.</w:t>
      </w:r>
    </w:p>
    <w:p w14:paraId="45BB9C6F">
      <w:pPr>
        <w:pStyle w:val="20"/>
        <w:numPr>
          <w:ilvl w:val="0"/>
          <w:numId w:val="3"/>
        </w:numPr>
        <w:spacing w:before="60" w:after="60" w:line="320" w:lineRule="auto"/>
      </w:pPr>
      <w:r>
        <w:rPr>
          <w:rFonts w:ascii="Arial" w:hAnsi="Arial" w:eastAsia="Arial" w:cs="Arial"/>
          <w:color w:val="212121"/>
          <w:sz w:val="22"/>
          <w:szCs w:val="22"/>
        </w:rPr>
        <w:t>[10] PostgreSQL Global Development Group. (2024). PostgreSQL 15 Documentation. https://www.postgresql.org/docs/15/</w:t>
      </w:r>
    </w:p>
    <w:p w14:paraId="0D843390">
      <w:pPr>
        <w:pStyle w:val="20"/>
        <w:numPr>
          <w:ilvl w:val="0"/>
          <w:numId w:val="3"/>
        </w:numPr>
        <w:spacing w:before="60" w:after="60" w:line="320" w:lineRule="auto"/>
      </w:pPr>
      <w:r>
        <w:rPr>
          <w:rFonts w:ascii="Arial" w:hAnsi="Arial" w:eastAsia="Arial" w:cs="Arial"/>
          <w:color w:val="212121"/>
          <w:sz w:val="22"/>
          <w:szCs w:val="22"/>
        </w:rPr>
        <w:t>[11] McKinsey &amp; Company. (2019). The Analytics-Driven Retail Enterprise. McKinsey Global Institute.</w:t>
      </w:r>
    </w:p>
    <w:p w14:paraId="0BEAE4E5">
      <w:pPr>
        <w:pStyle w:val="20"/>
        <w:numPr>
          <w:ilvl w:val="0"/>
          <w:numId w:val="3"/>
        </w:numPr>
        <w:spacing w:before="60" w:after="60" w:line="320" w:lineRule="auto"/>
      </w:pPr>
      <w:r>
        <w:rPr>
          <w:rFonts w:ascii="Arial" w:hAnsi="Arial" w:eastAsia="Arial" w:cs="Arial"/>
          <w:color w:val="212121"/>
          <w:sz w:val="22"/>
          <w:szCs w:val="22"/>
        </w:rPr>
        <w:t>[12] Aggarwal, P., Singh, M., &amp; Kaur, H. (2021). Seasonal Demand Patterns in Indian E-Commerce: A Data-Driven Study. International Journal of Electronic Commerce Studies, 12(2), 88-105.</w:t>
      </w:r>
    </w:p>
    <w:p w14:paraId="552BE85D">
      <w:pPr>
        <w:pStyle w:val="20"/>
        <w:numPr>
          <w:ilvl w:val="0"/>
          <w:numId w:val="3"/>
        </w:numPr>
        <w:spacing w:before="60" w:after="60" w:line="320" w:lineRule="auto"/>
      </w:pPr>
      <w:r>
        <w:rPr>
          <w:rFonts w:ascii="Arial" w:hAnsi="Arial" w:eastAsia="Arial" w:cs="Arial"/>
          <w:color w:val="212121"/>
          <w:sz w:val="22"/>
          <w:szCs w:val="22"/>
        </w:rPr>
        <w:t>[13] Lim, E.P., Chen, H., &amp; Chen, G. (2014). Business Intelligence and Analytics: Research Directions. ACM Transactions on Management Information Systems, 3(4), 1-10.</w:t>
      </w:r>
    </w:p>
    <w:p w14:paraId="26A13682">
      <w:pPr>
        <w:pStyle w:val="20"/>
        <w:numPr>
          <w:ilvl w:val="0"/>
          <w:numId w:val="3"/>
        </w:numPr>
        <w:spacing w:before="60" w:after="60" w:line="320" w:lineRule="auto"/>
      </w:pPr>
      <w:r>
        <w:rPr>
          <w:rFonts w:ascii="Arial" w:hAnsi="Arial" w:eastAsia="Arial" w:cs="Arial"/>
          <w:color w:val="212121"/>
          <w:sz w:val="22"/>
          <w:szCs w:val="22"/>
        </w:rPr>
        <w:t>[14] McKinney, W. (2022). Python for Data Analysis: Data Wrangling with Pandas, NumPy, and IPython (3rd ed.). O'Reilly Media.</w:t>
      </w:r>
    </w:p>
    <w:p w14:paraId="6AA64466">
      <w:pPr>
        <w:pStyle w:val="20"/>
        <w:numPr>
          <w:ilvl w:val="0"/>
          <w:numId w:val="3"/>
        </w:numPr>
        <w:spacing w:before="60" w:after="60" w:line="320" w:lineRule="auto"/>
      </w:pPr>
      <w:r>
        <w:rPr>
          <w:rFonts w:ascii="Arial" w:hAnsi="Arial" w:eastAsia="Arial" w:cs="Arial"/>
          <w:color w:val="212121"/>
          <w:sz w:val="22"/>
          <w:szCs w:val="22"/>
        </w:rPr>
        <w:t>[15] Linstedt, D., &amp; Olschimke, M. (2015). Building a Scalable Data Warehouse with Data Vault 2.0. Morgan Kaufmann.</w:t>
      </w:r>
    </w:p>
    <w:p w14:paraId="4B95AABA">
      <w:r>
        <w:br w:type="page"/>
      </w:r>
    </w:p>
    <w:p w14:paraId="46E28B74">
      <w:pPr>
        <w:pStyle w:val="2"/>
        <w:pBdr>
          <w:bottom w:val="single" w:color="1565C0" w:sz="8" w:space="4"/>
        </w:pBdr>
        <w:spacing w:before="360" w:after="200"/>
      </w:pPr>
      <w:bookmarkStart w:id="88" w:name="_Toc30674"/>
      <w:r>
        <w:rPr>
          <w:rFonts w:ascii="Arial" w:hAnsi="Arial" w:eastAsia="Arial" w:cs="Arial"/>
          <w:b/>
          <w:bCs/>
          <w:color w:val="1A237E"/>
          <w:sz w:val="36"/>
          <w:szCs w:val="36"/>
        </w:rPr>
        <w:t>Appendix</w:t>
      </w:r>
      <w:bookmarkEnd w:id="88"/>
    </w:p>
    <w:p w14:paraId="769412B2">
      <w:pPr>
        <w:pStyle w:val="3"/>
        <w:spacing w:before="280" w:after="160"/>
      </w:pPr>
      <w:bookmarkStart w:id="89" w:name="_Toc5622"/>
      <w:r>
        <w:rPr>
          <w:rFonts w:ascii="Arial" w:hAnsi="Arial" w:eastAsia="Arial" w:cs="Arial"/>
          <w:b/>
          <w:bCs/>
          <w:color w:val="1565C0"/>
          <w:sz w:val="28"/>
          <w:szCs w:val="28"/>
        </w:rPr>
        <w:t>Appendix A: SQL Schema Definition</w:t>
      </w:r>
      <w:bookmarkEnd w:id="89"/>
    </w:p>
    <w:p w14:paraId="3D56F633">
      <w:pPr>
        <w:spacing w:before="80" w:after="120" w:line="360" w:lineRule="auto"/>
        <w:jc w:val="both"/>
      </w:pPr>
      <w:r>
        <w:rPr>
          <w:rFonts w:ascii="Arial" w:hAnsi="Arial" w:eastAsia="Arial" w:cs="Arial"/>
          <w:b w:val="0"/>
          <w:bCs w:val="0"/>
          <w:i w:val="0"/>
          <w:iCs w:val="0"/>
          <w:color w:val="212121"/>
          <w:sz w:val="22"/>
          <w:szCs w:val="22"/>
        </w:rPr>
        <w:t>The following SQL code defines the complete relational database schema for the e-commerce analytics system: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A552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DBDBD" w:sz="0" w:space="0"/>
              <w:left w:val="single" w:color="BDBDBD" w:sz="0" w:space="0"/>
              <w:bottom w:val="single" w:color="BDBDBD" w:sz="0" w:space="0"/>
              <w:right w:val="single" w:color="BDBDBD" w:sz="0" w:space="0"/>
            </w:tcBorders>
            <w:shd w:val="clear" w:color="auto" w:fill="1A1A2E"/>
            <w:tcMar>
              <w:top w:w="150" w:type="dxa"/>
              <w:left w:w="200" w:type="dxa"/>
              <w:bottom w:w="150" w:type="dxa"/>
              <w:right w:w="200" w:type="dxa"/>
            </w:tcMar>
          </w:tcPr>
          <w:p w14:paraId="6A6D49F8">
            <w:r>
              <w:rPr>
                <w:rFonts w:ascii="Courier New" w:hAnsi="Courier New" w:eastAsia="Courier New" w:cs="Courier New"/>
                <w:color w:val="6BCB77"/>
                <w:sz w:val="18"/>
                <w:szCs w:val="18"/>
              </w:rPr>
              <w:t>-- 1. Create Customers Table</w:t>
            </w:r>
          </w:p>
          <w:p w14:paraId="7CF12A44">
            <w:r>
              <w:rPr>
                <w:rFonts w:ascii="Courier New" w:hAnsi="Courier New" w:eastAsia="Courier New" w:cs="Courier New"/>
                <w:color w:val="FFFFFF"/>
                <w:sz w:val="18"/>
                <w:szCs w:val="18"/>
              </w:rPr>
              <w:t>CREATE TABLE Customers (</w:t>
            </w:r>
          </w:p>
          <w:p w14:paraId="79E5EDAB">
            <w:r>
              <w:rPr>
                <w:rFonts w:ascii="Courier New" w:hAnsi="Courier New" w:eastAsia="Courier New" w:cs="Courier New"/>
                <w:color w:val="FFFFFF"/>
                <w:sz w:val="18"/>
                <w:szCs w:val="18"/>
              </w:rPr>
              <w:t xml:space="preserve">    CustomerID SERIAL PRIMARY KEY,</w:t>
            </w:r>
          </w:p>
          <w:p w14:paraId="3AB45E54">
            <w:r>
              <w:rPr>
                <w:rFonts w:ascii="Courier New" w:hAnsi="Courier New" w:eastAsia="Courier New" w:cs="Courier New"/>
                <w:color w:val="FFFFFF"/>
                <w:sz w:val="18"/>
                <w:szCs w:val="18"/>
              </w:rPr>
              <w:t xml:space="preserve">    CustomerName VARCHAR(100) NOT NULL,</w:t>
            </w:r>
          </w:p>
          <w:p w14:paraId="1AA30588">
            <w:r>
              <w:rPr>
                <w:rFonts w:ascii="Courier New" w:hAnsi="Courier New" w:eastAsia="Courier New" w:cs="Courier New"/>
                <w:color w:val="FFFFFF"/>
                <w:sz w:val="18"/>
                <w:szCs w:val="18"/>
              </w:rPr>
              <w:t xml:space="preserve">    City VARCHAR(50), State VARCHAR(50)</w:t>
            </w:r>
          </w:p>
          <w:p w14:paraId="2C6139E1">
            <w:r>
              <w:rPr>
                <w:rFonts w:ascii="Courier New" w:hAnsi="Courier New" w:eastAsia="Courier New" w:cs="Courier New"/>
                <w:color w:val="FFFFFF"/>
                <w:sz w:val="18"/>
                <w:szCs w:val="18"/>
              </w:rPr>
              <w:t>);</w:t>
            </w:r>
          </w:p>
          <w:p w14:paraId="07EDA5C0">
            <w:r>
              <w:rPr>
                <w:rFonts w:ascii="Courier New" w:hAnsi="Courier New" w:eastAsia="Courier New" w:cs="Courier New"/>
                <w:color w:val="6BCB77"/>
                <w:sz w:val="18"/>
                <w:szCs w:val="18"/>
              </w:rPr>
              <w:t>-- 2. Create Orders Table</w:t>
            </w:r>
          </w:p>
          <w:p w14:paraId="30496F97">
            <w:r>
              <w:rPr>
                <w:rFonts w:ascii="Courier New" w:hAnsi="Courier New" w:eastAsia="Courier New" w:cs="Courier New"/>
                <w:color w:val="FFFFFF"/>
                <w:sz w:val="18"/>
                <w:szCs w:val="18"/>
              </w:rPr>
              <w:t>CREATE TABLE Orders (</w:t>
            </w:r>
          </w:p>
          <w:p w14:paraId="270CA7AE">
            <w:r>
              <w:rPr>
                <w:rFonts w:ascii="Courier New" w:hAnsi="Courier New" w:eastAsia="Courier New" w:cs="Courier New"/>
                <w:color w:val="FFFFFF"/>
                <w:sz w:val="18"/>
                <w:szCs w:val="18"/>
              </w:rPr>
              <w:t xml:space="preserve">    OrderID VARCHAR(20) PRIMARY KEY,</w:t>
            </w:r>
          </w:p>
          <w:p w14:paraId="21879D08">
            <w:r>
              <w:rPr>
                <w:rFonts w:ascii="Courier New" w:hAnsi="Courier New" w:eastAsia="Courier New" w:cs="Courier New"/>
                <w:color w:val="FFFFFF"/>
                <w:sz w:val="18"/>
                <w:szCs w:val="18"/>
              </w:rPr>
              <w:t xml:space="preserve">    OrderDate DATE NOT NULL,</w:t>
            </w:r>
          </w:p>
          <w:p w14:paraId="7D3D716A">
            <w:r>
              <w:rPr>
                <w:rFonts w:ascii="Courier New" w:hAnsi="Courier New" w:eastAsia="Courier New" w:cs="Courier New"/>
                <w:color w:val="FFFFFF"/>
                <w:sz w:val="18"/>
                <w:szCs w:val="18"/>
              </w:rPr>
              <w:t xml:space="preserve">    CustomerID INT NOT NULL,</w:t>
            </w:r>
          </w:p>
          <w:p w14:paraId="79456799">
            <w:r>
              <w:rPr>
                <w:rFonts w:ascii="Courier New" w:hAnsi="Courier New" w:eastAsia="Courier New" w:cs="Courier New"/>
                <w:color w:val="FFFFFF"/>
                <w:sz w:val="18"/>
                <w:szCs w:val="18"/>
              </w:rPr>
              <w:t xml:space="preserve">    FOREIGN KEY (CustomerID) REFERENCES Customers(CustomerID)</w:t>
            </w:r>
          </w:p>
          <w:p w14:paraId="74933644">
            <w:r>
              <w:rPr>
                <w:rFonts w:ascii="Courier New" w:hAnsi="Courier New" w:eastAsia="Courier New" w:cs="Courier New"/>
                <w:color w:val="FFFFFF"/>
                <w:sz w:val="18"/>
                <w:szCs w:val="18"/>
              </w:rPr>
              <w:t>);</w:t>
            </w:r>
          </w:p>
          <w:p w14:paraId="4A0C8E62">
            <w:r>
              <w:rPr>
                <w:rFonts w:ascii="Courier New" w:hAnsi="Courier New" w:eastAsia="Courier New" w:cs="Courier New"/>
                <w:color w:val="6BCB77"/>
                <w:sz w:val="18"/>
                <w:szCs w:val="18"/>
              </w:rPr>
              <w:t>-- 3. Create OrderDetails Table</w:t>
            </w:r>
          </w:p>
          <w:p w14:paraId="00C99BEA">
            <w:r>
              <w:rPr>
                <w:rFonts w:ascii="Courier New" w:hAnsi="Courier New" w:eastAsia="Courier New" w:cs="Courier New"/>
                <w:color w:val="FFFFFF"/>
                <w:sz w:val="18"/>
                <w:szCs w:val="18"/>
              </w:rPr>
              <w:t>CREATE TABLE OrderDetails (</w:t>
            </w:r>
          </w:p>
          <w:p w14:paraId="1591874B">
            <w:r>
              <w:rPr>
                <w:rFonts w:ascii="Courier New" w:hAnsi="Courier New" w:eastAsia="Courier New" w:cs="Courier New"/>
                <w:color w:val="FFFFFF"/>
                <w:sz w:val="18"/>
                <w:szCs w:val="18"/>
              </w:rPr>
              <w:t xml:space="preserve">    RecordID SERIAL PRIMARY KEY,</w:t>
            </w:r>
          </w:p>
          <w:p w14:paraId="77ABAB59">
            <w:r>
              <w:rPr>
                <w:rFonts w:ascii="Courier New" w:hAnsi="Courier New" w:eastAsia="Courier New" w:cs="Courier New"/>
                <w:color w:val="FFFFFF"/>
                <w:sz w:val="18"/>
                <w:szCs w:val="18"/>
              </w:rPr>
              <w:t xml:space="preserve">    OrderID VARCHAR(20) NOT NULL,</w:t>
            </w:r>
          </w:p>
          <w:p w14:paraId="44261119">
            <w:r>
              <w:rPr>
                <w:rFonts w:ascii="Courier New" w:hAnsi="Courier New" w:eastAsia="Courier New" w:cs="Courier New"/>
                <w:color w:val="FFFFFF"/>
                <w:sz w:val="18"/>
                <w:szCs w:val="18"/>
              </w:rPr>
              <w:t xml:space="preserve">    SubCategoryID INT NOT NULL,</w:t>
            </w:r>
          </w:p>
          <w:p w14:paraId="3289C8E7">
            <w:r>
              <w:rPr>
                <w:rFonts w:ascii="Courier New" w:hAnsi="Courier New" w:eastAsia="Courier New" w:cs="Courier New"/>
                <w:color w:val="FFFFFF"/>
                <w:sz w:val="18"/>
                <w:szCs w:val="18"/>
              </w:rPr>
              <w:t xml:space="preserve">    PaymentModeID INT NOT NULL,</w:t>
            </w:r>
          </w:p>
          <w:p w14:paraId="3CEAB80B">
            <w:r>
              <w:rPr>
                <w:rFonts w:ascii="Courier New" w:hAnsi="Courier New" w:eastAsia="Courier New" w:cs="Courier New"/>
                <w:color w:val="FFFFFF"/>
                <w:sz w:val="18"/>
                <w:szCs w:val="18"/>
              </w:rPr>
              <w:t xml:space="preserve">    Amount DECIMAL(10,2), Profit DECIMAL(10,2),</w:t>
            </w:r>
          </w:p>
          <w:p w14:paraId="07CC2FB0">
            <w:r>
              <w:rPr>
                <w:rFonts w:ascii="Courier New" w:hAnsi="Courier New" w:eastAsia="Courier New" w:cs="Courier New"/>
                <w:color w:val="FFFFFF"/>
                <w:sz w:val="18"/>
                <w:szCs w:val="18"/>
              </w:rPr>
              <w:t xml:space="preserve">    Quantity INT NOT NULL</w:t>
            </w:r>
          </w:p>
          <w:p w14:paraId="778A238E">
            <w:r>
              <w:rPr>
                <w:rFonts w:ascii="Courier New" w:hAnsi="Courier New" w:eastAsia="Courier New" w:cs="Courier New"/>
                <w:color w:val="FFFFFF"/>
                <w:sz w:val="18"/>
                <w:szCs w:val="18"/>
              </w:rPr>
              <w:t>);</w:t>
            </w:r>
          </w:p>
        </w:tc>
      </w:tr>
    </w:tbl>
    <w:p w14:paraId="58AA8020">
      <w:pPr>
        <w:spacing w:before="60" w:after="60"/>
      </w:pPr>
    </w:p>
    <w:p w14:paraId="0D584A4B">
      <w:pPr>
        <w:pStyle w:val="3"/>
        <w:spacing w:before="280" w:after="160"/>
      </w:pPr>
      <w:bookmarkStart w:id="90" w:name="_Toc8607"/>
      <w:r>
        <w:rPr>
          <w:rFonts w:ascii="Arial" w:hAnsi="Arial" w:eastAsia="Arial" w:cs="Arial"/>
          <w:b/>
          <w:bCs/>
          <w:color w:val="1565C0"/>
          <w:sz w:val="28"/>
          <w:szCs w:val="28"/>
        </w:rPr>
        <w:t>Appendix B: Sub-Category Reference Table</w:t>
      </w:r>
      <w:bookmarkEnd w:id="90"/>
    </w:p>
    <w:p w14:paraId="0542DA64">
      <w:pPr>
        <w:spacing w:before="80" w:after="120" w:line="360" w:lineRule="auto"/>
        <w:jc w:val="both"/>
      </w:pPr>
      <w:r>
        <w:rPr>
          <w:rFonts w:ascii="Arial" w:hAnsi="Arial" w:eastAsia="Arial" w:cs="Arial"/>
          <w:b w:val="0"/>
          <w:bCs w:val="0"/>
          <w:i w:val="0"/>
          <w:iCs w:val="0"/>
          <w:color w:val="212121"/>
          <w:sz w:val="22"/>
          <w:szCs w:val="22"/>
        </w:rPr>
        <w:t>The following table lists all 17 product sub-categories identified in the dataset along with their parent category: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23"/>
        <w:gridCol w:w="3381"/>
        <w:gridCol w:w="3378"/>
        <w:gridCol w:w="1978"/>
      </w:tblGrid>
      <w:tr w14:paraId="37A3A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DBDBD" w:sz="0" w:space="0"/>
              <w:left w:val="single" w:color="BDBDBD" w:sz="0" w:space="0"/>
              <w:bottom w:val="single" w:color="BDBDBD" w:sz="0" w:space="0"/>
              <w:right w:val="single" w:color="BDBDBD" w:sz="0" w:space="0"/>
            </w:tcBorders>
            <w:shd w:val="clear" w:color="auto" w:fill="1A237E"/>
            <w:tcMar>
              <w:top w:w="100" w:type="dxa"/>
              <w:left w:w="150" w:type="dxa"/>
              <w:bottom w:w="100" w:type="dxa"/>
              <w:right w:w="150" w:type="dxa"/>
            </w:tcMar>
            <w:vAlign w:val="center"/>
          </w:tcPr>
          <w:p w14:paraId="282630E5">
            <w:pPr>
              <w:jc w:val="center"/>
            </w:pPr>
            <w:r>
              <w:rPr>
                <w:rFonts w:ascii="Arial" w:hAnsi="Arial" w:eastAsia="Arial" w:cs="Arial"/>
                <w:b/>
                <w:bCs/>
                <w:color w:val="FFFFFF"/>
                <w:sz w:val="20"/>
                <w:szCs w:val="20"/>
              </w:rPr>
              <w:t>No.</w:t>
            </w:r>
          </w:p>
        </w:tc>
        <w:tc>
          <w:tcPr>
            <w:tcW w:w="3430" w:type="dxa"/>
            <w:tcBorders>
              <w:top w:val="single" w:color="BDBDBD" w:sz="0" w:space="0"/>
              <w:left w:val="single" w:color="BDBDBD" w:sz="0" w:space="0"/>
              <w:bottom w:val="single" w:color="BDBDBD" w:sz="0" w:space="0"/>
              <w:right w:val="single" w:color="BDBDBD" w:sz="0" w:space="0"/>
            </w:tcBorders>
            <w:shd w:val="clear" w:color="auto" w:fill="1A237E"/>
            <w:tcMar>
              <w:top w:w="100" w:type="dxa"/>
              <w:left w:w="150" w:type="dxa"/>
              <w:bottom w:w="100" w:type="dxa"/>
              <w:right w:w="150" w:type="dxa"/>
            </w:tcMar>
            <w:vAlign w:val="center"/>
          </w:tcPr>
          <w:p w14:paraId="5CB0253A">
            <w:pPr>
              <w:jc w:val="center"/>
            </w:pPr>
            <w:r>
              <w:rPr>
                <w:rFonts w:ascii="Arial" w:hAnsi="Arial" w:eastAsia="Arial" w:cs="Arial"/>
                <w:b/>
                <w:bCs/>
                <w:color w:val="FFFFFF"/>
                <w:sz w:val="20"/>
                <w:szCs w:val="20"/>
              </w:rPr>
              <w:t>Sub-Category</w:t>
            </w:r>
          </w:p>
        </w:tc>
        <w:tc>
          <w:tcPr>
            <w:tcW w:w="3430" w:type="dxa"/>
            <w:tcBorders>
              <w:top w:val="single" w:color="BDBDBD" w:sz="0" w:space="0"/>
              <w:left w:val="single" w:color="BDBDBD" w:sz="0" w:space="0"/>
              <w:bottom w:val="single" w:color="BDBDBD" w:sz="0" w:space="0"/>
              <w:right w:val="single" w:color="BDBDBD" w:sz="0" w:space="0"/>
            </w:tcBorders>
            <w:shd w:val="clear" w:color="auto" w:fill="1A237E"/>
            <w:tcMar>
              <w:top w:w="100" w:type="dxa"/>
              <w:left w:w="150" w:type="dxa"/>
              <w:bottom w:w="100" w:type="dxa"/>
              <w:right w:w="150" w:type="dxa"/>
            </w:tcMar>
            <w:vAlign w:val="center"/>
          </w:tcPr>
          <w:p w14:paraId="210FBD62">
            <w:pPr>
              <w:jc w:val="center"/>
            </w:pPr>
            <w:r>
              <w:rPr>
                <w:rFonts w:ascii="Arial" w:hAnsi="Arial" w:eastAsia="Arial" w:cs="Arial"/>
                <w:b/>
                <w:bCs/>
                <w:color w:val="FFFFFF"/>
                <w:sz w:val="20"/>
                <w:szCs w:val="20"/>
              </w:rPr>
              <w:t>Parent Category</w:t>
            </w:r>
          </w:p>
        </w:tc>
        <w:tc>
          <w:tcPr>
            <w:tcW w:w="2000" w:type="dxa"/>
            <w:tcBorders>
              <w:top w:val="single" w:color="BDBDBD" w:sz="0" w:space="0"/>
              <w:left w:val="single" w:color="BDBDBD" w:sz="0" w:space="0"/>
              <w:bottom w:val="single" w:color="BDBDBD" w:sz="0" w:space="0"/>
              <w:right w:val="single" w:color="BDBDBD" w:sz="0" w:space="0"/>
            </w:tcBorders>
            <w:shd w:val="clear" w:color="auto" w:fill="1A237E"/>
            <w:tcMar>
              <w:top w:w="100" w:type="dxa"/>
              <w:left w:w="150" w:type="dxa"/>
              <w:bottom w:w="100" w:type="dxa"/>
              <w:right w:w="150" w:type="dxa"/>
            </w:tcMar>
            <w:vAlign w:val="center"/>
          </w:tcPr>
          <w:p w14:paraId="1F614286">
            <w:pPr>
              <w:jc w:val="center"/>
            </w:pPr>
            <w:r>
              <w:rPr>
                <w:rFonts w:ascii="Arial" w:hAnsi="Arial" w:eastAsia="Arial" w:cs="Arial"/>
                <w:b/>
                <w:bCs/>
                <w:color w:val="FFFFFF"/>
                <w:sz w:val="20"/>
                <w:szCs w:val="20"/>
              </w:rPr>
              <w:t>Profit Rank</w:t>
            </w:r>
          </w:p>
        </w:tc>
      </w:tr>
      <w:tr w14:paraId="5A1AB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7AE0D6A9">
            <w:pPr>
              <w:jc w:val="left"/>
            </w:pPr>
            <w:r>
              <w:rPr>
                <w:rFonts w:ascii="Arial" w:hAnsi="Arial" w:eastAsia="Arial" w:cs="Arial"/>
                <w:b w:val="0"/>
                <w:bCs w:val="0"/>
                <w:color w:val="212121"/>
                <w:sz w:val="19"/>
                <w:szCs w:val="19"/>
              </w:rPr>
              <w:t>1</w:t>
            </w:r>
          </w:p>
        </w:tc>
        <w:tc>
          <w:tcPr>
            <w:tcW w:w="343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32E2AB31">
            <w:pPr>
              <w:jc w:val="left"/>
            </w:pPr>
            <w:r>
              <w:rPr>
                <w:rFonts w:ascii="Arial" w:hAnsi="Arial" w:eastAsia="Arial" w:cs="Arial"/>
                <w:b w:val="0"/>
                <w:bCs w:val="0"/>
                <w:color w:val="212121"/>
                <w:sz w:val="19"/>
                <w:szCs w:val="19"/>
              </w:rPr>
              <w:t>Printers</w:t>
            </w:r>
          </w:p>
        </w:tc>
        <w:tc>
          <w:tcPr>
            <w:tcW w:w="343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1F2959E6">
            <w:pPr>
              <w:jc w:val="left"/>
            </w:pPr>
            <w:r>
              <w:rPr>
                <w:rFonts w:ascii="Arial" w:hAnsi="Arial" w:eastAsia="Arial" w:cs="Arial"/>
                <w:b w:val="0"/>
                <w:bCs w:val="0"/>
                <w:color w:val="212121"/>
                <w:sz w:val="19"/>
                <w:szCs w:val="19"/>
              </w:rPr>
              <w:t>Electronics</w:t>
            </w:r>
          </w:p>
        </w:tc>
        <w:tc>
          <w:tcPr>
            <w:tcW w:w="20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6F4D35AA">
            <w:pPr>
              <w:jc w:val="left"/>
            </w:pPr>
            <w:r>
              <w:rPr>
                <w:rFonts w:ascii="Arial" w:hAnsi="Arial" w:eastAsia="Arial" w:cs="Arial"/>
                <w:b w:val="0"/>
                <w:bCs w:val="0"/>
                <w:color w:val="212121"/>
                <w:sz w:val="19"/>
                <w:szCs w:val="19"/>
              </w:rPr>
              <w:t>1st (Highest)</w:t>
            </w:r>
          </w:p>
        </w:tc>
      </w:tr>
      <w:tr w14:paraId="1D8A1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2C3F5C75">
            <w:pPr>
              <w:jc w:val="left"/>
            </w:pPr>
            <w:r>
              <w:rPr>
                <w:rFonts w:ascii="Arial" w:hAnsi="Arial" w:eastAsia="Arial" w:cs="Arial"/>
                <w:b w:val="0"/>
                <w:bCs w:val="0"/>
                <w:color w:val="212121"/>
                <w:sz w:val="19"/>
                <w:szCs w:val="19"/>
              </w:rPr>
              <w:t>2</w:t>
            </w:r>
          </w:p>
        </w:tc>
        <w:tc>
          <w:tcPr>
            <w:tcW w:w="343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3E76372D">
            <w:pPr>
              <w:jc w:val="left"/>
            </w:pPr>
            <w:r>
              <w:rPr>
                <w:rFonts w:ascii="Arial" w:hAnsi="Arial" w:eastAsia="Arial" w:cs="Arial"/>
                <w:b w:val="0"/>
                <w:bCs w:val="0"/>
                <w:color w:val="212121"/>
                <w:sz w:val="19"/>
                <w:szCs w:val="19"/>
              </w:rPr>
              <w:t>Bookcases</w:t>
            </w:r>
          </w:p>
        </w:tc>
        <w:tc>
          <w:tcPr>
            <w:tcW w:w="343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62CEE52E">
            <w:pPr>
              <w:jc w:val="left"/>
            </w:pPr>
            <w:r>
              <w:rPr>
                <w:rFonts w:ascii="Arial" w:hAnsi="Arial" w:eastAsia="Arial" w:cs="Arial"/>
                <w:b w:val="0"/>
                <w:bCs w:val="0"/>
                <w:color w:val="212121"/>
                <w:sz w:val="19"/>
                <w:szCs w:val="19"/>
              </w:rPr>
              <w:t>Furniture</w:t>
            </w:r>
          </w:p>
        </w:tc>
        <w:tc>
          <w:tcPr>
            <w:tcW w:w="2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236D518B">
            <w:pPr>
              <w:jc w:val="left"/>
            </w:pPr>
            <w:r>
              <w:rPr>
                <w:rFonts w:ascii="Arial" w:hAnsi="Arial" w:eastAsia="Arial" w:cs="Arial"/>
                <w:b w:val="0"/>
                <w:bCs w:val="0"/>
                <w:color w:val="212121"/>
                <w:sz w:val="19"/>
                <w:szCs w:val="19"/>
              </w:rPr>
              <w:t>2nd</w:t>
            </w:r>
          </w:p>
        </w:tc>
      </w:tr>
      <w:tr w14:paraId="2D136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265DD681">
            <w:pPr>
              <w:jc w:val="left"/>
            </w:pPr>
            <w:r>
              <w:rPr>
                <w:rFonts w:ascii="Arial" w:hAnsi="Arial" w:eastAsia="Arial" w:cs="Arial"/>
                <w:b w:val="0"/>
                <w:bCs w:val="0"/>
                <w:color w:val="212121"/>
                <w:sz w:val="19"/>
                <w:szCs w:val="19"/>
              </w:rPr>
              <w:t>3</w:t>
            </w:r>
          </w:p>
        </w:tc>
        <w:tc>
          <w:tcPr>
            <w:tcW w:w="343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0251EDAA">
            <w:pPr>
              <w:jc w:val="left"/>
            </w:pPr>
            <w:r>
              <w:rPr>
                <w:rFonts w:ascii="Arial" w:hAnsi="Arial" w:eastAsia="Arial" w:cs="Arial"/>
                <w:b w:val="0"/>
                <w:bCs w:val="0"/>
                <w:color w:val="212121"/>
                <w:sz w:val="19"/>
                <w:szCs w:val="19"/>
              </w:rPr>
              <w:t>Saree</w:t>
            </w:r>
          </w:p>
        </w:tc>
        <w:tc>
          <w:tcPr>
            <w:tcW w:w="343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615F60A7">
            <w:pPr>
              <w:jc w:val="left"/>
            </w:pPr>
            <w:r>
              <w:rPr>
                <w:rFonts w:ascii="Arial" w:hAnsi="Arial" w:eastAsia="Arial" w:cs="Arial"/>
                <w:b w:val="0"/>
                <w:bCs w:val="0"/>
                <w:color w:val="212121"/>
                <w:sz w:val="19"/>
                <w:szCs w:val="19"/>
              </w:rPr>
              <w:t>Clothing</w:t>
            </w:r>
          </w:p>
        </w:tc>
        <w:tc>
          <w:tcPr>
            <w:tcW w:w="20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231C61A3">
            <w:pPr>
              <w:jc w:val="left"/>
            </w:pPr>
            <w:r>
              <w:rPr>
                <w:rFonts w:ascii="Arial" w:hAnsi="Arial" w:eastAsia="Arial" w:cs="Arial"/>
                <w:b w:val="0"/>
                <w:bCs w:val="0"/>
                <w:color w:val="212121"/>
                <w:sz w:val="19"/>
                <w:szCs w:val="19"/>
              </w:rPr>
              <w:t>3rd</w:t>
            </w:r>
          </w:p>
        </w:tc>
      </w:tr>
      <w:tr w14:paraId="29ADA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6A77B499">
            <w:pPr>
              <w:jc w:val="left"/>
            </w:pPr>
            <w:r>
              <w:rPr>
                <w:rFonts w:ascii="Arial" w:hAnsi="Arial" w:eastAsia="Arial" w:cs="Arial"/>
                <w:b w:val="0"/>
                <w:bCs w:val="0"/>
                <w:color w:val="212121"/>
                <w:sz w:val="19"/>
                <w:szCs w:val="19"/>
              </w:rPr>
              <w:t>4</w:t>
            </w:r>
          </w:p>
        </w:tc>
        <w:tc>
          <w:tcPr>
            <w:tcW w:w="343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04024A42">
            <w:pPr>
              <w:jc w:val="left"/>
            </w:pPr>
            <w:r>
              <w:rPr>
                <w:rFonts w:ascii="Arial" w:hAnsi="Arial" w:eastAsia="Arial" w:cs="Arial"/>
                <w:b w:val="0"/>
                <w:bCs w:val="0"/>
                <w:color w:val="212121"/>
                <w:sz w:val="19"/>
                <w:szCs w:val="19"/>
              </w:rPr>
              <w:t>Accessories</w:t>
            </w:r>
          </w:p>
        </w:tc>
        <w:tc>
          <w:tcPr>
            <w:tcW w:w="343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5311F69E">
            <w:pPr>
              <w:jc w:val="left"/>
            </w:pPr>
            <w:r>
              <w:rPr>
                <w:rFonts w:ascii="Arial" w:hAnsi="Arial" w:eastAsia="Arial" w:cs="Arial"/>
                <w:b w:val="0"/>
                <w:bCs w:val="0"/>
                <w:color w:val="212121"/>
                <w:sz w:val="19"/>
                <w:szCs w:val="19"/>
              </w:rPr>
              <w:t>Electronics</w:t>
            </w:r>
          </w:p>
        </w:tc>
        <w:tc>
          <w:tcPr>
            <w:tcW w:w="2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7BCB3580">
            <w:pPr>
              <w:jc w:val="left"/>
            </w:pPr>
            <w:r>
              <w:rPr>
                <w:rFonts w:ascii="Arial" w:hAnsi="Arial" w:eastAsia="Arial" w:cs="Arial"/>
                <w:b w:val="0"/>
                <w:bCs w:val="0"/>
                <w:color w:val="212121"/>
                <w:sz w:val="19"/>
                <w:szCs w:val="19"/>
              </w:rPr>
              <w:t>4th</w:t>
            </w:r>
          </w:p>
        </w:tc>
      </w:tr>
      <w:tr w14:paraId="66E3D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305BF2BA">
            <w:pPr>
              <w:jc w:val="left"/>
            </w:pPr>
            <w:r>
              <w:rPr>
                <w:rFonts w:ascii="Arial" w:hAnsi="Arial" w:eastAsia="Arial" w:cs="Arial"/>
                <w:b w:val="0"/>
                <w:bCs w:val="0"/>
                <w:color w:val="212121"/>
                <w:sz w:val="19"/>
                <w:szCs w:val="19"/>
              </w:rPr>
              <w:t>5</w:t>
            </w:r>
          </w:p>
        </w:tc>
        <w:tc>
          <w:tcPr>
            <w:tcW w:w="343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4A739647">
            <w:pPr>
              <w:jc w:val="left"/>
            </w:pPr>
            <w:r>
              <w:rPr>
                <w:rFonts w:ascii="Arial" w:hAnsi="Arial" w:eastAsia="Arial" w:cs="Arial"/>
                <w:b w:val="0"/>
                <w:bCs w:val="0"/>
                <w:color w:val="212121"/>
                <w:sz w:val="19"/>
                <w:szCs w:val="19"/>
              </w:rPr>
              <w:t>Tables</w:t>
            </w:r>
          </w:p>
        </w:tc>
        <w:tc>
          <w:tcPr>
            <w:tcW w:w="343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3309FF4D">
            <w:pPr>
              <w:jc w:val="left"/>
            </w:pPr>
            <w:r>
              <w:rPr>
                <w:rFonts w:ascii="Arial" w:hAnsi="Arial" w:eastAsia="Arial" w:cs="Arial"/>
                <w:b w:val="0"/>
                <w:bCs w:val="0"/>
                <w:color w:val="212121"/>
                <w:sz w:val="19"/>
                <w:szCs w:val="19"/>
              </w:rPr>
              <w:t>Furniture</w:t>
            </w:r>
          </w:p>
        </w:tc>
        <w:tc>
          <w:tcPr>
            <w:tcW w:w="20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7161DA01">
            <w:pPr>
              <w:jc w:val="left"/>
            </w:pPr>
            <w:r>
              <w:rPr>
                <w:rFonts w:ascii="Arial" w:hAnsi="Arial" w:eastAsia="Arial" w:cs="Arial"/>
                <w:b w:val="0"/>
                <w:bCs w:val="0"/>
                <w:color w:val="212121"/>
                <w:sz w:val="19"/>
                <w:szCs w:val="19"/>
              </w:rPr>
              <w:t>5th</w:t>
            </w:r>
          </w:p>
        </w:tc>
      </w:tr>
      <w:tr w14:paraId="02C21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3C0881A3">
            <w:pPr>
              <w:jc w:val="left"/>
            </w:pPr>
            <w:r>
              <w:rPr>
                <w:rFonts w:ascii="Arial" w:hAnsi="Arial" w:eastAsia="Arial" w:cs="Arial"/>
                <w:b w:val="0"/>
                <w:bCs w:val="0"/>
                <w:color w:val="212121"/>
                <w:sz w:val="19"/>
                <w:szCs w:val="19"/>
              </w:rPr>
              <w:t>6</w:t>
            </w:r>
          </w:p>
        </w:tc>
        <w:tc>
          <w:tcPr>
            <w:tcW w:w="343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2DC9DB57">
            <w:pPr>
              <w:jc w:val="left"/>
            </w:pPr>
            <w:r>
              <w:rPr>
                <w:rFonts w:ascii="Arial" w:hAnsi="Arial" w:eastAsia="Arial" w:cs="Arial"/>
                <w:b w:val="0"/>
                <w:bCs w:val="0"/>
                <w:color w:val="212121"/>
                <w:sz w:val="19"/>
                <w:szCs w:val="19"/>
              </w:rPr>
              <w:t>Phones</w:t>
            </w:r>
          </w:p>
        </w:tc>
        <w:tc>
          <w:tcPr>
            <w:tcW w:w="343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75EF36F6">
            <w:pPr>
              <w:jc w:val="left"/>
            </w:pPr>
            <w:r>
              <w:rPr>
                <w:rFonts w:ascii="Arial" w:hAnsi="Arial" w:eastAsia="Arial" w:cs="Arial"/>
                <w:b w:val="0"/>
                <w:bCs w:val="0"/>
                <w:color w:val="212121"/>
                <w:sz w:val="19"/>
                <w:szCs w:val="19"/>
              </w:rPr>
              <w:t>Electronics</w:t>
            </w:r>
          </w:p>
        </w:tc>
        <w:tc>
          <w:tcPr>
            <w:tcW w:w="2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50991003">
            <w:pPr>
              <w:jc w:val="left"/>
            </w:pPr>
            <w:r>
              <w:rPr>
                <w:rFonts w:ascii="Arial" w:hAnsi="Arial" w:eastAsia="Arial" w:cs="Arial"/>
                <w:b w:val="0"/>
                <w:bCs w:val="0"/>
                <w:color w:val="212121"/>
                <w:sz w:val="19"/>
                <w:szCs w:val="19"/>
              </w:rPr>
              <w:t>6th</w:t>
            </w:r>
          </w:p>
        </w:tc>
      </w:tr>
      <w:tr w14:paraId="6F85E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2609147A">
            <w:pPr>
              <w:jc w:val="left"/>
            </w:pPr>
            <w:r>
              <w:rPr>
                <w:rFonts w:ascii="Arial" w:hAnsi="Arial" w:eastAsia="Arial" w:cs="Arial"/>
                <w:b w:val="0"/>
                <w:bCs w:val="0"/>
                <w:color w:val="212121"/>
                <w:sz w:val="19"/>
                <w:szCs w:val="19"/>
              </w:rPr>
              <w:t>7</w:t>
            </w:r>
          </w:p>
        </w:tc>
        <w:tc>
          <w:tcPr>
            <w:tcW w:w="343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24EFC0A6">
            <w:pPr>
              <w:jc w:val="left"/>
            </w:pPr>
            <w:r>
              <w:rPr>
                <w:rFonts w:ascii="Arial" w:hAnsi="Arial" w:eastAsia="Arial" w:cs="Arial"/>
                <w:b w:val="0"/>
                <w:bCs w:val="0"/>
                <w:color w:val="212121"/>
                <w:sz w:val="19"/>
                <w:szCs w:val="19"/>
              </w:rPr>
              <w:t>Chairs</w:t>
            </w:r>
          </w:p>
        </w:tc>
        <w:tc>
          <w:tcPr>
            <w:tcW w:w="343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14942099">
            <w:pPr>
              <w:jc w:val="left"/>
            </w:pPr>
            <w:r>
              <w:rPr>
                <w:rFonts w:ascii="Arial" w:hAnsi="Arial" w:eastAsia="Arial" w:cs="Arial"/>
                <w:b w:val="0"/>
                <w:bCs w:val="0"/>
                <w:color w:val="212121"/>
                <w:sz w:val="19"/>
                <w:szCs w:val="19"/>
              </w:rPr>
              <w:t>Furniture</w:t>
            </w:r>
          </w:p>
        </w:tc>
        <w:tc>
          <w:tcPr>
            <w:tcW w:w="20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5015B565">
            <w:pPr>
              <w:jc w:val="left"/>
            </w:pPr>
            <w:r>
              <w:rPr>
                <w:rFonts w:ascii="Arial" w:hAnsi="Arial" w:eastAsia="Arial" w:cs="Arial"/>
                <w:b w:val="0"/>
                <w:bCs w:val="0"/>
                <w:color w:val="212121"/>
                <w:sz w:val="19"/>
                <w:szCs w:val="19"/>
              </w:rPr>
              <w:t>7th</w:t>
            </w:r>
          </w:p>
        </w:tc>
      </w:tr>
      <w:tr w14:paraId="753F1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687A8C76">
            <w:pPr>
              <w:jc w:val="left"/>
            </w:pPr>
            <w:r>
              <w:rPr>
                <w:rFonts w:ascii="Arial" w:hAnsi="Arial" w:eastAsia="Arial" w:cs="Arial"/>
                <w:b w:val="0"/>
                <w:bCs w:val="0"/>
                <w:color w:val="212121"/>
                <w:sz w:val="19"/>
                <w:szCs w:val="19"/>
              </w:rPr>
              <w:t>8</w:t>
            </w:r>
          </w:p>
        </w:tc>
        <w:tc>
          <w:tcPr>
            <w:tcW w:w="343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182565DF">
            <w:pPr>
              <w:jc w:val="left"/>
            </w:pPr>
            <w:r>
              <w:rPr>
                <w:rFonts w:ascii="Arial" w:hAnsi="Arial" w:eastAsia="Arial" w:cs="Arial"/>
                <w:b w:val="0"/>
                <w:bCs w:val="0"/>
                <w:color w:val="212121"/>
                <w:sz w:val="19"/>
                <w:szCs w:val="19"/>
              </w:rPr>
              <w:t>Trousers</w:t>
            </w:r>
          </w:p>
        </w:tc>
        <w:tc>
          <w:tcPr>
            <w:tcW w:w="343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591E86CF">
            <w:pPr>
              <w:jc w:val="left"/>
            </w:pPr>
            <w:r>
              <w:rPr>
                <w:rFonts w:ascii="Arial" w:hAnsi="Arial" w:eastAsia="Arial" w:cs="Arial"/>
                <w:b w:val="0"/>
                <w:bCs w:val="0"/>
                <w:color w:val="212121"/>
                <w:sz w:val="19"/>
                <w:szCs w:val="19"/>
              </w:rPr>
              <w:t>Clothing</w:t>
            </w:r>
          </w:p>
        </w:tc>
        <w:tc>
          <w:tcPr>
            <w:tcW w:w="2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73D5E401">
            <w:pPr>
              <w:jc w:val="left"/>
            </w:pPr>
            <w:r>
              <w:rPr>
                <w:rFonts w:ascii="Arial" w:hAnsi="Arial" w:eastAsia="Arial" w:cs="Arial"/>
                <w:b w:val="0"/>
                <w:bCs w:val="0"/>
                <w:color w:val="212121"/>
                <w:sz w:val="19"/>
                <w:szCs w:val="19"/>
              </w:rPr>
              <w:t>8th</w:t>
            </w:r>
          </w:p>
        </w:tc>
      </w:tr>
      <w:tr w14:paraId="2DF17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40910794">
            <w:pPr>
              <w:jc w:val="left"/>
            </w:pPr>
            <w:r>
              <w:rPr>
                <w:rFonts w:ascii="Arial" w:hAnsi="Arial" w:eastAsia="Arial" w:cs="Arial"/>
                <w:b w:val="0"/>
                <w:bCs w:val="0"/>
                <w:color w:val="212121"/>
                <w:sz w:val="19"/>
                <w:szCs w:val="19"/>
              </w:rPr>
              <w:t>9</w:t>
            </w:r>
          </w:p>
        </w:tc>
        <w:tc>
          <w:tcPr>
            <w:tcW w:w="343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74141B8A">
            <w:pPr>
              <w:jc w:val="left"/>
            </w:pPr>
            <w:r>
              <w:rPr>
                <w:rFonts w:ascii="Arial" w:hAnsi="Arial" w:eastAsia="Arial" w:cs="Arial"/>
                <w:b w:val="0"/>
                <w:bCs w:val="0"/>
                <w:color w:val="212121"/>
                <w:sz w:val="19"/>
                <w:szCs w:val="19"/>
              </w:rPr>
              <w:t>Electronic Games</w:t>
            </w:r>
          </w:p>
        </w:tc>
        <w:tc>
          <w:tcPr>
            <w:tcW w:w="343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17732200">
            <w:pPr>
              <w:jc w:val="left"/>
            </w:pPr>
            <w:r>
              <w:rPr>
                <w:rFonts w:ascii="Arial" w:hAnsi="Arial" w:eastAsia="Arial" w:cs="Arial"/>
                <w:b w:val="0"/>
                <w:bCs w:val="0"/>
                <w:color w:val="212121"/>
                <w:sz w:val="19"/>
                <w:szCs w:val="19"/>
              </w:rPr>
              <w:t>Electronics</w:t>
            </w:r>
          </w:p>
        </w:tc>
        <w:tc>
          <w:tcPr>
            <w:tcW w:w="20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64063FF6">
            <w:pPr>
              <w:jc w:val="left"/>
            </w:pPr>
            <w:r>
              <w:rPr>
                <w:rFonts w:ascii="Arial" w:hAnsi="Arial" w:eastAsia="Arial" w:cs="Arial"/>
                <w:b w:val="0"/>
                <w:bCs w:val="0"/>
                <w:color w:val="212121"/>
                <w:sz w:val="19"/>
                <w:szCs w:val="19"/>
              </w:rPr>
              <w:t>9th</w:t>
            </w:r>
          </w:p>
        </w:tc>
      </w:tr>
      <w:tr w14:paraId="4071F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115EB062">
            <w:pPr>
              <w:jc w:val="left"/>
            </w:pPr>
            <w:r>
              <w:rPr>
                <w:rFonts w:ascii="Arial" w:hAnsi="Arial" w:eastAsia="Arial" w:cs="Arial"/>
                <w:b w:val="0"/>
                <w:bCs w:val="0"/>
                <w:color w:val="212121"/>
                <w:sz w:val="19"/>
                <w:szCs w:val="19"/>
              </w:rPr>
              <w:t>10</w:t>
            </w:r>
          </w:p>
        </w:tc>
        <w:tc>
          <w:tcPr>
            <w:tcW w:w="343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437D2EF1">
            <w:pPr>
              <w:jc w:val="left"/>
            </w:pPr>
            <w:r>
              <w:rPr>
                <w:rFonts w:ascii="Arial" w:hAnsi="Arial" w:eastAsia="Arial" w:cs="Arial"/>
                <w:b w:val="0"/>
                <w:bCs w:val="0"/>
                <w:color w:val="212121"/>
                <w:sz w:val="19"/>
                <w:szCs w:val="19"/>
              </w:rPr>
              <w:t>Furnishings</w:t>
            </w:r>
          </w:p>
        </w:tc>
        <w:tc>
          <w:tcPr>
            <w:tcW w:w="343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0571C0DB">
            <w:pPr>
              <w:jc w:val="left"/>
            </w:pPr>
            <w:r>
              <w:rPr>
                <w:rFonts w:ascii="Arial" w:hAnsi="Arial" w:eastAsia="Arial" w:cs="Arial"/>
                <w:b w:val="0"/>
                <w:bCs w:val="0"/>
                <w:color w:val="212121"/>
                <w:sz w:val="19"/>
                <w:szCs w:val="19"/>
              </w:rPr>
              <w:t>Furniture</w:t>
            </w:r>
          </w:p>
        </w:tc>
        <w:tc>
          <w:tcPr>
            <w:tcW w:w="2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46DCCBF6">
            <w:pPr>
              <w:jc w:val="left"/>
            </w:pPr>
            <w:r>
              <w:rPr>
                <w:rFonts w:ascii="Arial" w:hAnsi="Arial" w:eastAsia="Arial" w:cs="Arial"/>
                <w:b w:val="0"/>
                <w:bCs w:val="0"/>
                <w:color w:val="212121"/>
                <w:sz w:val="19"/>
                <w:szCs w:val="19"/>
              </w:rPr>
              <w:t>10th</w:t>
            </w:r>
          </w:p>
        </w:tc>
      </w:tr>
      <w:tr w14:paraId="39DF5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093D25E1">
            <w:pPr>
              <w:jc w:val="left"/>
            </w:pPr>
            <w:r>
              <w:rPr>
                <w:rFonts w:ascii="Arial" w:hAnsi="Arial" w:eastAsia="Arial" w:cs="Arial"/>
                <w:b w:val="0"/>
                <w:bCs w:val="0"/>
                <w:color w:val="212121"/>
                <w:sz w:val="19"/>
                <w:szCs w:val="19"/>
              </w:rPr>
              <w:t>11</w:t>
            </w:r>
          </w:p>
        </w:tc>
        <w:tc>
          <w:tcPr>
            <w:tcW w:w="343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1F4A74A9">
            <w:pPr>
              <w:jc w:val="left"/>
            </w:pPr>
            <w:r>
              <w:rPr>
                <w:rFonts w:ascii="Arial" w:hAnsi="Arial" w:eastAsia="Arial" w:cs="Arial"/>
                <w:b w:val="0"/>
                <w:bCs w:val="0"/>
                <w:color w:val="212121"/>
                <w:sz w:val="19"/>
                <w:szCs w:val="19"/>
              </w:rPr>
              <w:t>Stole</w:t>
            </w:r>
          </w:p>
        </w:tc>
        <w:tc>
          <w:tcPr>
            <w:tcW w:w="343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5AE8E460">
            <w:pPr>
              <w:jc w:val="left"/>
            </w:pPr>
            <w:r>
              <w:rPr>
                <w:rFonts w:ascii="Arial" w:hAnsi="Arial" w:eastAsia="Arial" w:cs="Arial"/>
                <w:b w:val="0"/>
                <w:bCs w:val="0"/>
                <w:color w:val="212121"/>
                <w:sz w:val="19"/>
                <w:szCs w:val="19"/>
              </w:rPr>
              <w:t>Clothing</w:t>
            </w:r>
          </w:p>
        </w:tc>
        <w:tc>
          <w:tcPr>
            <w:tcW w:w="20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0BB016F9">
            <w:pPr>
              <w:jc w:val="left"/>
            </w:pPr>
            <w:r>
              <w:rPr>
                <w:rFonts w:ascii="Arial" w:hAnsi="Arial" w:eastAsia="Arial" w:cs="Arial"/>
                <w:b w:val="0"/>
                <w:bCs w:val="0"/>
                <w:color w:val="212121"/>
                <w:sz w:val="19"/>
                <w:szCs w:val="19"/>
              </w:rPr>
              <w:t>11th</w:t>
            </w:r>
          </w:p>
        </w:tc>
      </w:tr>
      <w:tr w14:paraId="695F5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1BDC4CB2">
            <w:pPr>
              <w:jc w:val="left"/>
            </w:pPr>
            <w:r>
              <w:rPr>
                <w:rFonts w:ascii="Arial" w:hAnsi="Arial" w:eastAsia="Arial" w:cs="Arial"/>
                <w:b w:val="0"/>
                <w:bCs w:val="0"/>
                <w:color w:val="212121"/>
                <w:sz w:val="19"/>
                <w:szCs w:val="19"/>
              </w:rPr>
              <w:t>12</w:t>
            </w:r>
          </w:p>
        </w:tc>
        <w:tc>
          <w:tcPr>
            <w:tcW w:w="343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2F7D49EB">
            <w:pPr>
              <w:jc w:val="left"/>
            </w:pPr>
            <w:r>
              <w:rPr>
                <w:rFonts w:ascii="Arial" w:hAnsi="Arial" w:eastAsia="Arial" w:cs="Arial"/>
                <w:b w:val="0"/>
                <w:bCs w:val="0"/>
                <w:color w:val="212121"/>
                <w:sz w:val="19"/>
                <w:szCs w:val="19"/>
              </w:rPr>
              <w:t>Kurti</w:t>
            </w:r>
          </w:p>
        </w:tc>
        <w:tc>
          <w:tcPr>
            <w:tcW w:w="343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5B6E0815">
            <w:pPr>
              <w:jc w:val="left"/>
            </w:pPr>
            <w:r>
              <w:rPr>
                <w:rFonts w:ascii="Arial" w:hAnsi="Arial" w:eastAsia="Arial" w:cs="Arial"/>
                <w:b w:val="0"/>
                <w:bCs w:val="0"/>
                <w:color w:val="212121"/>
                <w:sz w:val="19"/>
                <w:szCs w:val="19"/>
              </w:rPr>
              <w:t>Clothing</w:t>
            </w:r>
          </w:p>
        </w:tc>
        <w:tc>
          <w:tcPr>
            <w:tcW w:w="2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55F752A9">
            <w:pPr>
              <w:jc w:val="left"/>
            </w:pPr>
            <w:r>
              <w:rPr>
                <w:rFonts w:ascii="Arial" w:hAnsi="Arial" w:eastAsia="Arial" w:cs="Arial"/>
                <w:b w:val="0"/>
                <w:bCs w:val="0"/>
                <w:color w:val="212121"/>
                <w:sz w:val="19"/>
                <w:szCs w:val="19"/>
              </w:rPr>
              <w:t>12th</w:t>
            </w:r>
          </w:p>
        </w:tc>
      </w:tr>
      <w:tr w14:paraId="3DAEB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36424701">
            <w:pPr>
              <w:jc w:val="left"/>
            </w:pPr>
            <w:r>
              <w:rPr>
                <w:rFonts w:ascii="Arial" w:hAnsi="Arial" w:eastAsia="Arial" w:cs="Arial"/>
                <w:b w:val="0"/>
                <w:bCs w:val="0"/>
                <w:color w:val="212121"/>
                <w:sz w:val="19"/>
                <w:szCs w:val="19"/>
              </w:rPr>
              <w:t>13</w:t>
            </w:r>
          </w:p>
        </w:tc>
        <w:tc>
          <w:tcPr>
            <w:tcW w:w="343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00B20354">
            <w:pPr>
              <w:jc w:val="left"/>
            </w:pPr>
            <w:r>
              <w:rPr>
                <w:rFonts w:ascii="Arial" w:hAnsi="Arial" w:eastAsia="Arial" w:cs="Arial"/>
                <w:b w:val="0"/>
                <w:bCs w:val="0"/>
                <w:color w:val="212121"/>
                <w:sz w:val="19"/>
                <w:szCs w:val="19"/>
              </w:rPr>
              <w:t>T-shirt</w:t>
            </w:r>
          </w:p>
        </w:tc>
        <w:tc>
          <w:tcPr>
            <w:tcW w:w="343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0833F14B">
            <w:pPr>
              <w:jc w:val="left"/>
            </w:pPr>
            <w:r>
              <w:rPr>
                <w:rFonts w:ascii="Arial" w:hAnsi="Arial" w:eastAsia="Arial" w:cs="Arial"/>
                <w:b w:val="0"/>
                <w:bCs w:val="0"/>
                <w:color w:val="212121"/>
                <w:sz w:val="19"/>
                <w:szCs w:val="19"/>
              </w:rPr>
              <w:t>Clothing</w:t>
            </w:r>
          </w:p>
        </w:tc>
        <w:tc>
          <w:tcPr>
            <w:tcW w:w="20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3D5EDEB0">
            <w:pPr>
              <w:jc w:val="left"/>
            </w:pPr>
            <w:r>
              <w:rPr>
                <w:rFonts w:ascii="Arial" w:hAnsi="Arial" w:eastAsia="Arial" w:cs="Arial"/>
                <w:b w:val="0"/>
                <w:bCs w:val="0"/>
                <w:color w:val="212121"/>
                <w:sz w:val="19"/>
                <w:szCs w:val="19"/>
              </w:rPr>
              <w:t>13th</w:t>
            </w:r>
          </w:p>
        </w:tc>
      </w:tr>
      <w:tr w14:paraId="6D44E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6D3332A3">
            <w:pPr>
              <w:jc w:val="left"/>
            </w:pPr>
            <w:r>
              <w:rPr>
                <w:rFonts w:ascii="Arial" w:hAnsi="Arial" w:eastAsia="Arial" w:cs="Arial"/>
                <w:b w:val="0"/>
                <w:bCs w:val="0"/>
                <w:color w:val="212121"/>
                <w:sz w:val="19"/>
                <w:szCs w:val="19"/>
              </w:rPr>
              <w:t>14</w:t>
            </w:r>
          </w:p>
        </w:tc>
        <w:tc>
          <w:tcPr>
            <w:tcW w:w="343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56C3E95F">
            <w:pPr>
              <w:jc w:val="left"/>
            </w:pPr>
            <w:r>
              <w:rPr>
                <w:rFonts w:ascii="Arial" w:hAnsi="Arial" w:eastAsia="Arial" w:cs="Arial"/>
                <w:b w:val="0"/>
                <w:bCs w:val="0"/>
                <w:color w:val="212121"/>
                <w:sz w:val="19"/>
                <w:szCs w:val="19"/>
              </w:rPr>
              <w:t>Leggings</w:t>
            </w:r>
          </w:p>
        </w:tc>
        <w:tc>
          <w:tcPr>
            <w:tcW w:w="343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6B71D074">
            <w:pPr>
              <w:jc w:val="left"/>
            </w:pPr>
            <w:r>
              <w:rPr>
                <w:rFonts w:ascii="Arial" w:hAnsi="Arial" w:eastAsia="Arial" w:cs="Arial"/>
                <w:b w:val="0"/>
                <w:bCs w:val="0"/>
                <w:color w:val="212121"/>
                <w:sz w:val="19"/>
                <w:szCs w:val="19"/>
              </w:rPr>
              <w:t>Clothing</w:t>
            </w:r>
          </w:p>
        </w:tc>
        <w:tc>
          <w:tcPr>
            <w:tcW w:w="2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4A0110AF">
            <w:pPr>
              <w:jc w:val="left"/>
            </w:pPr>
            <w:r>
              <w:rPr>
                <w:rFonts w:ascii="Arial" w:hAnsi="Arial" w:eastAsia="Arial" w:cs="Arial"/>
                <w:b w:val="0"/>
                <w:bCs w:val="0"/>
                <w:color w:val="212121"/>
                <w:sz w:val="19"/>
                <w:szCs w:val="19"/>
              </w:rPr>
              <w:t>14th</w:t>
            </w:r>
          </w:p>
        </w:tc>
      </w:tr>
      <w:tr w14:paraId="67CF7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723E2D87">
            <w:pPr>
              <w:jc w:val="left"/>
            </w:pPr>
            <w:r>
              <w:rPr>
                <w:rFonts w:ascii="Arial" w:hAnsi="Arial" w:eastAsia="Arial" w:cs="Arial"/>
                <w:b w:val="0"/>
                <w:bCs w:val="0"/>
                <w:color w:val="212121"/>
                <w:sz w:val="19"/>
                <w:szCs w:val="19"/>
              </w:rPr>
              <w:t>15</w:t>
            </w:r>
          </w:p>
        </w:tc>
        <w:tc>
          <w:tcPr>
            <w:tcW w:w="343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5B9D419D">
            <w:pPr>
              <w:jc w:val="left"/>
            </w:pPr>
            <w:r>
              <w:rPr>
                <w:rFonts w:ascii="Arial" w:hAnsi="Arial" w:eastAsia="Arial" w:cs="Arial"/>
                <w:b w:val="0"/>
                <w:bCs w:val="0"/>
                <w:color w:val="212121"/>
                <w:sz w:val="19"/>
                <w:szCs w:val="19"/>
              </w:rPr>
              <w:t>Skirt</w:t>
            </w:r>
          </w:p>
        </w:tc>
        <w:tc>
          <w:tcPr>
            <w:tcW w:w="343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613D995B">
            <w:pPr>
              <w:jc w:val="left"/>
            </w:pPr>
            <w:r>
              <w:rPr>
                <w:rFonts w:ascii="Arial" w:hAnsi="Arial" w:eastAsia="Arial" w:cs="Arial"/>
                <w:b w:val="0"/>
                <w:bCs w:val="0"/>
                <w:color w:val="212121"/>
                <w:sz w:val="19"/>
                <w:szCs w:val="19"/>
              </w:rPr>
              <w:t>Clothing</w:t>
            </w:r>
          </w:p>
        </w:tc>
        <w:tc>
          <w:tcPr>
            <w:tcW w:w="20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1F35E0AA">
            <w:pPr>
              <w:jc w:val="left"/>
            </w:pPr>
            <w:r>
              <w:rPr>
                <w:rFonts w:ascii="Arial" w:hAnsi="Arial" w:eastAsia="Arial" w:cs="Arial"/>
                <w:b w:val="0"/>
                <w:bCs w:val="0"/>
                <w:color w:val="212121"/>
                <w:sz w:val="19"/>
                <w:szCs w:val="19"/>
              </w:rPr>
              <w:t>15th</w:t>
            </w:r>
          </w:p>
        </w:tc>
      </w:tr>
      <w:tr w14:paraId="35F45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74836B25">
            <w:pPr>
              <w:jc w:val="left"/>
            </w:pPr>
            <w:r>
              <w:rPr>
                <w:rFonts w:ascii="Arial" w:hAnsi="Arial" w:eastAsia="Arial" w:cs="Arial"/>
                <w:b w:val="0"/>
                <w:bCs w:val="0"/>
                <w:color w:val="212121"/>
                <w:sz w:val="19"/>
                <w:szCs w:val="19"/>
              </w:rPr>
              <w:t>16</w:t>
            </w:r>
          </w:p>
        </w:tc>
        <w:tc>
          <w:tcPr>
            <w:tcW w:w="343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494AD1CE">
            <w:pPr>
              <w:jc w:val="left"/>
            </w:pPr>
            <w:r>
              <w:rPr>
                <w:rFonts w:ascii="Arial" w:hAnsi="Arial" w:eastAsia="Arial" w:cs="Arial"/>
                <w:b w:val="0"/>
                <w:bCs w:val="0"/>
                <w:color w:val="212121"/>
                <w:sz w:val="19"/>
                <w:szCs w:val="19"/>
              </w:rPr>
              <w:t>Hankerchief</w:t>
            </w:r>
          </w:p>
        </w:tc>
        <w:tc>
          <w:tcPr>
            <w:tcW w:w="343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6254DAE4">
            <w:pPr>
              <w:jc w:val="left"/>
            </w:pPr>
            <w:r>
              <w:rPr>
                <w:rFonts w:ascii="Arial" w:hAnsi="Arial" w:eastAsia="Arial" w:cs="Arial"/>
                <w:b w:val="0"/>
                <w:bCs w:val="0"/>
                <w:color w:val="212121"/>
                <w:sz w:val="19"/>
                <w:szCs w:val="19"/>
              </w:rPr>
              <w:t>Clothing</w:t>
            </w:r>
          </w:p>
        </w:tc>
        <w:tc>
          <w:tcPr>
            <w:tcW w:w="2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2303E300">
            <w:pPr>
              <w:jc w:val="left"/>
            </w:pPr>
            <w:r>
              <w:rPr>
                <w:rFonts w:ascii="Arial" w:hAnsi="Arial" w:eastAsia="Arial" w:cs="Arial"/>
                <w:b w:val="0"/>
                <w:bCs w:val="0"/>
                <w:color w:val="212121"/>
                <w:sz w:val="19"/>
                <w:szCs w:val="19"/>
              </w:rPr>
              <w:t>16th</w:t>
            </w:r>
          </w:p>
        </w:tc>
      </w:tr>
      <w:tr w14:paraId="74E39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4C072421">
            <w:pPr>
              <w:jc w:val="left"/>
            </w:pPr>
            <w:r>
              <w:rPr>
                <w:rFonts w:ascii="Arial" w:hAnsi="Arial" w:eastAsia="Arial" w:cs="Arial"/>
                <w:b w:val="0"/>
                <w:bCs w:val="0"/>
                <w:color w:val="212121"/>
                <w:sz w:val="19"/>
                <w:szCs w:val="19"/>
              </w:rPr>
              <w:t>17</w:t>
            </w:r>
          </w:p>
        </w:tc>
        <w:tc>
          <w:tcPr>
            <w:tcW w:w="343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67431545">
            <w:pPr>
              <w:jc w:val="left"/>
            </w:pPr>
            <w:r>
              <w:rPr>
                <w:rFonts w:ascii="Arial" w:hAnsi="Arial" w:eastAsia="Arial" w:cs="Arial"/>
                <w:b w:val="0"/>
                <w:bCs w:val="0"/>
                <w:color w:val="212121"/>
                <w:sz w:val="19"/>
                <w:szCs w:val="19"/>
              </w:rPr>
              <w:t>Shirt</w:t>
            </w:r>
          </w:p>
        </w:tc>
        <w:tc>
          <w:tcPr>
            <w:tcW w:w="343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64E53E6A">
            <w:pPr>
              <w:jc w:val="left"/>
            </w:pPr>
            <w:r>
              <w:rPr>
                <w:rFonts w:ascii="Arial" w:hAnsi="Arial" w:eastAsia="Arial" w:cs="Arial"/>
                <w:b w:val="0"/>
                <w:bCs w:val="0"/>
                <w:color w:val="212121"/>
                <w:sz w:val="19"/>
                <w:szCs w:val="19"/>
              </w:rPr>
              <w:t>Clothing</w:t>
            </w:r>
          </w:p>
        </w:tc>
        <w:tc>
          <w:tcPr>
            <w:tcW w:w="20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0D835BE3">
            <w:pPr>
              <w:jc w:val="left"/>
            </w:pPr>
            <w:r>
              <w:rPr>
                <w:rFonts w:ascii="Arial" w:hAnsi="Arial" w:eastAsia="Arial" w:cs="Arial"/>
                <w:b w:val="0"/>
                <w:bCs w:val="0"/>
                <w:color w:val="212121"/>
                <w:sz w:val="19"/>
                <w:szCs w:val="19"/>
              </w:rPr>
              <w:t>17th (Lowest)</w:t>
            </w:r>
          </w:p>
        </w:tc>
      </w:tr>
    </w:tbl>
    <w:p w14:paraId="47AB8899">
      <w:pPr>
        <w:spacing w:before="60" w:after="60"/>
      </w:pPr>
    </w:p>
    <w:p w14:paraId="1A527C40">
      <w:pPr>
        <w:pStyle w:val="3"/>
        <w:spacing w:before="280" w:after="160"/>
      </w:pPr>
      <w:bookmarkStart w:id="91" w:name="_Toc17303"/>
      <w:r>
        <w:rPr>
          <w:rFonts w:ascii="Arial" w:hAnsi="Arial" w:eastAsia="Arial" w:cs="Arial"/>
          <w:b/>
          <w:bCs/>
          <w:color w:val="1565C0"/>
          <w:sz w:val="28"/>
          <w:szCs w:val="28"/>
        </w:rPr>
        <w:t>Appendix C: State Coverage Reference</w:t>
      </w:r>
      <w:bookmarkEnd w:id="91"/>
    </w:p>
    <w:p w14:paraId="226DF874">
      <w:pPr>
        <w:spacing w:before="80" w:after="120" w:line="360" w:lineRule="auto"/>
        <w:jc w:val="both"/>
      </w:pPr>
      <w:r>
        <w:rPr>
          <w:rFonts w:ascii="Arial" w:hAnsi="Arial" w:eastAsia="Arial" w:cs="Arial"/>
          <w:b w:val="0"/>
          <w:bCs w:val="0"/>
          <w:i w:val="0"/>
          <w:iCs w:val="0"/>
          <w:color w:val="212121"/>
          <w:sz w:val="22"/>
          <w:szCs w:val="22"/>
        </w:rPr>
        <w:t xml:space="preserve">The following 19 Indian states are represented in the </w:t>
      </w:r>
      <w:r>
        <w:rPr>
          <w:rFonts w:cs="Arial"/>
          <w:b w:val="0"/>
          <w:bCs w:val="0"/>
          <w:i w:val="0"/>
          <w:iCs w:val="0"/>
          <w:color w:val="212121"/>
          <w:sz w:val="22"/>
          <w:szCs w:val="22"/>
          <w:lang w:val="en-US"/>
        </w:rPr>
        <w:t>datasets</w:t>
      </w:r>
      <w:r>
        <w:rPr>
          <w:rFonts w:ascii="Arial" w:hAnsi="Arial" w:eastAsia="Arial" w:cs="Arial"/>
          <w:b w:val="0"/>
          <w:bCs w:val="0"/>
          <w:i w:val="0"/>
          <w:iCs w:val="0"/>
          <w:color w:val="212121"/>
          <w:sz w:val="22"/>
          <w:szCs w:val="22"/>
        </w:rPr>
        <w: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23"/>
        <w:gridCol w:w="2954"/>
        <w:gridCol w:w="2837"/>
        <w:gridCol w:w="2946"/>
      </w:tblGrid>
      <w:tr w14:paraId="75969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DBDBD" w:sz="0" w:space="0"/>
              <w:left w:val="single" w:color="BDBDBD" w:sz="0" w:space="0"/>
              <w:bottom w:val="single" w:color="BDBDBD" w:sz="0" w:space="0"/>
              <w:right w:val="single" w:color="BDBDBD" w:sz="0" w:space="0"/>
            </w:tcBorders>
            <w:shd w:val="clear" w:color="auto" w:fill="1A237E"/>
            <w:tcMar>
              <w:top w:w="100" w:type="dxa"/>
              <w:left w:w="150" w:type="dxa"/>
              <w:bottom w:w="100" w:type="dxa"/>
              <w:right w:w="150" w:type="dxa"/>
            </w:tcMar>
            <w:vAlign w:val="center"/>
          </w:tcPr>
          <w:p w14:paraId="2472B6DB">
            <w:pPr>
              <w:jc w:val="center"/>
            </w:pPr>
            <w:r>
              <w:rPr>
                <w:rFonts w:ascii="Arial" w:hAnsi="Arial" w:eastAsia="Arial" w:cs="Arial"/>
                <w:b/>
                <w:bCs/>
                <w:color w:val="FFFFFF"/>
                <w:sz w:val="20"/>
                <w:szCs w:val="20"/>
              </w:rPr>
              <w:t>No.</w:t>
            </w:r>
          </w:p>
        </w:tc>
        <w:tc>
          <w:tcPr>
            <w:tcW w:w="3000" w:type="dxa"/>
            <w:tcBorders>
              <w:top w:val="single" w:color="BDBDBD" w:sz="0" w:space="0"/>
              <w:left w:val="single" w:color="BDBDBD" w:sz="0" w:space="0"/>
              <w:bottom w:val="single" w:color="BDBDBD" w:sz="0" w:space="0"/>
              <w:right w:val="single" w:color="BDBDBD" w:sz="0" w:space="0"/>
            </w:tcBorders>
            <w:shd w:val="clear" w:color="auto" w:fill="1A237E"/>
            <w:tcMar>
              <w:top w:w="100" w:type="dxa"/>
              <w:left w:w="150" w:type="dxa"/>
              <w:bottom w:w="100" w:type="dxa"/>
              <w:right w:w="150" w:type="dxa"/>
            </w:tcMar>
            <w:vAlign w:val="center"/>
          </w:tcPr>
          <w:p w14:paraId="7D310BDB">
            <w:pPr>
              <w:jc w:val="center"/>
            </w:pPr>
            <w:r>
              <w:rPr>
                <w:rFonts w:ascii="Arial" w:hAnsi="Arial" w:eastAsia="Arial" w:cs="Arial"/>
                <w:b/>
                <w:bCs/>
                <w:color w:val="FFFFFF"/>
                <w:sz w:val="20"/>
                <w:szCs w:val="20"/>
              </w:rPr>
              <w:t>State</w:t>
            </w:r>
          </w:p>
        </w:tc>
        <w:tc>
          <w:tcPr>
            <w:tcW w:w="2860" w:type="dxa"/>
            <w:tcBorders>
              <w:top w:val="single" w:color="BDBDBD" w:sz="0" w:space="0"/>
              <w:left w:val="single" w:color="BDBDBD" w:sz="0" w:space="0"/>
              <w:bottom w:val="single" w:color="BDBDBD" w:sz="0" w:space="0"/>
              <w:right w:val="single" w:color="BDBDBD" w:sz="0" w:space="0"/>
            </w:tcBorders>
            <w:shd w:val="clear" w:color="auto" w:fill="1A237E"/>
            <w:tcMar>
              <w:top w:w="100" w:type="dxa"/>
              <w:left w:w="150" w:type="dxa"/>
              <w:bottom w:w="100" w:type="dxa"/>
              <w:right w:w="150" w:type="dxa"/>
            </w:tcMar>
            <w:vAlign w:val="center"/>
          </w:tcPr>
          <w:p w14:paraId="6B81E538">
            <w:pPr>
              <w:jc w:val="center"/>
            </w:pPr>
            <w:r>
              <w:rPr>
                <w:rFonts w:ascii="Arial" w:hAnsi="Arial" w:eastAsia="Arial" w:cs="Arial"/>
                <w:b/>
                <w:bCs/>
                <w:color w:val="FFFFFF"/>
                <w:sz w:val="20"/>
                <w:szCs w:val="20"/>
              </w:rPr>
              <w:t>Sample Cities</w:t>
            </w:r>
          </w:p>
        </w:tc>
        <w:tc>
          <w:tcPr>
            <w:tcW w:w="3000" w:type="dxa"/>
            <w:tcBorders>
              <w:top w:val="single" w:color="BDBDBD" w:sz="0" w:space="0"/>
              <w:left w:val="single" w:color="BDBDBD" w:sz="0" w:space="0"/>
              <w:bottom w:val="single" w:color="BDBDBD" w:sz="0" w:space="0"/>
              <w:right w:val="single" w:color="BDBDBD" w:sz="0" w:space="0"/>
            </w:tcBorders>
            <w:shd w:val="clear" w:color="auto" w:fill="1A237E"/>
            <w:tcMar>
              <w:top w:w="100" w:type="dxa"/>
              <w:left w:w="150" w:type="dxa"/>
              <w:bottom w:w="100" w:type="dxa"/>
              <w:right w:w="150" w:type="dxa"/>
            </w:tcMar>
            <w:vAlign w:val="center"/>
          </w:tcPr>
          <w:p w14:paraId="7B5A4D55">
            <w:pPr>
              <w:jc w:val="center"/>
            </w:pPr>
            <w:r>
              <w:rPr>
                <w:rFonts w:ascii="Arial" w:hAnsi="Arial" w:eastAsia="Arial" w:cs="Arial"/>
                <w:b/>
                <w:bCs/>
                <w:color w:val="FFFFFF"/>
                <w:sz w:val="20"/>
                <w:szCs w:val="20"/>
              </w:rPr>
              <w:t>Region</w:t>
            </w:r>
          </w:p>
        </w:tc>
      </w:tr>
      <w:tr w14:paraId="34F55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79382E15">
            <w:pPr>
              <w:jc w:val="center"/>
            </w:pPr>
            <w:r>
              <w:rPr>
                <w:rFonts w:ascii="Arial" w:hAnsi="Arial" w:eastAsia="Arial" w:cs="Arial"/>
                <w:b w:val="0"/>
                <w:bCs w:val="0"/>
                <w:color w:val="212121"/>
                <w:sz w:val="19"/>
                <w:szCs w:val="19"/>
              </w:rPr>
              <w:t>1</w:t>
            </w:r>
          </w:p>
        </w:tc>
        <w:tc>
          <w:tcPr>
            <w:tcW w:w="30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3C0091B9">
            <w:pPr>
              <w:jc w:val="left"/>
            </w:pPr>
            <w:r>
              <w:rPr>
                <w:rFonts w:ascii="Arial" w:hAnsi="Arial" w:eastAsia="Arial" w:cs="Arial"/>
                <w:b/>
                <w:bCs/>
                <w:color w:val="212121"/>
                <w:sz w:val="19"/>
                <w:szCs w:val="19"/>
              </w:rPr>
              <w:t>Maharashtra</w:t>
            </w:r>
          </w:p>
        </w:tc>
        <w:tc>
          <w:tcPr>
            <w:tcW w:w="28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0A377F4D">
            <w:pPr>
              <w:jc w:val="left"/>
            </w:pPr>
            <w:r>
              <w:rPr>
                <w:rFonts w:ascii="Arial" w:hAnsi="Arial" w:eastAsia="Arial" w:cs="Arial"/>
                <w:b w:val="0"/>
                <w:bCs w:val="0"/>
                <w:color w:val="212121"/>
                <w:sz w:val="19"/>
                <w:szCs w:val="19"/>
              </w:rPr>
              <w:t>Mumbai, Pune</w:t>
            </w:r>
          </w:p>
        </w:tc>
        <w:tc>
          <w:tcPr>
            <w:tcW w:w="30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1448C6CA">
            <w:pPr>
              <w:jc w:val="left"/>
            </w:pPr>
            <w:r>
              <w:rPr>
                <w:rFonts w:ascii="Arial" w:hAnsi="Arial" w:eastAsia="Arial" w:cs="Arial"/>
                <w:b w:val="0"/>
                <w:bCs w:val="0"/>
                <w:color w:val="212121"/>
                <w:sz w:val="19"/>
                <w:szCs w:val="19"/>
              </w:rPr>
              <w:t>West India</w:t>
            </w:r>
          </w:p>
        </w:tc>
      </w:tr>
      <w:tr w14:paraId="4B36E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24355A29">
            <w:pPr>
              <w:jc w:val="center"/>
            </w:pPr>
            <w:r>
              <w:rPr>
                <w:rFonts w:ascii="Arial" w:hAnsi="Arial" w:eastAsia="Arial" w:cs="Arial"/>
                <w:b w:val="0"/>
                <w:bCs w:val="0"/>
                <w:color w:val="212121"/>
                <w:sz w:val="19"/>
                <w:szCs w:val="19"/>
              </w:rPr>
              <w:t>2</w:t>
            </w:r>
          </w:p>
        </w:tc>
        <w:tc>
          <w:tcPr>
            <w:tcW w:w="3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449CC2F4">
            <w:pPr>
              <w:jc w:val="left"/>
            </w:pPr>
            <w:r>
              <w:rPr>
                <w:rFonts w:ascii="Arial" w:hAnsi="Arial" w:eastAsia="Arial" w:cs="Arial"/>
                <w:b/>
                <w:bCs/>
                <w:color w:val="212121"/>
                <w:sz w:val="19"/>
                <w:szCs w:val="19"/>
              </w:rPr>
              <w:t>Madhya Pradesh</w:t>
            </w:r>
          </w:p>
        </w:tc>
        <w:tc>
          <w:tcPr>
            <w:tcW w:w="28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20F3C768">
            <w:pPr>
              <w:jc w:val="left"/>
            </w:pPr>
            <w:r>
              <w:rPr>
                <w:rFonts w:ascii="Arial" w:hAnsi="Arial" w:eastAsia="Arial" w:cs="Arial"/>
                <w:b w:val="0"/>
                <w:bCs w:val="0"/>
                <w:color w:val="212121"/>
                <w:sz w:val="19"/>
                <w:szCs w:val="19"/>
              </w:rPr>
              <w:t>Indore, Bhopal</w:t>
            </w:r>
          </w:p>
        </w:tc>
        <w:tc>
          <w:tcPr>
            <w:tcW w:w="3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15B755EB">
            <w:pPr>
              <w:jc w:val="left"/>
            </w:pPr>
            <w:r>
              <w:rPr>
                <w:rFonts w:ascii="Arial" w:hAnsi="Arial" w:eastAsia="Arial" w:cs="Arial"/>
                <w:b w:val="0"/>
                <w:bCs w:val="0"/>
                <w:color w:val="212121"/>
                <w:sz w:val="19"/>
                <w:szCs w:val="19"/>
              </w:rPr>
              <w:t>Central India</w:t>
            </w:r>
          </w:p>
        </w:tc>
      </w:tr>
      <w:tr w14:paraId="36F75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3E92287A">
            <w:pPr>
              <w:jc w:val="center"/>
            </w:pPr>
            <w:r>
              <w:rPr>
                <w:rFonts w:ascii="Arial" w:hAnsi="Arial" w:eastAsia="Arial" w:cs="Arial"/>
                <w:b w:val="0"/>
                <w:bCs w:val="0"/>
                <w:color w:val="212121"/>
                <w:sz w:val="19"/>
                <w:szCs w:val="19"/>
              </w:rPr>
              <w:t>3</w:t>
            </w:r>
          </w:p>
        </w:tc>
        <w:tc>
          <w:tcPr>
            <w:tcW w:w="30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6792AAB2">
            <w:pPr>
              <w:jc w:val="left"/>
            </w:pPr>
            <w:r>
              <w:rPr>
                <w:rFonts w:ascii="Arial" w:hAnsi="Arial" w:eastAsia="Arial" w:cs="Arial"/>
                <w:b/>
                <w:bCs/>
                <w:color w:val="212121"/>
                <w:sz w:val="19"/>
                <w:szCs w:val="19"/>
              </w:rPr>
              <w:t>Uttar Pradesh</w:t>
            </w:r>
          </w:p>
        </w:tc>
        <w:tc>
          <w:tcPr>
            <w:tcW w:w="28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7B3CBFC4">
            <w:pPr>
              <w:jc w:val="left"/>
            </w:pPr>
            <w:r>
              <w:rPr>
                <w:rFonts w:ascii="Arial" w:hAnsi="Arial" w:eastAsia="Arial" w:cs="Arial"/>
                <w:b w:val="0"/>
                <w:bCs w:val="0"/>
                <w:color w:val="212121"/>
                <w:sz w:val="19"/>
                <w:szCs w:val="19"/>
              </w:rPr>
              <w:t>Mathura, Lucknow, Prayagraj</w:t>
            </w:r>
          </w:p>
        </w:tc>
        <w:tc>
          <w:tcPr>
            <w:tcW w:w="30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11BB3CBE">
            <w:pPr>
              <w:jc w:val="left"/>
            </w:pPr>
            <w:r>
              <w:rPr>
                <w:rFonts w:ascii="Arial" w:hAnsi="Arial" w:eastAsia="Arial" w:cs="Arial"/>
                <w:b w:val="0"/>
                <w:bCs w:val="0"/>
                <w:color w:val="212121"/>
                <w:sz w:val="19"/>
                <w:szCs w:val="19"/>
              </w:rPr>
              <w:t>North India</w:t>
            </w:r>
          </w:p>
        </w:tc>
      </w:tr>
      <w:tr w14:paraId="59A3B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5866DC16">
            <w:pPr>
              <w:jc w:val="center"/>
            </w:pPr>
            <w:r>
              <w:rPr>
                <w:rFonts w:ascii="Arial" w:hAnsi="Arial" w:eastAsia="Arial" w:cs="Arial"/>
                <w:b w:val="0"/>
                <w:bCs w:val="0"/>
                <w:color w:val="212121"/>
                <w:sz w:val="19"/>
                <w:szCs w:val="19"/>
              </w:rPr>
              <w:t>4</w:t>
            </w:r>
          </w:p>
        </w:tc>
        <w:tc>
          <w:tcPr>
            <w:tcW w:w="3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4135DFF8">
            <w:pPr>
              <w:jc w:val="left"/>
            </w:pPr>
            <w:r>
              <w:rPr>
                <w:rFonts w:ascii="Arial" w:hAnsi="Arial" w:eastAsia="Arial" w:cs="Arial"/>
                <w:b/>
                <w:bCs/>
                <w:color w:val="212121"/>
                <w:sz w:val="19"/>
                <w:szCs w:val="19"/>
              </w:rPr>
              <w:t>Delhi</w:t>
            </w:r>
          </w:p>
        </w:tc>
        <w:tc>
          <w:tcPr>
            <w:tcW w:w="28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611FCC50">
            <w:pPr>
              <w:jc w:val="left"/>
            </w:pPr>
            <w:r>
              <w:rPr>
                <w:rFonts w:ascii="Arial" w:hAnsi="Arial" w:eastAsia="Arial" w:cs="Arial"/>
                <w:b w:val="0"/>
                <w:bCs w:val="0"/>
                <w:color w:val="212121"/>
                <w:sz w:val="19"/>
                <w:szCs w:val="19"/>
              </w:rPr>
              <w:t>New Delhi</w:t>
            </w:r>
          </w:p>
        </w:tc>
        <w:tc>
          <w:tcPr>
            <w:tcW w:w="3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37B0A969">
            <w:pPr>
              <w:jc w:val="left"/>
            </w:pPr>
            <w:r>
              <w:rPr>
                <w:rFonts w:ascii="Arial" w:hAnsi="Arial" w:eastAsia="Arial" w:cs="Arial"/>
                <w:b w:val="0"/>
                <w:bCs w:val="0"/>
                <w:color w:val="212121"/>
                <w:sz w:val="19"/>
                <w:szCs w:val="19"/>
              </w:rPr>
              <w:t>North India</w:t>
            </w:r>
          </w:p>
        </w:tc>
      </w:tr>
      <w:tr w14:paraId="43A5C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6954F561">
            <w:pPr>
              <w:jc w:val="center"/>
            </w:pPr>
            <w:r>
              <w:rPr>
                <w:rFonts w:ascii="Arial" w:hAnsi="Arial" w:eastAsia="Arial" w:cs="Arial"/>
                <w:b w:val="0"/>
                <w:bCs w:val="0"/>
                <w:color w:val="212121"/>
                <w:sz w:val="19"/>
                <w:szCs w:val="19"/>
              </w:rPr>
              <w:t>5</w:t>
            </w:r>
          </w:p>
        </w:tc>
        <w:tc>
          <w:tcPr>
            <w:tcW w:w="30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0133B4BA">
            <w:pPr>
              <w:jc w:val="left"/>
            </w:pPr>
            <w:r>
              <w:rPr>
                <w:rFonts w:ascii="Arial" w:hAnsi="Arial" w:eastAsia="Arial" w:cs="Arial"/>
                <w:b/>
                <w:bCs/>
                <w:color w:val="212121"/>
                <w:sz w:val="19"/>
                <w:szCs w:val="19"/>
              </w:rPr>
              <w:t>Gujarat</w:t>
            </w:r>
          </w:p>
        </w:tc>
        <w:tc>
          <w:tcPr>
            <w:tcW w:w="28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0345355B">
            <w:pPr>
              <w:jc w:val="left"/>
            </w:pPr>
            <w:r>
              <w:rPr>
                <w:rFonts w:ascii="Arial" w:hAnsi="Arial" w:eastAsia="Arial" w:cs="Arial"/>
                <w:b w:val="0"/>
                <w:bCs w:val="0"/>
                <w:color w:val="212121"/>
                <w:sz w:val="19"/>
                <w:szCs w:val="19"/>
              </w:rPr>
              <w:t>Ahmedabad, Surat</w:t>
            </w:r>
          </w:p>
        </w:tc>
        <w:tc>
          <w:tcPr>
            <w:tcW w:w="30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65F93538">
            <w:pPr>
              <w:jc w:val="left"/>
            </w:pPr>
            <w:r>
              <w:rPr>
                <w:rFonts w:ascii="Arial" w:hAnsi="Arial" w:eastAsia="Arial" w:cs="Arial"/>
                <w:b w:val="0"/>
                <w:bCs w:val="0"/>
                <w:color w:val="212121"/>
                <w:sz w:val="19"/>
                <w:szCs w:val="19"/>
              </w:rPr>
              <w:t>West India</w:t>
            </w:r>
          </w:p>
        </w:tc>
      </w:tr>
      <w:tr w14:paraId="3A443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50AFDDB2">
            <w:pPr>
              <w:jc w:val="center"/>
            </w:pPr>
            <w:r>
              <w:rPr>
                <w:rFonts w:ascii="Arial" w:hAnsi="Arial" w:eastAsia="Arial" w:cs="Arial"/>
                <w:b w:val="0"/>
                <w:bCs w:val="0"/>
                <w:color w:val="212121"/>
                <w:sz w:val="19"/>
                <w:szCs w:val="19"/>
              </w:rPr>
              <w:t>6</w:t>
            </w:r>
          </w:p>
        </w:tc>
        <w:tc>
          <w:tcPr>
            <w:tcW w:w="3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6D075F67">
            <w:pPr>
              <w:jc w:val="left"/>
            </w:pPr>
            <w:r>
              <w:rPr>
                <w:rFonts w:ascii="Arial" w:hAnsi="Arial" w:eastAsia="Arial" w:cs="Arial"/>
                <w:b/>
                <w:bCs/>
                <w:color w:val="212121"/>
                <w:sz w:val="19"/>
                <w:szCs w:val="19"/>
              </w:rPr>
              <w:t>Rajasthan</w:t>
            </w:r>
          </w:p>
        </w:tc>
        <w:tc>
          <w:tcPr>
            <w:tcW w:w="28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7EBFF914">
            <w:pPr>
              <w:jc w:val="left"/>
            </w:pPr>
            <w:r>
              <w:rPr>
                <w:rFonts w:ascii="Arial" w:hAnsi="Arial" w:eastAsia="Arial" w:cs="Arial"/>
                <w:b w:val="0"/>
                <w:bCs w:val="0"/>
                <w:color w:val="212121"/>
                <w:sz w:val="19"/>
                <w:szCs w:val="19"/>
              </w:rPr>
              <w:t>Jaipur, Udaipur</w:t>
            </w:r>
          </w:p>
        </w:tc>
        <w:tc>
          <w:tcPr>
            <w:tcW w:w="3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37328C77">
            <w:pPr>
              <w:jc w:val="left"/>
            </w:pPr>
            <w:r>
              <w:rPr>
                <w:rFonts w:ascii="Arial" w:hAnsi="Arial" w:eastAsia="Arial" w:cs="Arial"/>
                <w:b w:val="0"/>
                <w:bCs w:val="0"/>
                <w:color w:val="212121"/>
                <w:sz w:val="19"/>
                <w:szCs w:val="19"/>
              </w:rPr>
              <w:t>North India</w:t>
            </w:r>
          </w:p>
        </w:tc>
      </w:tr>
      <w:tr w14:paraId="45A68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5A152874">
            <w:pPr>
              <w:jc w:val="center"/>
            </w:pPr>
            <w:r>
              <w:rPr>
                <w:rFonts w:ascii="Arial" w:hAnsi="Arial" w:eastAsia="Arial" w:cs="Arial"/>
                <w:b w:val="0"/>
                <w:bCs w:val="0"/>
                <w:color w:val="212121"/>
                <w:sz w:val="19"/>
                <w:szCs w:val="19"/>
              </w:rPr>
              <w:t>7</w:t>
            </w:r>
          </w:p>
        </w:tc>
        <w:tc>
          <w:tcPr>
            <w:tcW w:w="30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493AD166">
            <w:pPr>
              <w:jc w:val="left"/>
            </w:pPr>
            <w:r>
              <w:rPr>
                <w:rFonts w:ascii="Arial" w:hAnsi="Arial" w:eastAsia="Arial" w:cs="Arial"/>
                <w:b/>
                <w:bCs/>
                <w:color w:val="212121"/>
                <w:sz w:val="19"/>
                <w:szCs w:val="19"/>
              </w:rPr>
              <w:t>Punjab</w:t>
            </w:r>
          </w:p>
        </w:tc>
        <w:tc>
          <w:tcPr>
            <w:tcW w:w="28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7FF2BAC3">
            <w:pPr>
              <w:jc w:val="left"/>
            </w:pPr>
            <w:r>
              <w:rPr>
                <w:rFonts w:ascii="Arial" w:hAnsi="Arial" w:eastAsia="Arial" w:cs="Arial"/>
                <w:b w:val="0"/>
                <w:bCs w:val="0"/>
                <w:color w:val="212121"/>
                <w:sz w:val="19"/>
                <w:szCs w:val="19"/>
              </w:rPr>
              <w:t>Chandigarh, Amritsar</w:t>
            </w:r>
          </w:p>
        </w:tc>
        <w:tc>
          <w:tcPr>
            <w:tcW w:w="30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42CCEE0F">
            <w:pPr>
              <w:jc w:val="left"/>
            </w:pPr>
            <w:r>
              <w:rPr>
                <w:rFonts w:ascii="Arial" w:hAnsi="Arial" w:eastAsia="Arial" w:cs="Arial"/>
                <w:b w:val="0"/>
                <w:bCs w:val="0"/>
                <w:color w:val="212121"/>
                <w:sz w:val="19"/>
                <w:szCs w:val="19"/>
              </w:rPr>
              <w:t>North India</w:t>
            </w:r>
          </w:p>
        </w:tc>
      </w:tr>
      <w:tr w14:paraId="434A5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03598243">
            <w:pPr>
              <w:jc w:val="center"/>
            </w:pPr>
            <w:r>
              <w:rPr>
                <w:rFonts w:ascii="Arial" w:hAnsi="Arial" w:eastAsia="Arial" w:cs="Arial"/>
                <w:b w:val="0"/>
                <w:bCs w:val="0"/>
                <w:color w:val="212121"/>
                <w:sz w:val="19"/>
                <w:szCs w:val="19"/>
              </w:rPr>
              <w:t>8</w:t>
            </w:r>
          </w:p>
        </w:tc>
        <w:tc>
          <w:tcPr>
            <w:tcW w:w="3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6DEE7DDB">
            <w:pPr>
              <w:jc w:val="left"/>
            </w:pPr>
            <w:r>
              <w:rPr>
                <w:rFonts w:ascii="Arial" w:hAnsi="Arial" w:eastAsia="Arial" w:cs="Arial"/>
                <w:b/>
                <w:bCs/>
                <w:color w:val="212121"/>
                <w:sz w:val="19"/>
                <w:szCs w:val="19"/>
              </w:rPr>
              <w:t>Karnataka</w:t>
            </w:r>
          </w:p>
        </w:tc>
        <w:tc>
          <w:tcPr>
            <w:tcW w:w="28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145CB363">
            <w:pPr>
              <w:jc w:val="left"/>
            </w:pPr>
            <w:r>
              <w:rPr>
                <w:rFonts w:ascii="Arial" w:hAnsi="Arial" w:eastAsia="Arial" w:cs="Arial"/>
                <w:b w:val="0"/>
                <w:bCs w:val="0"/>
                <w:color w:val="212121"/>
                <w:sz w:val="19"/>
                <w:szCs w:val="19"/>
              </w:rPr>
              <w:t>Bangalore</w:t>
            </w:r>
          </w:p>
        </w:tc>
        <w:tc>
          <w:tcPr>
            <w:tcW w:w="3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383BF551">
            <w:pPr>
              <w:jc w:val="left"/>
            </w:pPr>
            <w:r>
              <w:rPr>
                <w:rFonts w:ascii="Arial" w:hAnsi="Arial" w:eastAsia="Arial" w:cs="Arial"/>
                <w:b w:val="0"/>
                <w:bCs w:val="0"/>
                <w:color w:val="212121"/>
                <w:sz w:val="19"/>
                <w:szCs w:val="19"/>
              </w:rPr>
              <w:t>South India</w:t>
            </w:r>
          </w:p>
        </w:tc>
      </w:tr>
      <w:tr w14:paraId="3CC35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4A338EC6">
            <w:pPr>
              <w:jc w:val="center"/>
            </w:pPr>
            <w:r>
              <w:rPr>
                <w:rFonts w:ascii="Arial" w:hAnsi="Arial" w:eastAsia="Arial" w:cs="Arial"/>
                <w:b w:val="0"/>
                <w:bCs w:val="0"/>
                <w:color w:val="212121"/>
                <w:sz w:val="19"/>
                <w:szCs w:val="19"/>
              </w:rPr>
              <w:t>9</w:t>
            </w:r>
          </w:p>
        </w:tc>
        <w:tc>
          <w:tcPr>
            <w:tcW w:w="30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392BEF05">
            <w:pPr>
              <w:jc w:val="left"/>
            </w:pPr>
            <w:r>
              <w:rPr>
                <w:rFonts w:ascii="Arial" w:hAnsi="Arial" w:eastAsia="Arial" w:cs="Arial"/>
                <w:b/>
                <w:bCs/>
                <w:color w:val="212121"/>
                <w:sz w:val="19"/>
                <w:szCs w:val="19"/>
              </w:rPr>
              <w:t>Andhra Pradesh</w:t>
            </w:r>
          </w:p>
        </w:tc>
        <w:tc>
          <w:tcPr>
            <w:tcW w:w="28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2527FAFF">
            <w:pPr>
              <w:jc w:val="left"/>
            </w:pPr>
            <w:r>
              <w:rPr>
                <w:rFonts w:ascii="Arial" w:hAnsi="Arial" w:eastAsia="Arial" w:cs="Arial"/>
                <w:b w:val="0"/>
                <w:bCs w:val="0"/>
                <w:color w:val="212121"/>
                <w:sz w:val="19"/>
                <w:szCs w:val="19"/>
              </w:rPr>
              <w:t>Hyderabad</w:t>
            </w:r>
          </w:p>
        </w:tc>
        <w:tc>
          <w:tcPr>
            <w:tcW w:w="30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730A0A5D">
            <w:pPr>
              <w:jc w:val="left"/>
            </w:pPr>
            <w:r>
              <w:rPr>
                <w:rFonts w:ascii="Arial" w:hAnsi="Arial" w:eastAsia="Arial" w:cs="Arial"/>
                <w:b w:val="0"/>
                <w:bCs w:val="0"/>
                <w:color w:val="212121"/>
                <w:sz w:val="19"/>
                <w:szCs w:val="19"/>
              </w:rPr>
              <w:t>South India</w:t>
            </w:r>
          </w:p>
        </w:tc>
      </w:tr>
      <w:tr w14:paraId="0F032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1830ED37">
            <w:pPr>
              <w:jc w:val="center"/>
            </w:pPr>
            <w:r>
              <w:rPr>
                <w:rFonts w:ascii="Arial" w:hAnsi="Arial" w:eastAsia="Arial" w:cs="Arial"/>
                <w:b w:val="0"/>
                <w:bCs w:val="0"/>
                <w:color w:val="212121"/>
                <w:sz w:val="19"/>
                <w:szCs w:val="19"/>
              </w:rPr>
              <w:t>10</w:t>
            </w:r>
          </w:p>
        </w:tc>
        <w:tc>
          <w:tcPr>
            <w:tcW w:w="3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6CDBEDFB">
            <w:pPr>
              <w:jc w:val="left"/>
            </w:pPr>
            <w:r>
              <w:rPr>
                <w:rFonts w:ascii="Arial" w:hAnsi="Arial" w:eastAsia="Arial" w:cs="Arial"/>
                <w:b/>
                <w:bCs/>
                <w:color w:val="212121"/>
                <w:sz w:val="19"/>
                <w:szCs w:val="19"/>
              </w:rPr>
              <w:t>West Bengal</w:t>
            </w:r>
          </w:p>
        </w:tc>
        <w:tc>
          <w:tcPr>
            <w:tcW w:w="28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38EE8090">
            <w:pPr>
              <w:jc w:val="left"/>
            </w:pPr>
            <w:r>
              <w:rPr>
                <w:rFonts w:ascii="Arial" w:hAnsi="Arial" w:eastAsia="Arial" w:cs="Arial"/>
                <w:b w:val="0"/>
                <w:bCs w:val="0"/>
                <w:color w:val="212121"/>
                <w:sz w:val="19"/>
                <w:szCs w:val="19"/>
              </w:rPr>
              <w:t>Kolkata</w:t>
            </w:r>
          </w:p>
        </w:tc>
        <w:tc>
          <w:tcPr>
            <w:tcW w:w="3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71FD04DB">
            <w:pPr>
              <w:jc w:val="left"/>
            </w:pPr>
            <w:r>
              <w:rPr>
                <w:rFonts w:ascii="Arial" w:hAnsi="Arial" w:eastAsia="Arial" w:cs="Arial"/>
                <w:b w:val="0"/>
                <w:bCs w:val="0"/>
                <w:color w:val="212121"/>
                <w:sz w:val="19"/>
                <w:szCs w:val="19"/>
              </w:rPr>
              <w:t>East India</w:t>
            </w:r>
          </w:p>
        </w:tc>
      </w:tr>
      <w:tr w14:paraId="31FE2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118F2BBD">
            <w:pPr>
              <w:jc w:val="center"/>
            </w:pPr>
            <w:r>
              <w:rPr>
                <w:rFonts w:ascii="Arial" w:hAnsi="Arial" w:eastAsia="Arial" w:cs="Arial"/>
                <w:b w:val="0"/>
                <w:bCs w:val="0"/>
                <w:color w:val="212121"/>
                <w:sz w:val="19"/>
                <w:szCs w:val="19"/>
              </w:rPr>
              <w:t>11</w:t>
            </w:r>
          </w:p>
        </w:tc>
        <w:tc>
          <w:tcPr>
            <w:tcW w:w="30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7E516C4E">
            <w:pPr>
              <w:jc w:val="left"/>
            </w:pPr>
            <w:r>
              <w:rPr>
                <w:rFonts w:ascii="Arial" w:hAnsi="Arial" w:eastAsia="Arial" w:cs="Arial"/>
                <w:b/>
                <w:bCs/>
                <w:color w:val="212121"/>
                <w:sz w:val="19"/>
                <w:szCs w:val="19"/>
              </w:rPr>
              <w:t>Bihar</w:t>
            </w:r>
          </w:p>
        </w:tc>
        <w:tc>
          <w:tcPr>
            <w:tcW w:w="28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27C4C16E">
            <w:pPr>
              <w:jc w:val="left"/>
            </w:pPr>
            <w:r>
              <w:rPr>
                <w:rFonts w:ascii="Arial" w:hAnsi="Arial" w:eastAsia="Arial" w:cs="Arial"/>
                <w:b w:val="0"/>
                <w:bCs w:val="0"/>
                <w:color w:val="212121"/>
                <w:sz w:val="19"/>
                <w:szCs w:val="19"/>
              </w:rPr>
              <w:t>Patna</w:t>
            </w:r>
          </w:p>
        </w:tc>
        <w:tc>
          <w:tcPr>
            <w:tcW w:w="30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13812DC8">
            <w:pPr>
              <w:jc w:val="left"/>
            </w:pPr>
            <w:r>
              <w:rPr>
                <w:rFonts w:ascii="Arial" w:hAnsi="Arial" w:eastAsia="Arial" w:cs="Arial"/>
                <w:b w:val="0"/>
                <w:bCs w:val="0"/>
                <w:color w:val="212121"/>
                <w:sz w:val="19"/>
                <w:szCs w:val="19"/>
              </w:rPr>
              <w:t>East India</w:t>
            </w:r>
          </w:p>
        </w:tc>
      </w:tr>
      <w:tr w14:paraId="64ED0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7D6B1243">
            <w:pPr>
              <w:jc w:val="center"/>
            </w:pPr>
            <w:r>
              <w:rPr>
                <w:rFonts w:ascii="Arial" w:hAnsi="Arial" w:eastAsia="Arial" w:cs="Arial"/>
                <w:b w:val="0"/>
                <w:bCs w:val="0"/>
                <w:color w:val="212121"/>
                <w:sz w:val="19"/>
                <w:szCs w:val="19"/>
              </w:rPr>
              <w:t>12</w:t>
            </w:r>
          </w:p>
        </w:tc>
        <w:tc>
          <w:tcPr>
            <w:tcW w:w="3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4E04759D">
            <w:pPr>
              <w:jc w:val="left"/>
            </w:pPr>
            <w:r>
              <w:rPr>
                <w:rFonts w:ascii="Arial" w:hAnsi="Arial" w:eastAsia="Arial" w:cs="Arial"/>
                <w:b/>
                <w:bCs/>
                <w:color w:val="212121"/>
                <w:sz w:val="19"/>
                <w:szCs w:val="19"/>
              </w:rPr>
              <w:t>Kerala</w:t>
            </w:r>
          </w:p>
        </w:tc>
        <w:tc>
          <w:tcPr>
            <w:tcW w:w="28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529740F6">
            <w:pPr>
              <w:jc w:val="left"/>
            </w:pPr>
            <w:r>
              <w:rPr>
                <w:rFonts w:ascii="Arial" w:hAnsi="Arial" w:eastAsia="Arial" w:cs="Arial"/>
                <w:b w:val="0"/>
                <w:bCs w:val="0"/>
                <w:color w:val="212121"/>
                <w:sz w:val="19"/>
                <w:szCs w:val="19"/>
              </w:rPr>
              <w:t>Thiruvananthapuram</w:t>
            </w:r>
          </w:p>
        </w:tc>
        <w:tc>
          <w:tcPr>
            <w:tcW w:w="3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7BE83C09">
            <w:pPr>
              <w:jc w:val="left"/>
            </w:pPr>
            <w:r>
              <w:rPr>
                <w:rFonts w:ascii="Arial" w:hAnsi="Arial" w:eastAsia="Arial" w:cs="Arial"/>
                <w:b w:val="0"/>
                <w:bCs w:val="0"/>
                <w:color w:val="212121"/>
                <w:sz w:val="19"/>
                <w:szCs w:val="19"/>
              </w:rPr>
              <w:t>South India</w:t>
            </w:r>
          </w:p>
        </w:tc>
      </w:tr>
      <w:tr w14:paraId="55E51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1D3CF7B0">
            <w:pPr>
              <w:jc w:val="center"/>
            </w:pPr>
            <w:r>
              <w:rPr>
                <w:rFonts w:ascii="Arial" w:hAnsi="Arial" w:eastAsia="Arial" w:cs="Arial"/>
                <w:b w:val="0"/>
                <w:bCs w:val="0"/>
                <w:color w:val="212121"/>
                <w:sz w:val="19"/>
                <w:szCs w:val="19"/>
              </w:rPr>
              <w:t>13</w:t>
            </w:r>
          </w:p>
        </w:tc>
        <w:tc>
          <w:tcPr>
            <w:tcW w:w="30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01354F65">
            <w:pPr>
              <w:jc w:val="left"/>
            </w:pPr>
            <w:r>
              <w:rPr>
                <w:rFonts w:ascii="Arial" w:hAnsi="Arial" w:eastAsia="Arial" w:cs="Arial"/>
                <w:b/>
                <w:bCs/>
                <w:color w:val="212121"/>
                <w:sz w:val="19"/>
                <w:szCs w:val="19"/>
              </w:rPr>
              <w:t>Tamil Nadu</w:t>
            </w:r>
          </w:p>
        </w:tc>
        <w:tc>
          <w:tcPr>
            <w:tcW w:w="28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6B95756C">
            <w:pPr>
              <w:jc w:val="left"/>
            </w:pPr>
            <w:r>
              <w:rPr>
                <w:rFonts w:ascii="Arial" w:hAnsi="Arial" w:eastAsia="Arial" w:cs="Arial"/>
                <w:b w:val="0"/>
                <w:bCs w:val="0"/>
                <w:color w:val="212121"/>
                <w:sz w:val="19"/>
                <w:szCs w:val="19"/>
              </w:rPr>
              <w:t>Chennai</w:t>
            </w:r>
          </w:p>
        </w:tc>
        <w:tc>
          <w:tcPr>
            <w:tcW w:w="30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4C5D4DEF">
            <w:pPr>
              <w:jc w:val="left"/>
            </w:pPr>
            <w:r>
              <w:rPr>
                <w:rFonts w:ascii="Arial" w:hAnsi="Arial" w:eastAsia="Arial" w:cs="Arial"/>
                <w:b w:val="0"/>
                <w:bCs w:val="0"/>
                <w:color w:val="212121"/>
                <w:sz w:val="19"/>
                <w:szCs w:val="19"/>
              </w:rPr>
              <w:t>South India</w:t>
            </w:r>
          </w:p>
        </w:tc>
      </w:tr>
      <w:tr w14:paraId="5BB6E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212AA5E6">
            <w:pPr>
              <w:jc w:val="center"/>
            </w:pPr>
            <w:r>
              <w:rPr>
                <w:rFonts w:ascii="Arial" w:hAnsi="Arial" w:eastAsia="Arial" w:cs="Arial"/>
                <w:b w:val="0"/>
                <w:bCs w:val="0"/>
                <w:color w:val="212121"/>
                <w:sz w:val="19"/>
                <w:szCs w:val="19"/>
              </w:rPr>
              <w:t>14</w:t>
            </w:r>
          </w:p>
        </w:tc>
        <w:tc>
          <w:tcPr>
            <w:tcW w:w="3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56CF96CE">
            <w:pPr>
              <w:jc w:val="left"/>
            </w:pPr>
            <w:r>
              <w:rPr>
                <w:rFonts w:ascii="Arial" w:hAnsi="Arial" w:eastAsia="Arial" w:cs="Arial"/>
                <w:b/>
                <w:bCs/>
                <w:color w:val="212121"/>
                <w:sz w:val="19"/>
                <w:szCs w:val="19"/>
              </w:rPr>
              <w:t>Haryana</w:t>
            </w:r>
          </w:p>
        </w:tc>
        <w:tc>
          <w:tcPr>
            <w:tcW w:w="28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2E40E0DF">
            <w:pPr>
              <w:jc w:val="left"/>
            </w:pPr>
            <w:r>
              <w:rPr>
                <w:rFonts w:ascii="Arial" w:hAnsi="Arial" w:eastAsia="Arial" w:cs="Arial"/>
                <w:b w:val="0"/>
                <w:bCs w:val="0"/>
                <w:color w:val="212121"/>
                <w:sz w:val="19"/>
                <w:szCs w:val="19"/>
              </w:rPr>
              <w:t>Chandigarh</w:t>
            </w:r>
          </w:p>
        </w:tc>
        <w:tc>
          <w:tcPr>
            <w:tcW w:w="3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46C51206">
            <w:pPr>
              <w:jc w:val="left"/>
            </w:pPr>
            <w:r>
              <w:rPr>
                <w:rFonts w:ascii="Arial" w:hAnsi="Arial" w:eastAsia="Arial" w:cs="Arial"/>
                <w:b w:val="0"/>
                <w:bCs w:val="0"/>
                <w:color w:val="212121"/>
                <w:sz w:val="19"/>
                <w:szCs w:val="19"/>
              </w:rPr>
              <w:t>North India</w:t>
            </w:r>
          </w:p>
        </w:tc>
      </w:tr>
      <w:tr w14:paraId="3E79D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7DBB158B">
            <w:pPr>
              <w:jc w:val="center"/>
            </w:pPr>
            <w:r>
              <w:rPr>
                <w:rFonts w:ascii="Arial" w:hAnsi="Arial" w:eastAsia="Arial" w:cs="Arial"/>
                <w:b w:val="0"/>
                <w:bCs w:val="0"/>
                <w:color w:val="212121"/>
                <w:sz w:val="19"/>
                <w:szCs w:val="19"/>
              </w:rPr>
              <w:t>15</w:t>
            </w:r>
          </w:p>
        </w:tc>
        <w:tc>
          <w:tcPr>
            <w:tcW w:w="30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282FA661">
            <w:pPr>
              <w:jc w:val="left"/>
            </w:pPr>
            <w:r>
              <w:rPr>
                <w:rFonts w:ascii="Arial" w:hAnsi="Arial" w:eastAsia="Arial" w:cs="Arial"/>
                <w:b/>
                <w:bCs/>
                <w:color w:val="212121"/>
                <w:sz w:val="19"/>
                <w:szCs w:val="19"/>
              </w:rPr>
              <w:t>Himachal Pradesh</w:t>
            </w:r>
          </w:p>
        </w:tc>
        <w:tc>
          <w:tcPr>
            <w:tcW w:w="28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14E9698B">
            <w:pPr>
              <w:jc w:val="left"/>
            </w:pPr>
            <w:r>
              <w:rPr>
                <w:rFonts w:ascii="Arial" w:hAnsi="Arial" w:eastAsia="Arial" w:cs="Arial"/>
                <w:b w:val="0"/>
                <w:bCs w:val="0"/>
                <w:color w:val="212121"/>
                <w:sz w:val="19"/>
                <w:szCs w:val="19"/>
              </w:rPr>
              <w:t>Simla</w:t>
            </w:r>
          </w:p>
        </w:tc>
        <w:tc>
          <w:tcPr>
            <w:tcW w:w="30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0DB7F4AF">
            <w:pPr>
              <w:jc w:val="left"/>
            </w:pPr>
            <w:r>
              <w:rPr>
                <w:rFonts w:ascii="Arial" w:hAnsi="Arial" w:eastAsia="Arial" w:cs="Arial"/>
                <w:b w:val="0"/>
                <w:bCs w:val="0"/>
                <w:color w:val="212121"/>
                <w:sz w:val="19"/>
                <w:szCs w:val="19"/>
              </w:rPr>
              <w:t>North India</w:t>
            </w:r>
          </w:p>
        </w:tc>
      </w:tr>
      <w:tr w14:paraId="6B2AC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3068AEF0">
            <w:pPr>
              <w:jc w:val="center"/>
            </w:pPr>
            <w:r>
              <w:rPr>
                <w:rFonts w:ascii="Arial" w:hAnsi="Arial" w:eastAsia="Arial" w:cs="Arial"/>
                <w:b w:val="0"/>
                <w:bCs w:val="0"/>
                <w:color w:val="212121"/>
                <w:sz w:val="19"/>
                <w:szCs w:val="19"/>
              </w:rPr>
              <w:t>16</w:t>
            </w:r>
          </w:p>
        </w:tc>
        <w:tc>
          <w:tcPr>
            <w:tcW w:w="3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1B9A35C5">
            <w:pPr>
              <w:jc w:val="left"/>
            </w:pPr>
            <w:r>
              <w:rPr>
                <w:rFonts w:ascii="Arial" w:hAnsi="Arial" w:eastAsia="Arial" w:cs="Arial"/>
                <w:b/>
                <w:bCs/>
                <w:color w:val="212121"/>
                <w:sz w:val="19"/>
                <w:szCs w:val="19"/>
              </w:rPr>
              <w:t>Goa</w:t>
            </w:r>
          </w:p>
        </w:tc>
        <w:tc>
          <w:tcPr>
            <w:tcW w:w="28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002512BC">
            <w:pPr>
              <w:jc w:val="left"/>
            </w:pPr>
            <w:r>
              <w:rPr>
                <w:rFonts w:ascii="Arial" w:hAnsi="Arial" w:eastAsia="Arial" w:cs="Arial"/>
                <w:b w:val="0"/>
                <w:bCs w:val="0"/>
                <w:color w:val="212121"/>
                <w:sz w:val="19"/>
                <w:szCs w:val="19"/>
              </w:rPr>
              <w:t>Goa</w:t>
            </w:r>
          </w:p>
        </w:tc>
        <w:tc>
          <w:tcPr>
            <w:tcW w:w="3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5557E2AB">
            <w:pPr>
              <w:jc w:val="left"/>
            </w:pPr>
            <w:r>
              <w:rPr>
                <w:rFonts w:ascii="Arial" w:hAnsi="Arial" w:eastAsia="Arial" w:cs="Arial"/>
                <w:b w:val="0"/>
                <w:bCs w:val="0"/>
                <w:color w:val="212121"/>
                <w:sz w:val="19"/>
                <w:szCs w:val="19"/>
              </w:rPr>
              <w:t>West India</w:t>
            </w:r>
          </w:p>
        </w:tc>
      </w:tr>
      <w:tr w14:paraId="49C60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260CDF07">
            <w:pPr>
              <w:jc w:val="center"/>
            </w:pPr>
            <w:r>
              <w:rPr>
                <w:rFonts w:ascii="Arial" w:hAnsi="Arial" w:eastAsia="Arial" w:cs="Arial"/>
                <w:b w:val="0"/>
                <w:bCs w:val="0"/>
                <w:color w:val="212121"/>
                <w:sz w:val="19"/>
                <w:szCs w:val="19"/>
              </w:rPr>
              <w:t>17</w:t>
            </w:r>
          </w:p>
        </w:tc>
        <w:tc>
          <w:tcPr>
            <w:tcW w:w="30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4107957D">
            <w:pPr>
              <w:jc w:val="left"/>
            </w:pPr>
            <w:r>
              <w:rPr>
                <w:rFonts w:ascii="Arial" w:hAnsi="Arial" w:eastAsia="Arial" w:cs="Arial"/>
                <w:b/>
                <w:bCs/>
                <w:color w:val="212121"/>
                <w:sz w:val="19"/>
                <w:szCs w:val="19"/>
              </w:rPr>
              <w:t>Sikkim</w:t>
            </w:r>
          </w:p>
        </w:tc>
        <w:tc>
          <w:tcPr>
            <w:tcW w:w="28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273F566A">
            <w:pPr>
              <w:jc w:val="left"/>
            </w:pPr>
            <w:r>
              <w:rPr>
                <w:rFonts w:ascii="Arial" w:hAnsi="Arial" w:eastAsia="Arial" w:cs="Arial"/>
                <w:b w:val="0"/>
                <w:bCs w:val="0"/>
                <w:color w:val="212121"/>
                <w:sz w:val="19"/>
                <w:szCs w:val="19"/>
              </w:rPr>
              <w:t>Gangtok</w:t>
            </w:r>
          </w:p>
        </w:tc>
        <w:tc>
          <w:tcPr>
            <w:tcW w:w="30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2902C406">
            <w:pPr>
              <w:jc w:val="left"/>
            </w:pPr>
            <w:r>
              <w:rPr>
                <w:rFonts w:ascii="Arial" w:hAnsi="Arial" w:eastAsia="Arial" w:cs="Arial"/>
                <w:b w:val="0"/>
                <w:bCs w:val="0"/>
                <w:color w:val="212121"/>
                <w:sz w:val="19"/>
                <w:szCs w:val="19"/>
              </w:rPr>
              <w:t>Northeast India</w:t>
            </w:r>
          </w:p>
        </w:tc>
      </w:tr>
      <w:tr w14:paraId="5D6C7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7065C7F7">
            <w:pPr>
              <w:jc w:val="center"/>
            </w:pPr>
            <w:r>
              <w:rPr>
                <w:rFonts w:ascii="Arial" w:hAnsi="Arial" w:eastAsia="Arial" w:cs="Arial"/>
                <w:b w:val="0"/>
                <w:bCs w:val="0"/>
                <w:color w:val="212121"/>
                <w:sz w:val="19"/>
                <w:szCs w:val="19"/>
              </w:rPr>
              <w:t>18</w:t>
            </w:r>
          </w:p>
        </w:tc>
        <w:tc>
          <w:tcPr>
            <w:tcW w:w="3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1CB26125">
            <w:pPr>
              <w:jc w:val="left"/>
            </w:pPr>
            <w:r>
              <w:rPr>
                <w:rFonts w:ascii="Arial" w:hAnsi="Arial" w:eastAsia="Arial" w:cs="Arial"/>
                <w:b/>
                <w:bCs/>
                <w:color w:val="212121"/>
                <w:sz w:val="19"/>
                <w:szCs w:val="19"/>
              </w:rPr>
              <w:t>Nagaland</w:t>
            </w:r>
          </w:p>
        </w:tc>
        <w:tc>
          <w:tcPr>
            <w:tcW w:w="28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1AE94421">
            <w:pPr>
              <w:jc w:val="left"/>
            </w:pPr>
            <w:r>
              <w:rPr>
                <w:rFonts w:ascii="Arial" w:hAnsi="Arial" w:eastAsia="Arial" w:cs="Arial"/>
                <w:b w:val="0"/>
                <w:bCs w:val="0"/>
                <w:color w:val="212121"/>
                <w:sz w:val="19"/>
                <w:szCs w:val="19"/>
              </w:rPr>
              <w:t>Kohima</w:t>
            </w:r>
          </w:p>
        </w:tc>
        <w:tc>
          <w:tcPr>
            <w:tcW w:w="3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vAlign w:val="center"/>
          </w:tcPr>
          <w:p w14:paraId="26C096C3">
            <w:pPr>
              <w:jc w:val="left"/>
            </w:pPr>
            <w:r>
              <w:rPr>
                <w:rFonts w:ascii="Arial" w:hAnsi="Arial" w:eastAsia="Arial" w:cs="Arial"/>
                <w:b w:val="0"/>
                <w:bCs w:val="0"/>
                <w:color w:val="212121"/>
                <w:sz w:val="19"/>
                <w:szCs w:val="19"/>
              </w:rPr>
              <w:t>Northeast India</w:t>
            </w:r>
          </w:p>
        </w:tc>
      </w:tr>
      <w:tr w14:paraId="13ACC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0CA843FD">
            <w:pPr>
              <w:jc w:val="center"/>
            </w:pPr>
            <w:r>
              <w:rPr>
                <w:rFonts w:ascii="Arial" w:hAnsi="Arial" w:eastAsia="Arial" w:cs="Arial"/>
                <w:b w:val="0"/>
                <w:bCs w:val="0"/>
                <w:color w:val="212121"/>
                <w:sz w:val="19"/>
                <w:szCs w:val="19"/>
              </w:rPr>
              <w:t>19</w:t>
            </w:r>
          </w:p>
        </w:tc>
        <w:tc>
          <w:tcPr>
            <w:tcW w:w="30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538CECA3">
            <w:pPr>
              <w:jc w:val="left"/>
            </w:pPr>
            <w:r>
              <w:rPr>
                <w:rFonts w:ascii="Arial" w:hAnsi="Arial" w:eastAsia="Arial" w:cs="Arial"/>
                <w:b/>
                <w:bCs/>
                <w:color w:val="212121"/>
                <w:sz w:val="19"/>
                <w:szCs w:val="19"/>
              </w:rPr>
              <w:t>Jammu and Kashmir</w:t>
            </w:r>
          </w:p>
        </w:tc>
        <w:tc>
          <w:tcPr>
            <w:tcW w:w="28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0BA9FD83">
            <w:pPr>
              <w:jc w:val="left"/>
            </w:pPr>
            <w:r>
              <w:rPr>
                <w:rFonts w:ascii="Arial" w:hAnsi="Arial" w:eastAsia="Arial" w:cs="Arial"/>
                <w:b w:val="0"/>
                <w:bCs w:val="0"/>
                <w:color w:val="212121"/>
                <w:sz w:val="19"/>
                <w:szCs w:val="19"/>
              </w:rPr>
              <w:t>Kashmir</w:t>
            </w:r>
          </w:p>
        </w:tc>
        <w:tc>
          <w:tcPr>
            <w:tcW w:w="30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50" w:type="dxa"/>
              <w:bottom w:w="80" w:type="dxa"/>
              <w:right w:w="150" w:type="dxa"/>
            </w:tcMar>
            <w:vAlign w:val="center"/>
          </w:tcPr>
          <w:p w14:paraId="6A75264D">
            <w:pPr>
              <w:jc w:val="left"/>
            </w:pPr>
            <w:r>
              <w:rPr>
                <w:rFonts w:ascii="Arial" w:hAnsi="Arial" w:eastAsia="Arial" w:cs="Arial"/>
                <w:b w:val="0"/>
                <w:bCs w:val="0"/>
                <w:color w:val="212121"/>
                <w:sz w:val="19"/>
                <w:szCs w:val="19"/>
              </w:rPr>
              <w:t>North India</w:t>
            </w:r>
          </w:p>
        </w:tc>
      </w:tr>
    </w:tbl>
    <w:p w14:paraId="18D022BA"/>
    <w:p w14:paraId="5C8C9F40"/>
    <w:p w14:paraId="05DA517B">
      <w:pPr>
        <w:rPr>
          <w:rFonts w:hint="default" w:ascii="Segoe UI" w:hAnsi="Segoe UI" w:cs="Segoe UI"/>
          <w:b/>
          <w:bCs/>
          <w:color w:val="0000FF"/>
          <w:sz w:val="144"/>
          <w:szCs w:val="144"/>
          <w:lang w:val="en-IN"/>
        </w:rPr>
      </w:pPr>
    </w:p>
    <w:p w14:paraId="59822371">
      <w:pPr>
        <w:rPr>
          <w:rFonts w:hint="default" w:ascii="Segoe UI" w:hAnsi="Segoe UI" w:cs="Segoe UI"/>
          <w:b/>
          <w:bCs/>
          <w:color w:val="0000FF"/>
          <w:sz w:val="144"/>
          <w:szCs w:val="144"/>
          <w:lang w:val="en-IN"/>
        </w:rPr>
      </w:pPr>
    </w:p>
    <w:p w14:paraId="0C4E76F3">
      <w:pPr>
        <w:jc w:val="center"/>
        <w:rPr>
          <w:rFonts w:hint="default" w:ascii="Segoe UI" w:hAnsi="Segoe UI" w:cs="Segoe UI"/>
          <w:b/>
          <w:bCs/>
          <w:color w:val="0000FF"/>
          <w:sz w:val="144"/>
          <w:szCs w:val="144"/>
          <w:lang w:val="en-IN"/>
          <w14:shadow w14:blurRad="50800" w14:dist="38100" w14:dir="2700000" w14:sx="100000" w14:sy="100000" w14:kx="0" w14:ky="0" w14:algn="tl">
            <w14:srgbClr w14:val="000000">
              <w14:alpha w14:val="60000"/>
            </w14:srgbClr>
          </w14:shadow>
        </w:rPr>
      </w:pPr>
      <w:r>
        <w:rPr>
          <w:rFonts w:hint="default" w:ascii="Segoe UI" w:hAnsi="Segoe UI" w:cs="Segoe UI"/>
          <w:b/>
          <w:bCs/>
          <w:color w:val="0000FF"/>
          <w:sz w:val="144"/>
          <w:szCs w:val="144"/>
          <w:lang w:val="en-IN"/>
          <w14:shadow w14:blurRad="50800" w14:dist="38100" w14:dir="2700000" w14:sx="100000" w14:sy="100000" w14:kx="0" w14:ky="0" w14:algn="tl">
            <w14:srgbClr w14:val="000000">
              <w14:alpha w14:val="60000"/>
            </w14:srgbClr>
          </w14:shadow>
        </w:rPr>
        <w:t>THANK YOU</w:t>
      </w:r>
    </w:p>
    <w:sectPr>
      <w:headerReference r:id="rId3" w:type="default"/>
      <w:footerReference r:id="rId4" w:type="default"/>
      <w:pgSz w:w="12240" w:h="15840"/>
      <w:pgMar w:top="1440" w:right="126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01FE45">
    <w:pPr>
      <w:pBdr>
        <w:top w:val="single" w:color="1565C0" w:sz="6" w:space="2"/>
      </w:pBdr>
      <w:jc w:val="center"/>
    </w:pPr>
    <w:r>
      <w:rPr>
        <w:rFonts w:ascii="Arial" w:hAnsi="Arial" w:eastAsia="Arial" w:cs="Arial"/>
        <w:color w:val="666666"/>
        <w:sz w:val="18"/>
        <w:szCs w:val="18"/>
      </w:rPr>
      <w:t xml:space="preserve">Page </w:t>
    </w:r>
    <w:r>
      <w:rPr>
        <w:rFonts w:ascii="Arial" w:hAnsi="Arial" w:eastAsia="Arial" w:cs="Arial"/>
        <w:color w:val="1A237E"/>
        <w:sz w:val="18"/>
        <w:szCs w:val="18"/>
      </w:rPr>
      <w:fldChar w:fldCharType="begin"/>
    </w:r>
    <w:r>
      <w:rPr>
        <w:rFonts w:ascii="Arial" w:hAnsi="Arial" w:eastAsia="Arial" w:cs="Arial"/>
        <w:color w:val="1A237E"/>
        <w:sz w:val="18"/>
        <w:szCs w:val="18"/>
      </w:rPr>
      <w:instrText xml:space="preserve">PAGE</w:instrText>
    </w:r>
    <w:r>
      <w:rPr>
        <w:rFonts w:ascii="Arial" w:hAnsi="Arial" w:eastAsia="Arial" w:cs="Arial"/>
        <w:color w:val="1A237E"/>
        <w:sz w:val="18"/>
        <w:szCs w:val="18"/>
      </w:rPr>
      <w:fldChar w:fldCharType="separate"/>
    </w:r>
    <w:r>
      <w:rPr>
        <w:rFonts w:ascii="Arial" w:hAnsi="Arial" w:eastAsia="Arial" w:cs="Arial"/>
        <w:color w:val="1A237E"/>
        <w:sz w:val="18"/>
        <w:szCs w:val="18"/>
      </w:rPr>
      <w:fldChar w:fldCharType="end"/>
    </w:r>
    <w:r>
      <w:rPr>
        <w:rFonts w:ascii="Arial" w:hAnsi="Arial" w:eastAsia="Arial" w:cs="Arial"/>
        <w:color w:val="666666"/>
        <w:sz w:val="18"/>
        <w:szCs w:val="18"/>
      </w:rPr>
      <w:t xml:space="preserve"> | Department of Computer Applications — MCA</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E6EC3B">
    <w:pPr>
      <w:jc w:val="right"/>
    </w:pPr>
    <w:r>
      <w:drawing>
        <wp:inline distT="0" distB="0" distL="0" distR="0">
          <wp:extent cx="1409700" cy="313690"/>
          <wp:effectExtent l="0" t="0" r="7620" b="6350"/>
          <wp:docPr id="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
                  <pic:cNvPicPr>
                    <a:picLocks noChangeAspect="1" noChangeArrowheads="1"/>
                  </pic:cNvPicPr>
                </pic:nvPicPr>
                <pic:blipFill>
                  <a:blip r:embed="rId1"/>
                  <a:stretch>
                    <a:fillRect/>
                  </a:stretch>
                </pic:blipFill>
                <pic:spPr>
                  <a:xfrm>
                    <a:off x="0" y="0"/>
                    <a:ext cx="1409700" cy="31369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86C3DC"/>
    <w:multiLevelType w:val="singleLevel"/>
    <w:tmpl w:val="DB86C3DC"/>
    <w:lvl w:ilvl="0" w:tentative="0">
      <w:start w:val="1"/>
      <w:numFmt w:val="decimal"/>
      <w:lvlText w:val="%1."/>
      <w:lvlJc w:val="left"/>
      <w:pPr>
        <w:ind w:left="720" w:hanging="360"/>
      </w:pPr>
      <w:rPr>
        <w:rFonts w:ascii="Arial" w:hAnsi="Arial" w:eastAsia="Arial" w:cs="Arial"/>
        <w:sz w:val="22"/>
        <w:szCs w:val="22"/>
      </w:rPr>
    </w:lvl>
  </w:abstractNum>
  <w:abstractNum w:abstractNumId="1">
    <w:nsid w:val="31EEDB2E"/>
    <w:multiLevelType w:val="multilevel"/>
    <w:tmpl w:val="31EEDB2E"/>
    <w:lvl w:ilvl="0" w:tentative="0">
      <w:start w:val="1"/>
      <w:numFmt w:val="bullet"/>
      <w:lvlText w:val="•"/>
      <w:lvlJc w:val="left"/>
      <w:pPr>
        <w:ind w:left="720" w:hanging="360"/>
      </w:pPr>
      <w:rPr>
        <w:rFonts w:ascii="Arial" w:hAnsi="Arial" w:eastAsia="Arial" w:cs="Arial"/>
        <w:sz w:val="22"/>
        <w:szCs w:val="22"/>
      </w:rPr>
    </w:lvl>
    <w:lvl w:ilvl="1" w:tentative="0">
      <w:start w:val="1"/>
      <w:numFmt w:val="bullet"/>
      <w:lvlText w:val="◦"/>
      <w:lvlJc w:val="left"/>
      <w:pPr>
        <w:ind w:left="1080" w:hanging="360"/>
      </w:pPr>
      <w:rPr>
        <w:rFonts w:ascii="Arial" w:hAnsi="Arial" w:eastAsia="Arial" w:cs="Arial"/>
        <w:sz w:val="20"/>
        <w:szCs w:val="20"/>
      </w:rPr>
    </w:lvl>
  </w:abstractNum>
  <w:abstractNum w:abstractNumId="2">
    <w:nsid w:val="786366D3"/>
    <w:multiLevelType w:val="singleLevel"/>
    <w:tmpl w:val="786366D3"/>
    <w:lvl w:ilvl="0" w:tentative="0">
      <w:start w:val="5"/>
      <w:numFmt w:val="upperLetter"/>
      <w:suff w:val="nothing"/>
      <w:lvlText w:val="%1-"/>
      <w:lvlJc w:val="left"/>
    </w:lvl>
  </w:abstractNum>
  <w:num w:numId="1">
    <w:abstractNumId w:val="2"/>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1EA493B"/>
    <w:rsid w:val="027739CB"/>
    <w:rsid w:val="02E7669F"/>
    <w:rsid w:val="08770A71"/>
    <w:rsid w:val="0AC32834"/>
    <w:rsid w:val="11EA1373"/>
    <w:rsid w:val="12B05A93"/>
    <w:rsid w:val="17EC21B8"/>
    <w:rsid w:val="18DC65B5"/>
    <w:rsid w:val="1B4E010B"/>
    <w:rsid w:val="1BEA14D8"/>
    <w:rsid w:val="1C196619"/>
    <w:rsid w:val="1C634026"/>
    <w:rsid w:val="20F546BA"/>
    <w:rsid w:val="23B416D2"/>
    <w:rsid w:val="283B4C50"/>
    <w:rsid w:val="284B369B"/>
    <w:rsid w:val="29232D0B"/>
    <w:rsid w:val="297F1FD1"/>
    <w:rsid w:val="2AF2680F"/>
    <w:rsid w:val="35C778E0"/>
    <w:rsid w:val="37E8381D"/>
    <w:rsid w:val="38802E42"/>
    <w:rsid w:val="3A0425E9"/>
    <w:rsid w:val="3BCD2229"/>
    <w:rsid w:val="3D9F061F"/>
    <w:rsid w:val="420E6F2F"/>
    <w:rsid w:val="42A174AA"/>
    <w:rsid w:val="4A884399"/>
    <w:rsid w:val="4E8F0C6E"/>
    <w:rsid w:val="4F586138"/>
    <w:rsid w:val="4FB060EC"/>
    <w:rsid w:val="57586B58"/>
    <w:rsid w:val="59545699"/>
    <w:rsid w:val="5A874791"/>
    <w:rsid w:val="5D115B07"/>
    <w:rsid w:val="5D4D621E"/>
    <w:rsid w:val="63B4491F"/>
    <w:rsid w:val="66150C06"/>
    <w:rsid w:val="6D1A237D"/>
    <w:rsid w:val="6DFD089B"/>
    <w:rsid w:val="720F447A"/>
    <w:rsid w:val="73E7745D"/>
    <w:rsid w:val="74A2101E"/>
    <w:rsid w:val="7B0669E6"/>
    <w:rsid w:val="7B627DD2"/>
    <w:rsid w:val="7E034D49"/>
    <w:rsid w:val="7F20421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212121"/>
      <w:sz w:val="22"/>
      <w:szCs w:val="22"/>
    </w:rPr>
  </w:style>
  <w:style w:type="paragraph" w:styleId="2">
    <w:name w:val="heading 1"/>
    <w:next w:val="1"/>
    <w:qFormat/>
    <w:uiPriority w:val="0"/>
    <w:pPr>
      <w:spacing w:before="360" w:after="200"/>
      <w:outlineLvl w:val="0"/>
    </w:pPr>
    <w:rPr>
      <w:rFonts w:ascii="Arial" w:hAnsi="Arial" w:eastAsia="Arial" w:cs="Arial"/>
      <w:b/>
      <w:bCs/>
      <w:color w:val="1A237E"/>
      <w:sz w:val="36"/>
      <w:szCs w:val="36"/>
    </w:rPr>
  </w:style>
  <w:style w:type="paragraph" w:styleId="3">
    <w:name w:val="heading 2"/>
    <w:next w:val="1"/>
    <w:qFormat/>
    <w:uiPriority w:val="0"/>
    <w:pPr>
      <w:spacing w:before="280" w:after="160"/>
      <w:outlineLvl w:val="1"/>
    </w:pPr>
    <w:rPr>
      <w:rFonts w:ascii="Arial" w:hAnsi="Arial" w:eastAsia="Arial" w:cs="Arial"/>
      <w:b/>
      <w:bCs/>
      <w:color w:val="1565C0"/>
      <w:sz w:val="28"/>
      <w:szCs w:val="28"/>
    </w:rPr>
  </w:style>
  <w:style w:type="paragraph" w:styleId="4">
    <w:name w:val="heading 3"/>
    <w:next w:val="1"/>
    <w:qFormat/>
    <w:uiPriority w:val="0"/>
    <w:pPr>
      <w:spacing w:before="200" w:after="100"/>
      <w:outlineLvl w:val="2"/>
    </w:pPr>
    <w:rPr>
      <w:rFonts w:ascii="Arial" w:hAnsi="Arial" w:eastAsia="Arial" w:cs="Arial"/>
      <w:b/>
      <w:bCs/>
      <w:color w:val="0D47A1"/>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2"/>
    <w:semiHidden/>
    <w:unhideWhenUsed/>
    <w:qFormat/>
    <w:uiPriority w:val="99"/>
    <w:pPr>
      <w:spacing w:after="0" w:line="240" w:lineRule="auto"/>
    </w:pPr>
    <w:rPr>
      <w:rFonts w:ascii="Arial" w:hAnsi="Arial" w:eastAsia="Arial" w:cs="Arial"/>
      <w:color w:val="212121"/>
      <w:sz w:val="20"/>
      <w:szCs w:val="20"/>
    </w:rPr>
  </w:style>
  <w:style w:type="character" w:styleId="12">
    <w:name w:val="footnote reference"/>
    <w:semiHidden/>
    <w:unhideWhenUsed/>
    <w:qFormat/>
    <w:uiPriority w:val="99"/>
    <w:rPr>
      <w:vertAlign w:val="superscript"/>
    </w:rPr>
  </w:style>
  <w:style w:type="paragraph" w:styleId="13">
    <w:name w:val="footnote text"/>
    <w:link w:val="21"/>
    <w:semiHidden/>
    <w:unhideWhenUsed/>
    <w:qFormat/>
    <w:uiPriority w:val="99"/>
    <w:pPr>
      <w:spacing w:after="0" w:line="240" w:lineRule="auto"/>
    </w:pPr>
    <w:rPr>
      <w:rFonts w:ascii="Arial" w:hAnsi="Arial" w:eastAsia="Arial" w:cs="Arial"/>
      <w:color w:val="212121"/>
      <w:sz w:val="20"/>
      <w:szCs w:val="20"/>
    </w:rPr>
  </w:style>
  <w:style w:type="character" w:styleId="14">
    <w:name w:val="Hyperlink"/>
    <w:unhideWhenUsed/>
    <w:qFormat/>
    <w:uiPriority w:val="99"/>
    <w:rPr>
      <w:color w:val="0563C1"/>
      <w:u w:val="single"/>
    </w:rPr>
  </w:style>
  <w:style w:type="character" w:styleId="15">
    <w:name w:val="Strong"/>
    <w:qFormat/>
    <w:uiPriority w:val="0"/>
    <w:rPr>
      <w:b/>
      <w:bCs/>
    </w:rPr>
  </w:style>
  <w:style w:type="paragraph" w:styleId="16">
    <w:name w:val="Title"/>
    <w:qFormat/>
    <w:uiPriority w:val="0"/>
    <w:rPr>
      <w:rFonts w:ascii="Arial" w:hAnsi="Arial" w:eastAsia="Arial" w:cs="Arial"/>
      <w:color w:val="212121"/>
      <w:sz w:val="56"/>
      <w:szCs w:val="56"/>
    </w:rPr>
  </w:style>
  <w:style w:type="paragraph" w:styleId="17">
    <w:name w:val="toc 1"/>
    <w:basedOn w:val="1"/>
    <w:next w:val="1"/>
    <w:qFormat/>
    <w:uiPriority w:val="0"/>
  </w:style>
  <w:style w:type="paragraph" w:styleId="18">
    <w:name w:val="toc 2"/>
    <w:basedOn w:val="1"/>
    <w:next w:val="1"/>
    <w:qFormat/>
    <w:uiPriority w:val="0"/>
    <w:pPr>
      <w:ind w:left="420" w:leftChars="200"/>
    </w:pPr>
  </w:style>
  <w:style w:type="paragraph" w:styleId="19">
    <w:name w:val="toc 3"/>
    <w:basedOn w:val="1"/>
    <w:next w:val="1"/>
    <w:qFormat/>
    <w:uiPriority w:val="0"/>
    <w:pPr>
      <w:ind w:left="840" w:leftChars="400"/>
    </w:pPr>
  </w:style>
  <w:style w:type="paragraph" w:styleId="20">
    <w:name w:val="List Paragraph"/>
    <w:qFormat/>
    <w:uiPriority w:val="0"/>
    <w:rPr>
      <w:rFonts w:ascii="Arial" w:hAnsi="Arial" w:eastAsia="Arial" w:cs="Arial"/>
      <w:color w:val="212121"/>
      <w:sz w:val="22"/>
      <w:szCs w:val="22"/>
    </w:rPr>
  </w:style>
  <w:style w:type="character" w:customStyle="1" w:styleId="21">
    <w:name w:val="Footnote Text Char"/>
    <w:link w:val="13"/>
    <w:semiHidden/>
    <w:unhideWhenUsed/>
    <w:qFormat/>
    <w:uiPriority w:val="99"/>
    <w:rPr>
      <w:sz w:val="20"/>
      <w:szCs w:val="20"/>
    </w:rPr>
  </w:style>
  <w:style w:type="character" w:customStyle="1" w:styleId="22">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40</Pages>
  <Words>3176</Words>
  <Characters>19492</Characters>
  <TotalTime>0</TotalTime>
  <ScaleCrop>false</ScaleCrop>
  <LinksUpToDate>false</LinksUpToDate>
  <CharactersWithSpaces>22625</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2026-05-12T05:42:00Z</dcterms:created>
  <dc:creator>Un-named</dc:creator>
  <cp:lastModifiedBy>deepansh jain</cp:lastModifiedBy>
  <dcterms:modified xsi:type="dcterms:W3CDTF">2026-05-22T04:52:15Z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eyJoZGlkIjoiYjJjOTQxYzhjODMyMDAzZmE0MDJkMWFkNmJlNDkwYTUiLCJ1c2VySWQiOiI1NjcyMTk3MDM5MTcifQ==</vt:lpwstr>
  </property>
  <property fmtid="{D5CDD505-2E9C-101B-9397-08002B2CF9AE}" pid="3" name="KSOProductBuildVer">
    <vt:lpwstr>1033-12.1.0.26372</vt:lpwstr>
  </property>
  <property fmtid="{D5CDD505-2E9C-101B-9397-08002B2CF9AE}" pid="4" name="ICV">
    <vt:lpwstr>3F3F61BB57704C5BB89DDE25914D8618_12</vt:lpwstr>
  </property>
</Properties>
</file>