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jc w:val="center"/>
      </w:pPr>
      <w:r>
        <w:rPr>
          <w:rFonts w:ascii="Calibri" w:cs="Calibri" w:eastAsia="Calibri" w:hAnsi="Calibri"/>
          <w:b/>
          <w:bCs/>
          <w:caps/>
          <w:color w:val="555555"/>
          <w:sz w:val="22"/>
          <w:szCs w:val="22"/>
        </w:rPr>
        <w:t xml:space="preserve">DATA VISUALIZATION &amp; ANALYSIS</w:t>
      </w:r>
    </w:p>
    <w:p>
      <w:pPr>
        <w:spacing w:before="40" w:after="0"/>
        <w:jc w:val="center"/>
      </w:pPr>
      <w:r>
        <w:rPr>
          <w:rFonts w:ascii="Calibri" w:cs="Calibri" w:eastAsia="Calibri" w:hAnsi="Calibri"/>
          <w:b/>
          <w:bCs/>
          <w:caps/>
          <w:color w:val="555555"/>
          <w:sz w:val="22"/>
          <w:szCs w:val="22"/>
        </w:rPr>
        <w:t xml:space="preserve">CAPSTONE PROJECT REPORT</w:t>
      </w:r>
    </w:p>
    <w:p>
      <w:pPr>
        <w:spacing w:before="300" w:after="0"/>
      </w:pPr>
      <w:r>
        <w:t xml:space="preserve"/>
      </w:r>
    </w:p>
    <w:p>
      <w:pPr>
        <w:spacing w:before="0" w:after="0"/>
        <w:jc w:val="center"/>
      </w:pPr>
      <w:r>
        <w:rPr>
          <w:rFonts w:ascii="Calibri" w:cs="Calibri" w:eastAsia="Calibri" w:hAnsi="Calibri"/>
          <w:b/>
          <w:bCs/>
          <w:color w:val="1B6B5A"/>
          <w:sz w:val="60"/>
          <w:szCs w:val="60"/>
        </w:rPr>
        <w:t xml:space="preserve">NTPC Power Station</w:t>
      </w:r>
    </w:p>
    <w:p>
      <w:pPr>
        <w:spacing w:before="60" w:after="0"/>
        <w:jc w:val="center"/>
      </w:pPr>
      <w:r>
        <w:rPr>
          <w:rFonts w:ascii="Calibri" w:cs="Calibri" w:eastAsia="Calibri" w:hAnsi="Calibri"/>
          <w:b/>
          <w:bCs/>
          <w:color w:val="2E9E80"/>
          <w:sz w:val="48"/>
          <w:szCs w:val="48"/>
        </w:rPr>
        <w:t xml:space="preserve">Operational Efficiency Analysis</w:t>
      </w:r>
    </w:p>
    <w:p>
      <w:pPr>
        <w:spacing w:before="80" w:after="0"/>
      </w:pPr>
      <w:r>
        <w:t xml:space="preserve"/>
      </w:r>
    </w:p>
    <w:p>
      <w:pPr>
        <w:pBdr>
          <w:bottom w:val="single" w:color="2E9E80" w:sz="6" w:space="4"/>
        </w:pBdr>
        <w:spacing w:before="0" w:after="0"/>
        <w:jc w:val="center"/>
      </w:pPr>
      <w:r>
        <w:rPr>
          <w:rFonts w:ascii="Calibri" w:cs="Calibri" w:eastAsia="Calibri" w:hAnsi="Calibri"/>
          <w:sz w:val="22"/>
          <w:szCs w:val="22"/>
        </w:rPr>
        <w:t xml:space="preserve"> </w:t>
      </w:r>
    </w:p>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9E80" w:sz="1"/>
              <w:left w:val="single" w:color="2E9E80" w:sz="1"/>
              <w:bottom w:val="single" w:color="2E9E80" w:sz="1"/>
              <w:right w:val="single" w:color="2E9E80" w:sz="1"/>
            </w:tcBorders>
            <w:shd w:fill="D4EDE7" w:val="clear"/>
            <w:tcMar>
              <w:top w:type="dxa" w:w="200"/>
              <w:left w:type="dxa" w:w="300"/>
              <w:bottom w:type="dxa" w:w="200"/>
              <w:right w:type="dxa" w:w="300"/>
            </w:tcMar>
          </w:tcPr>
          <w:p>
            <w:pPr>
              <w:spacing w:before="0" w:after="80"/>
              <w:jc w:val="center"/>
            </w:pPr>
            <w:r>
              <w:rPr>
                <w:rFonts w:ascii="Calibri" w:cs="Calibri" w:eastAsia="Calibri" w:hAnsi="Calibri"/>
                <w:b/>
                <w:bCs/>
                <w:color w:val="1B6B5A"/>
                <w:sz w:val="22"/>
                <w:szCs w:val="22"/>
              </w:rPr>
              <w:t xml:space="preserve">Research Question</w:t>
            </w:r>
          </w:p>
          <w:p>
            <w:pPr>
              <w:jc w:val="center"/>
            </w:pPr>
            <w:r>
              <w:rPr>
                <w:rFonts w:ascii="Calibri" w:cs="Calibri" w:eastAsia="Calibri" w:hAnsi="Calibri"/>
                <w:i/>
                <w:iCs/>
                <w:color w:val="2C2C2C"/>
                <w:sz w:val="22"/>
                <w:szCs w:val="22"/>
              </w:rPr>
              <w:t xml:space="preserve">Which NTPC power stations have persistent operational problems due to outages, low capacity use, and coal shortages — and how do these problems affect daily power generation?</w:t>
            </w:r>
          </w:p>
        </w:tc>
      </w:tr>
    </w:tbl>
    <w:p>
      <w:pPr>
        <w:spacing w:before="200" w:after="0"/>
      </w:pPr>
      <w:r>
        <w:t xml:space="preserve"/>
      </w:r>
    </w:p>
    <w:p>
      <w:pPr>
        <w:jc w:val="center"/>
      </w:pPr>
      <w:r>
        <w:rPr>
          <w:rFonts w:ascii="Calibri" w:cs="Calibri" w:eastAsia="Calibri" w:hAnsi="Calibri"/>
          <w:color w:val="555555"/>
          <w:sz w:val="20"/>
          <w:szCs w:val="20"/>
        </w:rPr>
        <w:t xml:space="preserve">Dataset: 7,500 records  |  41 Stations  |  20 States  |  2017 to 2026</w:t>
      </w:r>
    </w:p>
    <w:p>
      <w:pPr>
        <w:spacing w:before="60" w:after="0"/>
      </w:pPr>
      <w:r>
        <w:t xml:space="preserve"/>
      </w:r>
    </w:p>
    <w:p>
      <w:pPr>
        <w:jc w:val="center"/>
      </w:pPr>
      <w:r>
        <w:rPr>
          <w:rFonts w:ascii="Calibri" w:cs="Calibri" w:eastAsia="Calibri" w:hAnsi="Calibri"/>
          <w:b/>
          <w:bCs/>
          <w:color w:val="1B6B5A"/>
          <w:sz w:val="22"/>
          <w:szCs w:val="22"/>
        </w:rPr>
        <w:t xml:space="preserve">National Thermal Power Corporation (NTPC) Limited, India</w:t>
      </w:r>
    </w:p>
    <w:p>
      <w:pPr>
        <w:spacing w:before="40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A8D5C8" w:sz="1"/>
              <w:left w:val="single" w:color="A8D5C8" w:sz="1"/>
              <w:bottom w:val="single" w:color="A8D5C8" w:sz="1"/>
              <w:right w:val="single" w:color="A8D5C8" w:sz="1"/>
            </w:tcBorders>
            <w:shd w:fill="F0F4F3" w:val="clear"/>
            <w:tcMar>
              <w:top w:type="dxa" w:w="100"/>
              <w:left w:type="dxa" w:w="160"/>
              <w:bottom w:type="dxa" w:w="100"/>
              <w:right w:type="dxa" w:w="160"/>
            </w:tcMar>
          </w:tcPr>
          <w:p>
            <w:pPr>
              <w:jc w:val="center"/>
            </w:pPr>
            <w:r>
              <w:rPr>
                <w:rFonts w:ascii="Calibri" w:cs="Calibri" w:eastAsia="Calibri" w:hAnsi="Calibri"/>
                <w:color w:val="555555"/>
                <w:sz w:val="18"/>
                <w:szCs w:val="18"/>
              </w:rPr>
              <w:t xml:space="preserve">Project Type</w:t>
            </w:r>
          </w:p>
          <w:p>
            <w:pPr>
              <w:jc w:val="center"/>
            </w:pPr>
            <w:r>
              <w:rPr>
                <w:rFonts w:ascii="Calibri" w:cs="Calibri" w:eastAsia="Calibri" w:hAnsi="Calibri"/>
                <w:b/>
                <w:bCs/>
                <w:color w:val="1B6B5A"/>
                <w:sz w:val="20"/>
                <w:szCs w:val="20"/>
              </w:rPr>
              <w:t xml:space="preserve">DVA Capstone</w:t>
            </w:r>
          </w:p>
        </w:tc>
        <w:tc>
          <w:tcPr>
            <w:tcW w:type="dxa" w:w="3000"/>
            <w:tcBorders>
              <w:top w:val="single" w:color="A8D5C8" w:sz="1"/>
              <w:left w:val="single" w:color="A8D5C8" w:sz="1"/>
              <w:bottom w:val="single" w:color="A8D5C8" w:sz="1"/>
              <w:right w:val="single" w:color="A8D5C8" w:sz="1"/>
            </w:tcBorders>
            <w:shd w:fill="F0F4F3" w:val="clear"/>
            <w:tcMar>
              <w:top w:type="dxa" w:w="100"/>
              <w:left w:type="dxa" w:w="160"/>
              <w:bottom w:type="dxa" w:w="100"/>
              <w:right w:type="dxa" w:w="160"/>
            </w:tcMar>
          </w:tcPr>
          <w:p>
            <w:pPr>
              <w:jc w:val="center"/>
            </w:pPr>
            <w:r>
              <w:rPr>
                <w:rFonts w:ascii="Calibri" w:cs="Calibri" w:eastAsia="Calibri" w:hAnsi="Calibri"/>
                <w:color w:val="555555"/>
                <w:sz w:val="18"/>
                <w:szCs w:val="18"/>
              </w:rPr>
              <w:t xml:space="preserve">Domain</w:t>
            </w:r>
          </w:p>
          <w:p>
            <w:pPr>
              <w:jc w:val="center"/>
            </w:pPr>
            <w:r>
              <w:rPr>
                <w:rFonts w:ascii="Calibri" w:cs="Calibri" w:eastAsia="Calibri" w:hAnsi="Calibri"/>
                <w:b/>
                <w:bCs/>
                <w:color w:val="1B6B5A"/>
                <w:sz w:val="20"/>
                <w:szCs w:val="20"/>
              </w:rPr>
              <w:t xml:space="preserve">Energy / Power Sector</w:t>
            </w:r>
          </w:p>
        </w:tc>
        <w:tc>
          <w:tcPr>
            <w:tcW w:type="dxa" w:w="3000"/>
            <w:tcBorders>
              <w:top w:val="single" w:color="A8D5C8" w:sz="1"/>
              <w:left w:val="single" w:color="A8D5C8" w:sz="1"/>
              <w:bottom w:val="single" w:color="A8D5C8" w:sz="1"/>
              <w:right w:val="single" w:color="A8D5C8" w:sz="1"/>
            </w:tcBorders>
            <w:shd w:fill="F0F4F3" w:val="clear"/>
            <w:tcMar>
              <w:top w:type="dxa" w:w="100"/>
              <w:left w:type="dxa" w:w="160"/>
              <w:bottom w:type="dxa" w:w="100"/>
              <w:right w:type="dxa" w:w="160"/>
            </w:tcMar>
          </w:tcPr>
          <w:p>
            <w:pPr>
              <w:jc w:val="center"/>
            </w:pPr>
            <w:r>
              <w:rPr>
                <w:rFonts w:ascii="Calibri" w:cs="Calibri" w:eastAsia="Calibri" w:hAnsi="Calibri"/>
                <w:color w:val="555555"/>
                <w:sz w:val="18"/>
                <w:szCs w:val="18"/>
              </w:rPr>
              <w:t xml:space="preserve">Analysis Period</w:t>
            </w:r>
          </w:p>
          <w:p>
            <w:pPr>
              <w:jc w:val="center"/>
            </w:pPr>
            <w:r>
              <w:rPr>
                <w:rFonts w:ascii="Calibri" w:cs="Calibri" w:eastAsia="Calibri" w:hAnsi="Calibri"/>
                <w:b/>
                <w:bCs/>
                <w:color w:val="1B6B5A"/>
                <w:sz w:val="20"/>
                <w:szCs w:val="20"/>
              </w:rPr>
              <w:t xml:space="preserve">2017 – 2026</w:t>
            </w:r>
          </w:p>
        </w:tc>
      </w:tr>
    </w:tbl>
    <w:p>
      <w:r>
        <w:br w:type="page"/>
      </w:r>
    </w:p>
    <w:p>
      <w:pPr>
        <w:pStyle w:val="Heading1"/>
        <w:pBdr>
          <w:bottom w:val="single" w:color="2E9E80" w:sz="6" w:space="6"/>
        </w:pBdr>
        <w:spacing w:before="360" w:after="140"/>
      </w:pPr>
      <w:r>
        <w:rPr>
          <w:rFonts w:ascii="Calibri" w:cs="Calibri" w:eastAsia="Calibri" w:hAnsi="Calibri"/>
          <w:b/>
          <w:bCs/>
          <w:color w:val="1B6B5A"/>
          <w:sz w:val="34"/>
          <w:szCs w:val="34"/>
        </w:rPr>
        <w:t xml:space="preserve">1. Abstract</w:t>
      </w:r>
    </w:p>
    <w:p>
      <w:pPr>
        <w:spacing w:before="80" w:after="120"/>
      </w:pPr>
      <w:r>
        <w:rPr>
          <w:rFonts w:ascii="Calibri" w:cs="Calibri" w:eastAsia="Calibri" w:hAnsi="Calibri"/>
          <w:color w:val="2C2C2C"/>
          <w:sz w:val="22"/>
          <w:szCs w:val="22"/>
        </w:rPr>
        <w:t xml:space="preserve">This project looks at how efficiently NTPC (India's largest power company) has been running its power stations over the last 10 years. We used a dataset of 7,500 records covering 41 power stations across 20 states to find out which stations are doing well and which ones are struggling.</w:t>
      </w:r>
    </w:p>
    <w:p>
      <w:pPr>
        <w:spacing w:before="80" w:after="120"/>
      </w:pPr>
      <w:r>
        <w:rPr>
          <w:rFonts w:ascii="Calibri" w:cs="Calibri" w:eastAsia="Calibri" w:hAnsi="Calibri"/>
          <w:color w:val="2C2C2C"/>
          <w:sz w:val="22"/>
          <w:szCs w:val="22"/>
        </w:rPr>
        <w:t xml:space="preserve">We found that the biggest problem stations are gas-based power plants called CCPPs — they're barely running because India doesn't have enough natural gas to supply them. On the other hand, coal-based thermal power stations are mostly working well, with an average of about 84% of their capacity being used.</w:t>
      </w:r>
    </w:p>
    <w:p>
      <w:pPr>
        <w:spacing w:before="80" w:after="120"/>
      </w:pPr>
      <w:r>
        <w:rPr>
          <w:rFonts w:ascii="Calibri" w:cs="Calibri" w:eastAsia="Calibri" w:hAnsi="Calibri"/>
          <w:color w:val="2C2C2C"/>
          <w:sz w:val="22"/>
          <w:szCs w:val="22"/>
        </w:rPr>
        <w:t xml:space="preserve">We also found that the year 2020 was the worst year for NTPC because of COVID-19, which caused major disruptions. But by 2025-2026, things have recovered and NTPC is now performing better than ever. This report covers all these findings in detail and gives suggestions on what NTPC can do to improve further.</w:t>
      </w:r>
    </w:p>
    <w:p>
      <w:r>
        <w:br w:type="page"/>
      </w:r>
    </w:p>
    <w:p>
      <w:pPr>
        <w:pStyle w:val="Heading1"/>
        <w:pBdr>
          <w:bottom w:val="single" w:color="2E9E80" w:sz="6" w:space="6"/>
        </w:pBdr>
        <w:spacing w:before="360" w:after="140"/>
      </w:pPr>
      <w:r>
        <w:rPr>
          <w:rFonts w:ascii="Calibri" w:cs="Calibri" w:eastAsia="Calibri" w:hAnsi="Calibri"/>
          <w:b/>
          <w:bCs/>
          <w:color w:val="1B6B5A"/>
          <w:sz w:val="34"/>
          <w:szCs w:val="34"/>
        </w:rPr>
        <w:t xml:space="preserve">2. Introduction</w:t>
      </w:r>
    </w:p>
    <w:p>
      <w:pPr>
        <w:pStyle w:val="Heading2"/>
        <w:spacing w:before="240" w:after="100"/>
      </w:pPr>
      <w:r>
        <w:rPr>
          <w:rFonts w:ascii="Calibri" w:cs="Calibri" w:eastAsia="Calibri" w:hAnsi="Calibri"/>
          <w:b/>
          <w:bCs/>
          <w:color w:val="2E9E80"/>
          <w:sz w:val="26"/>
          <w:szCs w:val="26"/>
        </w:rPr>
        <w:t xml:space="preserve">2.1 About NTPC</w:t>
      </w:r>
    </w:p>
    <w:p>
      <w:pPr>
        <w:spacing w:before="80" w:after="120"/>
      </w:pPr>
      <w:r>
        <w:rPr>
          <w:rFonts w:ascii="Calibri" w:cs="Calibri" w:eastAsia="Calibri" w:hAnsi="Calibri"/>
          <w:color w:val="2C2C2C"/>
          <w:sz w:val="22"/>
          <w:szCs w:val="22"/>
        </w:rPr>
        <w:t xml:space="preserve">NTPC Limited (National Thermal Power Corporation) is India's biggest electricity-generating company. It was set up by the Government of India in 1975, and today it produces about 25% of all the electricity used in the country. NTPC runs power stations in almost every part of India, using different types of fuels like coal, gas, water, and solar energy.</w:t>
      </w:r>
    </w:p>
    <w:p>
      <w:pPr>
        <w:spacing w:before="80" w:after="120"/>
      </w:pPr>
      <w:r>
        <w:rPr>
          <w:rFonts w:ascii="Calibri" w:cs="Calibri" w:eastAsia="Calibri" w:hAnsi="Calibri"/>
          <w:color w:val="2C2C2C"/>
          <w:sz w:val="22"/>
          <w:szCs w:val="22"/>
        </w:rPr>
        <w:t xml:space="preserve">When NTPC runs its power stations efficiently, the whole country benefits — electricity stays cheaper, the grid is more stable, and less fuel is wasted. So studying how well these stations are performing is very important from both an economic and an energy-security point of view.</w:t>
      </w:r>
    </w:p>
    <w:p>
      <w:pPr>
        <w:pStyle w:val="Heading2"/>
        <w:spacing w:before="240" w:after="100"/>
      </w:pPr>
      <w:r>
        <w:rPr>
          <w:rFonts w:ascii="Calibri" w:cs="Calibri" w:eastAsia="Calibri" w:hAnsi="Calibri"/>
          <w:b/>
          <w:bCs/>
          <w:color w:val="2E9E80"/>
          <w:sz w:val="26"/>
          <w:szCs w:val="26"/>
        </w:rPr>
        <w:t xml:space="preserve">2.2 Why We Did This Study</w:t>
      </w:r>
    </w:p>
    <w:p>
      <w:pPr>
        <w:spacing w:before="80" w:after="120"/>
      </w:pPr>
      <w:r>
        <w:rPr>
          <w:rFonts w:ascii="Calibri" w:cs="Calibri" w:eastAsia="Calibri" w:hAnsi="Calibri"/>
          <w:color w:val="2C2C2C"/>
          <w:sz w:val="22"/>
          <w:szCs w:val="22"/>
        </w:rPr>
        <w:t xml:space="preserve">Even though NTPC is large and well-managed, some of its power stations regularly face problems like:</w:t>
      </w:r>
    </w:p>
    <w:p>
      <w:pPr>
        <w:pStyle w:val="ListParagraph"/>
        <w:numPr>
          <w:ilvl w:val="0"/>
          <w:numId w:val="2"/>
        </w:numPr>
        <w:spacing w:before="50" w:after="60"/>
      </w:pPr>
      <w:r>
        <w:rPr>
          <w:rFonts w:ascii="Calibri" w:cs="Calibri" w:eastAsia="Calibri" w:hAnsi="Calibri"/>
          <w:color w:val="2C2C2C"/>
          <w:sz w:val="22"/>
          <w:szCs w:val="22"/>
        </w:rPr>
        <w:t xml:space="preserve">Outages — when a unit breaks down or goes offline for repairs</w:t>
      </w:r>
    </w:p>
    <w:p>
      <w:pPr>
        <w:pStyle w:val="ListParagraph"/>
        <w:numPr>
          <w:ilvl w:val="0"/>
          <w:numId w:val="2"/>
        </w:numPr>
        <w:spacing w:before="50" w:after="60"/>
      </w:pPr>
      <w:r>
        <w:rPr>
          <w:rFonts w:ascii="Calibri" w:cs="Calibri" w:eastAsia="Calibri" w:hAnsi="Calibri"/>
          <w:color w:val="2C2C2C"/>
          <w:sz w:val="22"/>
          <w:szCs w:val="22"/>
        </w:rPr>
        <w:t xml:space="preserve">Low capacity use — when a station produces much less than what it can</w:t>
      </w:r>
    </w:p>
    <w:p>
      <w:pPr>
        <w:pStyle w:val="ListParagraph"/>
        <w:numPr>
          <w:ilvl w:val="0"/>
          <w:numId w:val="2"/>
        </w:numPr>
        <w:spacing w:before="50" w:after="60"/>
      </w:pPr>
      <w:r>
        <w:rPr>
          <w:rFonts w:ascii="Calibri" w:cs="Calibri" w:eastAsia="Calibri" w:hAnsi="Calibri"/>
          <w:color w:val="2C2C2C"/>
          <w:sz w:val="22"/>
          <w:szCs w:val="22"/>
        </w:rPr>
        <w:t xml:space="preserve">Coal shortage — when there is not enough coal stock to keep running</w:t>
      </w:r>
    </w:p>
    <w:p>
      <w:pPr>
        <w:spacing w:before="80" w:after="0"/>
      </w:pPr>
      <w:r>
        <w:t xml:space="preserve"/>
      </w:r>
    </w:p>
    <w:p>
      <w:pPr>
        <w:spacing w:before="80" w:after="120"/>
      </w:pPr>
      <w:r>
        <w:rPr>
          <w:rFonts w:ascii="Calibri" w:cs="Calibri" w:eastAsia="Calibri" w:hAnsi="Calibri"/>
          <w:color w:val="2C2C2C"/>
          <w:sz w:val="22"/>
          <w:szCs w:val="22"/>
        </w:rPr>
        <w:t xml:space="preserve">These problems directly affect how much electricity gets generated every day. Our project tries to figure out which stations face these problems the most, how serious the situation is, and what can be done about it.</w:t>
      </w:r>
    </w:p>
    <w:p>
      <w:pPr>
        <w:pStyle w:val="Heading2"/>
        <w:spacing w:before="240" w:after="100"/>
      </w:pPr>
      <w:r>
        <w:rPr>
          <w:rFonts w:ascii="Calibri" w:cs="Calibri" w:eastAsia="Calibri" w:hAnsi="Calibri"/>
          <w:b/>
          <w:bCs/>
          <w:color w:val="2E9E80"/>
          <w:sz w:val="26"/>
          <w:szCs w:val="26"/>
        </w:rPr>
        <w:t xml:space="preserve">2.3 Research Question</w:t>
      </w:r>
    </w:p>
    <w:p>
      <w:pPr>
        <w:spacing w:before="80" w:after="120"/>
      </w:pPr>
      <w:r>
        <w:rPr>
          <w:rFonts w:ascii="Calibri" w:cs="Calibri" w:eastAsia="Calibri" w:hAnsi="Calibri"/>
          <w:color w:val="2C2C2C"/>
          <w:sz w:val="22"/>
          <w:szCs w:val="22"/>
        </w:rPr>
        <w:t xml:space="preserve">The main question we are trying to answer is:</w:t>
      </w:r>
    </w:p>
    <w:p>
      <w:pPr>
        <w:spacing w:before="100" w:after="100"/>
        <w:jc w:val="center"/>
      </w:pPr>
      <w:r>
        <w:rPr>
          <w:rFonts w:ascii="Calibri" w:cs="Calibri" w:eastAsia="Calibri" w:hAnsi="Calibri"/>
          <w:b/>
          <w:bCs/>
          <w:i/>
          <w:iCs/>
          <w:color w:val="1B6B5A"/>
          <w:sz w:val="22"/>
          <w:szCs w:val="22"/>
        </w:rPr>
        <w:t xml:space="preserve">"Which NTPC power stations have persistent operational problems due to outages, low capacity utilization, and coal stock constraints — and how do these problems affect daily power generation?"</w:t>
      </w:r>
    </w:p>
    <w:p>
      <w:pPr>
        <w:pStyle w:val="Heading2"/>
        <w:spacing w:before="240" w:after="100"/>
      </w:pPr>
      <w:r>
        <w:rPr>
          <w:rFonts w:ascii="Calibri" w:cs="Calibri" w:eastAsia="Calibri" w:hAnsi="Calibri"/>
          <w:b/>
          <w:bCs/>
          <w:color w:val="2E9E80"/>
          <w:sz w:val="26"/>
          <w:szCs w:val="26"/>
        </w:rPr>
        <w:t xml:space="preserve">2.4 Objectives</w:t>
      </w:r>
    </w:p>
    <w:p>
      <w:pPr>
        <w:spacing w:before="80" w:after="120"/>
      </w:pPr>
      <w:r>
        <w:rPr>
          <w:rFonts w:ascii="Calibri" w:cs="Calibri" w:eastAsia="Calibri" w:hAnsi="Calibri"/>
          <w:color w:val="2C2C2C"/>
          <w:sz w:val="22"/>
          <w:szCs w:val="22"/>
        </w:rPr>
        <w:t xml:space="preserve">We set the following objectives for this project:</w:t>
      </w:r>
    </w:p>
    <w:p>
      <w:pPr>
        <w:pStyle w:val="ListParagraph"/>
        <w:numPr>
          <w:ilvl w:val="0"/>
          <w:numId w:val="2"/>
        </w:numPr>
        <w:spacing w:before="50" w:after="60"/>
      </w:pPr>
      <w:r>
        <w:rPr>
          <w:rFonts w:ascii="Calibri" w:cs="Calibri" w:eastAsia="Calibri" w:hAnsi="Calibri"/>
          <w:color w:val="2C2C2C"/>
          <w:sz w:val="22"/>
          <w:szCs w:val="22"/>
        </w:rPr>
        <w:t xml:space="preserve">To study the operational performance of all 41 NTPC stations in the dataset</w:t>
      </w:r>
    </w:p>
    <w:p>
      <w:pPr>
        <w:pStyle w:val="ListParagraph"/>
        <w:numPr>
          <w:ilvl w:val="0"/>
          <w:numId w:val="2"/>
        </w:numPr>
        <w:spacing w:before="50" w:after="60"/>
      </w:pPr>
      <w:r>
        <w:rPr>
          <w:rFonts w:ascii="Calibri" w:cs="Calibri" w:eastAsia="Calibri" w:hAnsi="Calibri"/>
          <w:color w:val="2C2C2C"/>
          <w:sz w:val="22"/>
          <w:szCs w:val="22"/>
        </w:rPr>
        <w:t xml:space="preserve">To find out which stations are persistently underperforming using a scoring method</w:t>
      </w:r>
    </w:p>
    <w:p>
      <w:pPr>
        <w:pStyle w:val="ListParagraph"/>
        <w:numPr>
          <w:ilvl w:val="0"/>
          <w:numId w:val="2"/>
        </w:numPr>
        <w:spacing w:before="50" w:after="60"/>
      </w:pPr>
      <w:r>
        <w:rPr>
          <w:rFonts w:ascii="Calibri" w:cs="Calibri" w:eastAsia="Calibri" w:hAnsi="Calibri"/>
          <w:color w:val="2C2C2C"/>
          <w:sz w:val="22"/>
          <w:szCs w:val="22"/>
        </w:rPr>
        <w:t xml:space="preserve">To understand how outages, capacity use, and coal stock are connected</w:t>
      </w:r>
    </w:p>
    <w:p>
      <w:pPr>
        <w:pStyle w:val="ListParagraph"/>
        <w:numPr>
          <w:ilvl w:val="0"/>
          <w:numId w:val="2"/>
        </w:numPr>
        <w:spacing w:before="50" w:after="60"/>
      </w:pPr>
      <w:r>
        <w:rPr>
          <w:rFonts w:ascii="Calibri" w:cs="Calibri" w:eastAsia="Calibri" w:hAnsi="Calibri"/>
          <w:color w:val="2C2C2C"/>
          <w:sz w:val="22"/>
          <w:szCs w:val="22"/>
        </w:rPr>
        <w:t xml:space="preserve">To look at how performance changed year by year from 2017 to 2026</w:t>
      </w:r>
    </w:p>
    <w:p>
      <w:pPr>
        <w:pStyle w:val="ListParagraph"/>
        <w:numPr>
          <w:ilvl w:val="0"/>
          <w:numId w:val="2"/>
        </w:numPr>
        <w:spacing w:before="50" w:after="60"/>
      </w:pPr>
      <w:r>
        <w:rPr>
          <w:rFonts w:ascii="Calibri" w:cs="Calibri" w:eastAsia="Calibri" w:hAnsi="Calibri"/>
          <w:color w:val="2C2C2C"/>
          <w:sz w:val="22"/>
          <w:szCs w:val="22"/>
        </w:rPr>
        <w:t xml:space="preserve">To compare gas-based and coal-based stations</w:t>
      </w:r>
    </w:p>
    <w:p>
      <w:pPr>
        <w:pStyle w:val="ListParagraph"/>
        <w:numPr>
          <w:ilvl w:val="0"/>
          <w:numId w:val="2"/>
        </w:numPr>
        <w:spacing w:before="50" w:after="60"/>
      </w:pPr>
      <w:r>
        <w:rPr>
          <w:rFonts w:ascii="Calibri" w:cs="Calibri" w:eastAsia="Calibri" w:hAnsi="Calibri"/>
          <w:color w:val="2C2C2C"/>
          <w:sz w:val="22"/>
          <w:szCs w:val="22"/>
        </w:rPr>
        <w:t xml:space="preserve">To see which states have the best and worst performing stations</w:t>
      </w:r>
    </w:p>
    <w:p>
      <w:pPr>
        <w:pStyle w:val="ListParagraph"/>
        <w:numPr>
          <w:ilvl w:val="0"/>
          <w:numId w:val="2"/>
        </w:numPr>
        <w:spacing w:before="50" w:after="60"/>
      </w:pPr>
      <w:r>
        <w:rPr>
          <w:rFonts w:ascii="Calibri" w:cs="Calibri" w:eastAsia="Calibri" w:hAnsi="Calibri"/>
          <w:color w:val="2C2C2C"/>
          <w:sz w:val="22"/>
          <w:szCs w:val="22"/>
        </w:rPr>
        <w:t xml:space="preserve">To suggest practical improvements based on the data</w:t>
      </w:r>
    </w:p>
    <w:p>
      <w:pPr>
        <w:pStyle w:val="Heading2"/>
        <w:spacing w:before="240" w:after="100"/>
      </w:pPr>
      <w:r>
        <w:rPr>
          <w:rFonts w:ascii="Calibri" w:cs="Calibri" w:eastAsia="Calibri" w:hAnsi="Calibri"/>
          <w:b/>
          <w:bCs/>
          <w:color w:val="2E9E80"/>
          <w:sz w:val="26"/>
          <w:szCs w:val="26"/>
        </w:rPr>
        <w:t xml:space="preserve">2.5 Scope and Limitations</w:t>
      </w:r>
    </w:p>
    <w:p>
      <w:pPr>
        <w:spacing w:before="80" w:after="120"/>
      </w:pPr>
      <w:r>
        <w:rPr>
          <w:rFonts w:ascii="Calibri" w:cs="Calibri" w:eastAsia="Calibri" w:hAnsi="Calibri"/>
          <w:color w:val="2C2C2C"/>
          <w:sz w:val="22"/>
          <w:szCs w:val="22"/>
        </w:rPr>
        <w:t xml:space="preserve">This study is based on 7,500 records of daily operational data from NTPC. The dataset gives us snapshots of performance on specific days — it does not cover every single day for every station. Coal stock data is missing for about 27% of records (mostly gas-based stations, which do not use coal). Maintenance date information is only available for about 16% of records. Because of this, some of our conclusions are based on the available data, which may not be 100% complete.</w:t>
      </w:r>
    </w:p>
    <w:p>
      <w:r>
        <w:br w:type="page"/>
      </w:r>
    </w:p>
    <w:p>
      <w:pPr>
        <w:pStyle w:val="Heading1"/>
        <w:pBdr>
          <w:bottom w:val="single" w:color="2E9E80" w:sz="6" w:space="6"/>
        </w:pBdr>
        <w:spacing w:before="360" w:after="140"/>
      </w:pPr>
      <w:r>
        <w:rPr>
          <w:rFonts w:ascii="Calibri" w:cs="Calibri" w:eastAsia="Calibri" w:hAnsi="Calibri"/>
          <w:b/>
          <w:bCs/>
          <w:color w:val="1B6B5A"/>
          <w:sz w:val="34"/>
          <w:szCs w:val="34"/>
        </w:rPr>
        <w:t xml:space="preserve">3. About the Dataset</w:t>
      </w:r>
    </w:p>
    <w:p>
      <w:pPr>
        <w:pStyle w:val="Heading2"/>
        <w:spacing w:before="240" w:after="100"/>
      </w:pPr>
      <w:r>
        <w:rPr>
          <w:rFonts w:ascii="Calibri" w:cs="Calibri" w:eastAsia="Calibri" w:hAnsi="Calibri"/>
          <w:b/>
          <w:bCs/>
          <w:color w:val="2E9E80"/>
          <w:sz w:val="26"/>
          <w:szCs w:val="26"/>
        </w:rPr>
        <w:t xml:space="preserve">3.1 Where Does the Data Come From?</w:t>
      </w:r>
    </w:p>
    <w:p>
      <w:pPr>
        <w:spacing w:before="80" w:after="120"/>
      </w:pPr>
      <w:r>
        <w:rPr>
          <w:rFonts w:ascii="Calibri" w:cs="Calibri" w:eastAsia="Calibri" w:hAnsi="Calibri"/>
          <w:color w:val="2C2C2C"/>
          <w:sz w:val="22"/>
          <w:szCs w:val="22"/>
        </w:rPr>
        <w:t xml:space="preserve">The data comes from NTPC's operational monitoring system. Each row in the dataset represents one observation for a specific power station unit on a particular date. The dataset covers the years 2017 to 2026 and includes stations from 20 different Indian states.</w:t>
      </w:r>
    </w:p>
    <w:p>
      <w:pPr>
        <w:pStyle w:val="Heading2"/>
        <w:spacing w:before="240" w:after="100"/>
      </w:pPr>
      <w:r>
        <w:rPr>
          <w:rFonts w:ascii="Calibri" w:cs="Calibri" w:eastAsia="Calibri" w:hAnsi="Calibri"/>
          <w:b/>
          <w:bCs/>
          <w:color w:val="2E9E80"/>
          <w:sz w:val="26"/>
          <w:szCs w:val="26"/>
        </w:rPr>
        <w:t xml:space="preserve">3.2 What Variables Are in the Dataset?</w:t>
      </w:r>
    </w:p>
    <w:p>
      <w:pPr>
        <w:spacing w:before="80" w:after="120"/>
      </w:pPr>
      <w:r>
        <w:rPr>
          <w:rFonts w:ascii="Calibri" w:cs="Calibri" w:eastAsia="Calibri" w:hAnsi="Calibri"/>
          <w:color w:val="2C2C2C"/>
          <w:sz w:val="22"/>
          <w:szCs w:val="22"/>
        </w:rPr>
        <w:t xml:space="preserve">Here is a simple description of all the important columns in the data:</w:t>
      </w:r>
    </w:p>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1B6B5A" w:sz="1"/>
              <w:left w:val="single" w:color="1B6B5A" w:sz="1"/>
              <w:bottom w:val="single" w:color="1B6B5A" w:sz="1"/>
              <w:right w:val="single" w:color="1B6B5A" w:sz="1"/>
            </w:tcBorders>
            <w:shd w:fill="1B6B5A" w:val="clear"/>
            <w:tcMar>
              <w:top w:type="dxa" w:w="90"/>
              <w:left w:type="dxa" w:w="130"/>
              <w:bottom w:type="dxa" w:w="90"/>
              <w:right w:type="dxa" w:w="130"/>
            </w:tcMar>
            <w:vAlign w:val="center"/>
          </w:tcPr>
          <w:p>
            <w:pPr>
              <w:jc w:val="center"/>
            </w:pPr>
            <w:r>
              <w:rPr>
                <w:rFonts w:ascii="Calibri" w:cs="Calibri" w:eastAsia="Calibri" w:hAnsi="Calibri"/>
                <w:b/>
                <w:bCs/>
                <w:color w:val="FFFFFF"/>
                <w:sz w:val="20"/>
                <w:szCs w:val="20"/>
              </w:rPr>
              <w:t xml:space="preserve">Column Name</w:t>
            </w:r>
          </w:p>
        </w:tc>
        <w:tc>
          <w:tcPr>
            <w:tcW w:type="dxa" w:w="6200"/>
            <w:tcBorders>
              <w:top w:val="single" w:color="1B6B5A" w:sz="1"/>
              <w:left w:val="single" w:color="1B6B5A" w:sz="1"/>
              <w:bottom w:val="single" w:color="1B6B5A" w:sz="1"/>
              <w:right w:val="single" w:color="1B6B5A" w:sz="1"/>
            </w:tcBorders>
            <w:shd w:fill="1B6B5A" w:val="clear"/>
            <w:tcMar>
              <w:top w:type="dxa" w:w="90"/>
              <w:left w:type="dxa" w:w="130"/>
              <w:bottom w:type="dxa" w:w="90"/>
              <w:right w:type="dxa" w:w="130"/>
            </w:tcMar>
            <w:vAlign w:val="center"/>
          </w:tcPr>
          <w:p>
            <w:pPr>
              <w:jc w:val="center"/>
            </w:pPr>
            <w:r>
              <w:rPr>
                <w:rFonts w:ascii="Calibri" w:cs="Calibri" w:eastAsia="Calibri" w:hAnsi="Calibri"/>
                <w:b/>
                <w:bCs/>
                <w:color w:val="FFFFFF"/>
                <w:sz w:val="20"/>
                <w:szCs w:val="20"/>
              </w:rPr>
              <w:t xml:space="preserve">What It Means</w:t>
            </w:r>
          </w:p>
        </w:tc>
      </w:tr>
      <w:tr>
        <w:tc>
          <w:tcPr>
            <w:tcW w:type="dxa" w:w="28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r>
              <w:rPr>
                <w:rFonts w:ascii="Calibri" w:cs="Calibri" w:eastAsia="Calibri" w:hAnsi="Calibri"/>
                <w:b/>
                <w:bCs/>
                <w:color w:val="1B6B5A"/>
                <w:sz w:val="19"/>
                <w:szCs w:val="19"/>
              </w:rPr>
              <w:t xml:space="preserve">Year / Month / Date</w:t>
            </w:r>
          </w:p>
        </w:tc>
        <w:tc>
          <w:tcPr>
            <w:tcW w:type="dxa" w:w="62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r>
              <w:rPr>
                <w:rFonts w:ascii="Calibri" w:cs="Calibri" w:eastAsia="Calibri" w:hAnsi="Calibri"/>
                <w:b w:val="false"/>
                <w:bCs w:val="false"/>
                <w:color w:val="2C2C2C"/>
                <w:sz w:val="19"/>
                <w:szCs w:val="19"/>
              </w:rPr>
              <w:t xml:space="preserve">The date when this record was captured</w:t>
            </w:r>
          </w:p>
        </w:tc>
      </w:tr>
      <w:tr>
        <w:tc>
          <w:tcPr>
            <w:tcW w:type="dxa" w:w="28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r>
              <w:rPr>
                <w:rFonts w:ascii="Calibri" w:cs="Calibri" w:eastAsia="Calibri" w:hAnsi="Calibri"/>
                <w:b/>
                <w:bCs/>
                <w:color w:val="1B6B5A"/>
                <w:sz w:val="19"/>
                <w:szCs w:val="19"/>
              </w:rPr>
              <w:t xml:space="preserve">State / Station Name</w:t>
            </w:r>
          </w:p>
        </w:tc>
        <w:tc>
          <w:tcPr>
            <w:tcW w:type="dxa" w:w="62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r>
              <w:rPr>
                <w:rFonts w:ascii="Calibri" w:cs="Calibri" w:eastAsia="Calibri" w:hAnsi="Calibri"/>
                <w:b w:val="false"/>
                <w:bCs w:val="false"/>
                <w:color w:val="2C2C2C"/>
                <w:sz w:val="19"/>
                <w:szCs w:val="19"/>
              </w:rPr>
              <w:t xml:space="preserve">Where the station is located and its name</w:t>
            </w:r>
          </w:p>
        </w:tc>
      </w:tr>
      <w:tr>
        <w:tc>
          <w:tcPr>
            <w:tcW w:type="dxa" w:w="28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r>
              <w:rPr>
                <w:rFonts w:ascii="Calibri" w:cs="Calibri" w:eastAsia="Calibri" w:hAnsi="Calibri"/>
                <w:b/>
                <w:bCs/>
                <w:color w:val="1B6B5A"/>
                <w:sz w:val="19"/>
                <w:szCs w:val="19"/>
              </w:rPr>
              <w:t xml:space="preserve">Monitored Capacity (MW)</w:t>
            </w:r>
          </w:p>
        </w:tc>
        <w:tc>
          <w:tcPr>
            <w:tcW w:type="dxa" w:w="62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r>
              <w:rPr>
                <w:rFonts w:ascii="Calibri" w:cs="Calibri" w:eastAsia="Calibri" w:hAnsi="Calibri"/>
                <w:b w:val="false"/>
                <w:bCs w:val="false"/>
                <w:color w:val="2C2C2C"/>
                <w:sz w:val="19"/>
                <w:szCs w:val="19"/>
              </w:rPr>
              <w:t xml:space="preserve">The total installed capacity of the station unit in Megawatts</w:t>
            </w:r>
          </w:p>
        </w:tc>
      </w:tr>
      <w:tr>
        <w:tc>
          <w:tcPr>
            <w:tcW w:type="dxa" w:w="28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r>
              <w:rPr>
                <w:rFonts w:ascii="Calibri" w:cs="Calibri" w:eastAsia="Calibri" w:hAnsi="Calibri"/>
                <w:b/>
                <w:bCs/>
                <w:color w:val="1B6B5A"/>
                <w:sz w:val="19"/>
                <w:szCs w:val="19"/>
              </w:rPr>
              <w:t xml:space="preserve">Available Capacity (MW)</w:t>
            </w:r>
          </w:p>
        </w:tc>
        <w:tc>
          <w:tcPr>
            <w:tcW w:type="dxa" w:w="62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r>
              <w:rPr>
                <w:rFonts w:ascii="Calibri" w:cs="Calibri" w:eastAsia="Calibri" w:hAnsi="Calibri"/>
                <w:b w:val="false"/>
                <w:bCs w:val="false"/>
                <w:color w:val="2C2C2C"/>
                <w:sz w:val="19"/>
                <w:szCs w:val="19"/>
              </w:rPr>
              <w:t xml:space="preserve">How much of that capacity is actually available to generate power on that day</w:t>
            </w:r>
          </w:p>
        </w:tc>
      </w:tr>
      <w:tr>
        <w:tc>
          <w:tcPr>
            <w:tcW w:type="dxa" w:w="28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r>
              <w:rPr>
                <w:rFonts w:ascii="Calibri" w:cs="Calibri" w:eastAsia="Calibri" w:hAnsi="Calibri"/>
                <w:b/>
                <w:bCs/>
                <w:color w:val="1B6B5A"/>
                <w:sz w:val="19"/>
                <w:szCs w:val="19"/>
              </w:rPr>
              <w:t xml:space="preserve">Today's Actual Generation (MU)</w:t>
            </w:r>
          </w:p>
        </w:tc>
        <w:tc>
          <w:tcPr>
            <w:tcW w:type="dxa" w:w="62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r>
              <w:rPr>
                <w:rFonts w:ascii="Calibri" w:cs="Calibri" w:eastAsia="Calibri" w:hAnsi="Calibri"/>
                <w:b w:val="false"/>
                <w:bCs w:val="false"/>
                <w:color w:val="2C2C2C"/>
                <w:sz w:val="19"/>
                <w:szCs w:val="19"/>
              </w:rPr>
              <w:t xml:space="preserve">How much power was actually generated that day (in Million Units)</w:t>
            </w:r>
          </w:p>
        </w:tc>
      </w:tr>
      <w:tr>
        <w:tc>
          <w:tcPr>
            <w:tcW w:type="dxa" w:w="28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r>
              <w:rPr>
                <w:rFonts w:ascii="Calibri" w:cs="Calibri" w:eastAsia="Calibri" w:hAnsi="Calibri"/>
                <w:b/>
                <w:bCs/>
                <w:color w:val="1B6B5A"/>
                <w:sz w:val="19"/>
                <w:szCs w:val="19"/>
              </w:rPr>
              <w:t xml:space="preserve">Today's Program Generation (MU)</w:t>
            </w:r>
          </w:p>
        </w:tc>
        <w:tc>
          <w:tcPr>
            <w:tcW w:type="dxa" w:w="62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r>
              <w:rPr>
                <w:rFonts w:ascii="Calibri" w:cs="Calibri" w:eastAsia="Calibri" w:hAnsi="Calibri"/>
                <w:b w:val="false"/>
                <w:bCs w:val="false"/>
                <w:color w:val="2C2C2C"/>
                <w:sz w:val="19"/>
                <w:szCs w:val="19"/>
              </w:rPr>
              <w:t xml:space="preserve">How much power was planned/scheduled to be generated that day</w:t>
            </w:r>
          </w:p>
        </w:tc>
      </w:tr>
      <w:tr>
        <w:tc>
          <w:tcPr>
            <w:tcW w:type="dxa" w:w="28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r>
              <w:rPr>
                <w:rFonts w:ascii="Calibri" w:cs="Calibri" w:eastAsia="Calibri" w:hAnsi="Calibri"/>
                <w:b/>
                <w:bCs/>
                <w:color w:val="1B6B5A"/>
                <w:sz w:val="19"/>
                <w:szCs w:val="19"/>
              </w:rPr>
              <w:t xml:space="preserve">Till Date Actual Generation (MU)</w:t>
            </w:r>
          </w:p>
        </w:tc>
        <w:tc>
          <w:tcPr>
            <w:tcW w:type="dxa" w:w="62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r>
              <w:rPr>
                <w:rFonts w:ascii="Calibri" w:cs="Calibri" w:eastAsia="Calibri" w:hAnsi="Calibri"/>
                <w:b w:val="false"/>
                <w:bCs w:val="false"/>
                <w:color w:val="2C2C2C"/>
                <w:sz w:val="19"/>
                <w:szCs w:val="19"/>
              </w:rPr>
              <w:t xml:space="preserve">Total actual generation up to that date in the month</w:t>
            </w:r>
          </w:p>
        </w:tc>
      </w:tr>
      <w:tr>
        <w:tc>
          <w:tcPr>
            <w:tcW w:type="dxa" w:w="28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r>
              <w:rPr>
                <w:rFonts w:ascii="Calibri" w:cs="Calibri" w:eastAsia="Calibri" w:hAnsi="Calibri"/>
                <w:b/>
                <w:bCs/>
                <w:color w:val="1B6B5A"/>
                <w:sz w:val="19"/>
                <w:szCs w:val="19"/>
              </w:rPr>
              <w:t xml:space="preserve">Coal Stock (days)</w:t>
            </w:r>
          </w:p>
        </w:tc>
        <w:tc>
          <w:tcPr>
            <w:tcW w:type="dxa" w:w="62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r>
              <w:rPr>
                <w:rFonts w:ascii="Calibri" w:cs="Calibri" w:eastAsia="Calibri" w:hAnsi="Calibri"/>
                <w:b w:val="false"/>
                <w:bCs w:val="false"/>
                <w:color w:val="2C2C2C"/>
                <w:sz w:val="19"/>
                <w:szCs w:val="19"/>
              </w:rPr>
              <w:t xml:space="preserve">How many days of coal supply is available at the current rate of use</w:t>
            </w:r>
          </w:p>
        </w:tc>
      </w:tr>
      <w:tr>
        <w:tc>
          <w:tcPr>
            <w:tcW w:type="dxa" w:w="28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r>
              <w:rPr>
                <w:rFonts w:ascii="Calibri" w:cs="Calibri" w:eastAsia="Calibri" w:hAnsi="Calibri"/>
                <w:b/>
                <w:bCs/>
                <w:color w:val="1B6B5A"/>
                <w:sz w:val="19"/>
                <w:szCs w:val="19"/>
              </w:rPr>
              <w:t xml:space="preserve">Capacity Under Outage (MW)</w:t>
            </w:r>
          </w:p>
        </w:tc>
        <w:tc>
          <w:tcPr>
            <w:tcW w:type="dxa" w:w="62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r>
              <w:rPr>
                <w:rFonts w:ascii="Calibri" w:cs="Calibri" w:eastAsia="Calibri" w:hAnsi="Calibri"/>
                <w:b w:val="false"/>
                <w:bCs w:val="false"/>
                <w:color w:val="2C2C2C"/>
                <w:sz w:val="19"/>
                <w:szCs w:val="19"/>
              </w:rPr>
              <w:t xml:space="preserve">How many MW of capacity is offline due to breakdown or maintenance</w:t>
            </w:r>
          </w:p>
        </w:tc>
      </w:tr>
    </w:tbl>
    <w:p>
      <w:pPr>
        <w:spacing w:before="160" w:after="0"/>
      </w:pPr>
      <w:r>
        <w:t xml:space="preserve"/>
      </w:r>
    </w:p>
    <w:p>
      <w:pPr>
        <w:pStyle w:val="Heading2"/>
        <w:spacing w:before="240" w:after="100"/>
      </w:pPr>
      <w:r>
        <w:rPr>
          <w:rFonts w:ascii="Calibri" w:cs="Calibri" w:eastAsia="Calibri" w:hAnsi="Calibri"/>
          <w:b/>
          <w:bCs/>
          <w:color w:val="2E9E80"/>
          <w:sz w:val="26"/>
          <w:szCs w:val="26"/>
        </w:rPr>
        <w:t xml:space="preserve">3.3 Data Quality Check</w:t>
      </w:r>
    </w:p>
    <w:p>
      <w:pPr>
        <w:spacing w:before="80" w:after="120"/>
      </w:pPr>
      <w:r>
        <w:rPr>
          <w:rFonts w:ascii="Calibri" w:cs="Calibri" w:eastAsia="Calibri" w:hAnsi="Calibri"/>
          <w:color w:val="2C2C2C"/>
          <w:sz w:val="22"/>
          <w:szCs w:val="22"/>
        </w:rPr>
        <w:t xml:space="preserve">Before analyzing the data, we checked for missing values and inconsistencies. Here is what we found:</w:t>
      </w:r>
    </w:p>
    <w:p>
      <w:pPr>
        <w:pStyle w:val="ListParagraph"/>
        <w:numPr>
          <w:ilvl w:val="0"/>
          <w:numId w:val="2"/>
        </w:numPr>
        <w:spacing w:before="50" w:after="60"/>
      </w:pPr>
      <w:r>
        <w:rPr>
          <w:rFonts w:ascii="Calibri" w:cs="Calibri" w:eastAsia="Calibri" w:hAnsi="Calibri"/>
          <w:color w:val="2C2C2C"/>
          <w:sz w:val="22"/>
          <w:szCs w:val="22"/>
        </w:rPr>
        <w:t xml:space="preserve">Monitored and Available Capacity: Only 26 records (0.3%) have missing values — very clean.</w:t>
      </w:r>
    </w:p>
    <w:p>
      <w:pPr>
        <w:pStyle w:val="ListParagraph"/>
        <w:numPr>
          <w:ilvl w:val="0"/>
          <w:numId w:val="2"/>
        </w:numPr>
        <w:spacing w:before="50" w:after="60"/>
      </w:pPr>
      <w:r>
        <w:rPr>
          <w:rFonts w:ascii="Calibri" w:cs="Calibri" w:eastAsia="Calibri" w:hAnsi="Calibri"/>
          <w:color w:val="2C2C2C"/>
          <w:sz w:val="22"/>
          <w:szCs w:val="22"/>
        </w:rPr>
        <w:t xml:space="preserve">Coal Stock: Missing for 2,042 records (27.2%). This is mainly because gas-based stations don't use coal, so they have no coal stock data.</w:t>
      </w:r>
    </w:p>
    <w:p>
      <w:pPr>
        <w:pStyle w:val="ListParagraph"/>
        <w:numPr>
          <w:ilvl w:val="0"/>
          <w:numId w:val="2"/>
        </w:numPr>
        <w:spacing w:before="50" w:after="60"/>
      </w:pPr>
      <w:r>
        <w:rPr>
          <w:rFonts w:ascii="Calibri" w:cs="Calibri" w:eastAsia="Calibri" w:hAnsi="Calibri"/>
          <w:color w:val="2C2C2C"/>
          <w:sz w:val="22"/>
          <w:szCs w:val="22"/>
        </w:rPr>
        <w:t xml:space="preserve">Maintenance Start Dates: Missing for 6,254 records (83.4%). This is expected because maintenance dates are only filled in when a unit is actually under maintenance.</w:t>
      </w:r>
    </w:p>
    <w:p>
      <w:pPr>
        <w:pStyle w:val="ListParagraph"/>
        <w:numPr>
          <w:ilvl w:val="0"/>
          <w:numId w:val="2"/>
        </w:numPr>
        <w:spacing w:before="50" w:after="60"/>
      </w:pPr>
      <w:r>
        <w:rPr>
          <w:rFonts w:ascii="Calibri" w:cs="Calibri" w:eastAsia="Calibri" w:hAnsi="Calibri"/>
          <w:color w:val="2C2C2C"/>
          <w:sz w:val="22"/>
          <w:szCs w:val="22"/>
        </w:rPr>
        <w:t xml:space="preserve">One record showed a coal stock of 1,517 days — clearly an error. We ignored this outlier in our analysis.</w:t>
      </w:r>
    </w:p>
    <w:p>
      <w:pPr>
        <w:pStyle w:val="Heading2"/>
        <w:spacing w:before="240" w:after="100"/>
      </w:pPr>
      <w:r>
        <w:rPr>
          <w:rFonts w:ascii="Calibri" w:cs="Calibri" w:eastAsia="Calibri" w:hAnsi="Calibri"/>
          <w:b/>
          <w:bCs/>
          <w:color w:val="2E9E80"/>
          <w:sz w:val="26"/>
          <w:szCs w:val="26"/>
        </w:rPr>
        <w:t xml:space="preserve">3.4 New Columns We Created</w:t>
      </w:r>
    </w:p>
    <w:p>
      <w:pPr>
        <w:spacing w:before="80" w:after="120"/>
      </w:pPr>
      <w:r>
        <w:rPr>
          <w:rFonts w:ascii="Calibri" w:cs="Calibri" w:eastAsia="Calibri" w:hAnsi="Calibri"/>
          <w:color w:val="2C2C2C"/>
          <w:sz w:val="22"/>
          <w:szCs w:val="22"/>
        </w:rPr>
        <w:t xml:space="preserve">To make the analysis easier, we created four new calculated columns:</w:t>
      </w:r>
    </w:p>
    <w:p>
      <w:pPr>
        <w:pStyle w:val="ListParagraph"/>
        <w:numPr>
          <w:ilvl w:val="0"/>
          <w:numId w:val="2"/>
        </w:numPr>
        <w:spacing w:before="50" w:after="60"/>
      </w:pPr>
      <w:r>
        <w:rPr>
          <w:rFonts w:ascii="Calibri" w:cs="Calibri" w:eastAsia="Calibri" w:hAnsi="Calibri"/>
          <w:color w:val="2C2C2C"/>
          <w:sz w:val="22"/>
          <w:szCs w:val="22"/>
        </w:rPr>
        <w:t xml:space="preserve">Capacity Utilization (%) = Available Capacity / Monitored Capacity x 100. This tells us what percentage of the station's capacity is actually working on a given day.</w:t>
      </w:r>
    </w:p>
    <w:p>
      <w:pPr>
        <w:pStyle w:val="ListParagraph"/>
        <w:numPr>
          <w:ilvl w:val="0"/>
          <w:numId w:val="2"/>
        </w:numPr>
        <w:spacing w:before="50" w:after="60"/>
      </w:pPr>
      <w:r>
        <w:rPr>
          <w:rFonts w:ascii="Calibri" w:cs="Calibri" w:eastAsia="Calibri" w:hAnsi="Calibri"/>
          <w:color w:val="2C2C2C"/>
          <w:sz w:val="22"/>
          <w:szCs w:val="22"/>
        </w:rPr>
        <w:t xml:space="preserve">Generation Gap = Actual Generation minus Planned Generation. A negative number means the station generated less than it was supposed to.</w:t>
      </w:r>
    </w:p>
    <w:p>
      <w:pPr>
        <w:pStyle w:val="ListParagraph"/>
        <w:numPr>
          <w:ilvl w:val="0"/>
          <w:numId w:val="2"/>
        </w:numPr>
        <w:spacing w:before="50" w:after="60"/>
      </w:pPr>
      <w:r>
        <w:rPr>
          <w:rFonts w:ascii="Calibri" w:cs="Calibri" w:eastAsia="Calibri" w:hAnsi="Calibri"/>
          <w:color w:val="2C2C2C"/>
          <w:sz w:val="22"/>
          <w:szCs w:val="22"/>
        </w:rPr>
        <w:t xml:space="preserve">Outage Flag = 1 if any capacity is under outage, otherwise 0. This helps us count how often outages happen.</w:t>
      </w:r>
    </w:p>
    <w:p>
      <w:pPr>
        <w:pStyle w:val="ListParagraph"/>
        <w:numPr>
          <w:ilvl w:val="0"/>
          <w:numId w:val="2"/>
        </w:numPr>
        <w:spacing w:before="50" w:after="60"/>
      </w:pPr>
      <w:r>
        <w:rPr>
          <w:rFonts w:ascii="Calibri" w:cs="Calibri" w:eastAsia="Calibri" w:hAnsi="Calibri"/>
          <w:color w:val="2C2C2C"/>
          <w:sz w:val="22"/>
          <w:szCs w:val="22"/>
        </w:rPr>
        <w:t xml:space="preserve">Low Coal Flag = 1 if coal stock is less than 7 days. The government's Central Electricity Authority (CEA) calls anything below 7 days "Super Critical" — meaning the station is at serious risk of shutting down.</w:t>
      </w:r>
    </w:p>
    <w:p>
      <w:pPr>
        <w:spacing w:before="100" w:after="0"/>
      </w:pPr>
      <w:r>
        <w:t xml:space="preserve"/>
      </w:r>
    </w:p>
    <w:p>
      <w:pPr>
        <w:pStyle w:val="Heading2"/>
        <w:spacing w:before="240" w:after="100"/>
      </w:pPr>
      <w:r>
        <w:rPr>
          <w:rFonts w:ascii="Calibri" w:cs="Calibri" w:eastAsia="Calibri" w:hAnsi="Calibri"/>
          <w:b/>
          <w:bCs/>
          <w:color w:val="2E9E80"/>
          <w:sz w:val="26"/>
          <w:szCs w:val="26"/>
        </w:rPr>
        <w:t xml:space="preserve">3.5 How We Scored Station Inefficiency</w:t>
      </w:r>
    </w:p>
    <w:p>
      <w:pPr>
        <w:spacing w:before="80" w:after="120"/>
      </w:pPr>
      <w:r>
        <w:rPr>
          <w:rFonts w:ascii="Calibri" w:cs="Calibri" w:eastAsia="Calibri" w:hAnsi="Calibri"/>
          <w:color w:val="2C2C2C"/>
          <w:sz w:val="22"/>
          <w:szCs w:val="22"/>
        </w:rPr>
        <w:t xml:space="preserve">To rank stations from most to least inefficient, we created a composite Inefficiency Score. This score combines three factors:</w:t>
      </w:r>
    </w:p>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3700"/>
      </w:tblGrid>
      <w:tr>
        <w:tc>
          <w:tcPr>
            <w:tcW w:type="dxa" w:w="3500"/>
            <w:tcBorders>
              <w:top w:val="single" w:color="1B6B5A" w:sz="1"/>
              <w:left w:val="single" w:color="1B6B5A" w:sz="1"/>
              <w:bottom w:val="single" w:color="1B6B5A" w:sz="1"/>
              <w:right w:val="single" w:color="1B6B5A" w:sz="1"/>
            </w:tcBorders>
            <w:shd w:fill="1B6B5A" w:val="clear"/>
            <w:tcMar>
              <w:top w:type="dxa" w:w="90"/>
              <w:left w:type="dxa" w:w="130"/>
              <w:bottom w:type="dxa" w:w="90"/>
              <w:right w:type="dxa" w:w="130"/>
            </w:tcMar>
            <w:vAlign w:val="center"/>
          </w:tcPr>
          <w:p>
            <w:pPr>
              <w:jc w:val="center"/>
            </w:pPr>
            <w:r>
              <w:rPr>
                <w:rFonts w:ascii="Calibri" w:cs="Calibri" w:eastAsia="Calibri" w:hAnsi="Calibri"/>
                <w:b/>
                <w:bCs/>
                <w:color w:val="FFFFFF"/>
                <w:sz w:val="20"/>
                <w:szCs w:val="20"/>
              </w:rPr>
              <w:t xml:space="preserve">Factor</w:t>
            </w:r>
          </w:p>
        </w:tc>
        <w:tc>
          <w:tcPr>
            <w:tcW w:type="dxa" w:w="1800"/>
            <w:tcBorders>
              <w:top w:val="single" w:color="1B6B5A" w:sz="1"/>
              <w:left w:val="single" w:color="1B6B5A" w:sz="1"/>
              <w:bottom w:val="single" w:color="1B6B5A" w:sz="1"/>
              <w:right w:val="single" w:color="1B6B5A" w:sz="1"/>
            </w:tcBorders>
            <w:shd w:fill="1B6B5A" w:val="clear"/>
            <w:tcMar>
              <w:top w:type="dxa" w:w="90"/>
              <w:left w:type="dxa" w:w="130"/>
              <w:bottom w:type="dxa" w:w="90"/>
              <w:right w:type="dxa" w:w="130"/>
            </w:tcMar>
            <w:vAlign w:val="center"/>
          </w:tcPr>
          <w:p>
            <w:pPr>
              <w:jc w:val="center"/>
            </w:pPr>
            <w:r>
              <w:rPr>
                <w:rFonts w:ascii="Calibri" w:cs="Calibri" w:eastAsia="Calibri" w:hAnsi="Calibri"/>
                <w:b/>
                <w:bCs/>
                <w:color w:val="FFFFFF"/>
                <w:sz w:val="20"/>
                <w:szCs w:val="20"/>
              </w:rPr>
              <w:t xml:space="preserve">Weight</w:t>
            </w:r>
          </w:p>
        </w:tc>
        <w:tc>
          <w:tcPr>
            <w:tcW w:type="dxa" w:w="3700"/>
            <w:tcBorders>
              <w:top w:val="single" w:color="1B6B5A" w:sz="1"/>
              <w:left w:val="single" w:color="1B6B5A" w:sz="1"/>
              <w:bottom w:val="single" w:color="1B6B5A" w:sz="1"/>
              <w:right w:val="single" w:color="1B6B5A" w:sz="1"/>
            </w:tcBorders>
            <w:shd w:fill="1B6B5A" w:val="clear"/>
            <w:tcMar>
              <w:top w:type="dxa" w:w="90"/>
              <w:left w:type="dxa" w:w="130"/>
              <w:bottom w:type="dxa" w:w="90"/>
              <w:right w:type="dxa" w:w="130"/>
            </w:tcMar>
            <w:vAlign w:val="center"/>
          </w:tcPr>
          <w:p>
            <w:pPr>
              <w:jc w:val="center"/>
            </w:pPr>
            <w:r>
              <w:rPr>
                <w:rFonts w:ascii="Calibri" w:cs="Calibri" w:eastAsia="Calibri" w:hAnsi="Calibri"/>
                <w:b/>
                <w:bCs/>
                <w:color w:val="FFFFFF"/>
                <w:sz w:val="20"/>
                <w:szCs w:val="20"/>
              </w:rPr>
              <w:t xml:space="preserve">How It's Calculated</w:t>
            </w:r>
          </w:p>
        </w:tc>
      </w:tr>
      <w:tr>
        <w:tc>
          <w:tcPr>
            <w:tcW w:type="dxa" w:w="35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r>
              <w:rPr>
                <w:rFonts w:ascii="Calibri" w:cs="Calibri" w:eastAsia="Calibri" w:hAnsi="Calibri"/>
                <w:b/>
                <w:bCs/>
                <w:color w:val="1B6B5A"/>
                <w:sz w:val="19"/>
                <w:szCs w:val="19"/>
              </w:rPr>
              <w:t xml:space="preserve">Capacity Underuse</w:t>
            </w:r>
          </w:p>
        </w:tc>
        <w:tc>
          <w:tcPr>
            <w:tcW w:type="dxa" w:w="18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bCs/>
                <w:color w:val="2C2C2C"/>
                <w:sz w:val="19"/>
                <w:szCs w:val="19"/>
              </w:rPr>
              <w:t xml:space="preserve">35%</w:t>
            </w:r>
          </w:p>
        </w:tc>
        <w:tc>
          <w:tcPr>
            <w:tcW w:type="dxa" w:w="37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r>
              <w:rPr>
                <w:rFonts w:ascii="Calibri" w:cs="Calibri" w:eastAsia="Calibri" w:hAnsi="Calibri"/>
                <w:b w:val="false"/>
                <w:bCs w:val="false"/>
                <w:color w:val="2C2C2C"/>
                <w:sz w:val="19"/>
                <w:szCs w:val="19"/>
              </w:rPr>
              <w:t xml:space="preserve">(100 minus Avg. Capacity Utilization) x 0.35</w:t>
            </w:r>
          </w:p>
        </w:tc>
      </w:tr>
      <w:tr>
        <w:tc>
          <w:tcPr>
            <w:tcW w:type="dxa" w:w="35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r>
              <w:rPr>
                <w:rFonts w:ascii="Calibri" w:cs="Calibri" w:eastAsia="Calibri" w:hAnsi="Calibri"/>
                <w:b/>
                <w:bCs/>
                <w:color w:val="1B6B5A"/>
                <w:sz w:val="19"/>
                <w:szCs w:val="19"/>
              </w:rPr>
              <w:t xml:space="preserve">Outage Frequency</w:t>
            </w:r>
          </w:p>
        </w:tc>
        <w:tc>
          <w:tcPr>
            <w:tcW w:type="dxa" w:w="18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bCs/>
                <w:color w:val="2C2C2C"/>
                <w:sz w:val="19"/>
                <w:szCs w:val="19"/>
              </w:rPr>
              <w:t xml:space="preserve">35%</w:t>
            </w:r>
          </w:p>
        </w:tc>
        <w:tc>
          <w:tcPr>
            <w:tcW w:type="dxa" w:w="37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r>
              <w:rPr>
                <w:rFonts w:ascii="Calibri" w:cs="Calibri" w:eastAsia="Calibri" w:hAnsi="Calibri"/>
                <w:b w:val="false"/>
                <w:bCs w:val="false"/>
                <w:color w:val="2C2C2C"/>
                <w:sz w:val="19"/>
                <w:szCs w:val="19"/>
              </w:rPr>
              <w:t xml:space="preserve">Outage occurrence % x 0.35</w:t>
            </w:r>
          </w:p>
        </w:tc>
      </w:tr>
      <w:tr>
        <w:tc>
          <w:tcPr>
            <w:tcW w:type="dxa" w:w="35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r>
              <w:rPr>
                <w:rFonts w:ascii="Calibri" w:cs="Calibri" w:eastAsia="Calibri" w:hAnsi="Calibri"/>
                <w:b/>
                <w:bCs/>
                <w:color w:val="1B6B5A"/>
                <w:sz w:val="19"/>
                <w:szCs w:val="19"/>
              </w:rPr>
              <w:t xml:space="preserve">Low Coal Stock Frequency</w:t>
            </w:r>
          </w:p>
        </w:tc>
        <w:tc>
          <w:tcPr>
            <w:tcW w:type="dxa" w:w="18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bCs/>
                <w:color w:val="2C2C2C"/>
                <w:sz w:val="19"/>
                <w:szCs w:val="19"/>
              </w:rPr>
              <w:t xml:space="preserve">30%</w:t>
            </w:r>
          </w:p>
        </w:tc>
        <w:tc>
          <w:tcPr>
            <w:tcW w:type="dxa" w:w="37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r>
              <w:rPr>
                <w:rFonts w:ascii="Calibri" w:cs="Calibri" w:eastAsia="Calibri" w:hAnsi="Calibri"/>
                <w:b w:val="false"/>
                <w:bCs w:val="false"/>
                <w:color w:val="2C2C2C"/>
                <w:sz w:val="19"/>
                <w:szCs w:val="19"/>
              </w:rPr>
              <w:t xml:space="preserve">% of days with coal &lt; 7 days x 0.30</w:t>
            </w:r>
          </w:p>
        </w:tc>
      </w:tr>
    </w:tbl>
    <w:p>
      <w:pPr>
        <w:spacing w:before="100" w:after="0"/>
      </w:pPr>
      <w:r>
        <w:t xml:space="preserve"/>
      </w:r>
    </w:p>
    <w:p>
      <w:pPr>
        <w:spacing w:before="80" w:after="120"/>
      </w:pPr>
      <w:r>
        <w:rPr>
          <w:rFonts w:ascii="Calibri" w:cs="Calibri" w:eastAsia="Calibri" w:hAnsi="Calibri"/>
          <w:color w:val="2C2C2C"/>
          <w:sz w:val="22"/>
          <w:szCs w:val="22"/>
        </w:rPr>
        <w:t xml:space="preserve">A score of 0 means a perfectly efficient station. A score of 100 means completely inefficient. This formula makes it easy to compare stations fairly, even if they have different types of problems.</w:t>
      </w:r>
    </w:p>
    <w:p>
      <w:r>
        <w:br w:type="page"/>
      </w:r>
    </w:p>
    <w:p>
      <w:pPr>
        <w:pStyle w:val="Heading1"/>
        <w:pBdr>
          <w:bottom w:val="single" w:color="2E9E80" w:sz="6" w:space="6"/>
        </w:pBdr>
        <w:spacing w:before="360" w:after="140"/>
      </w:pPr>
      <w:r>
        <w:rPr>
          <w:rFonts w:ascii="Calibri" w:cs="Calibri" w:eastAsia="Calibri" w:hAnsi="Calibri"/>
          <w:b/>
          <w:bCs/>
          <w:color w:val="1B6B5A"/>
          <w:sz w:val="34"/>
          <w:szCs w:val="34"/>
        </w:rPr>
        <w:t xml:space="preserve">4. Overall Summary of Findings</w:t>
      </w:r>
    </w:p>
    <w:p>
      <w:pPr>
        <w:pStyle w:val="Heading2"/>
        <w:spacing w:before="240" w:after="100"/>
      </w:pPr>
      <w:r>
        <w:rPr>
          <w:rFonts w:ascii="Calibri" w:cs="Calibri" w:eastAsia="Calibri" w:hAnsi="Calibri"/>
          <w:b/>
          <w:bCs/>
          <w:color w:val="2E9E80"/>
          <w:sz w:val="26"/>
          <w:szCs w:val="26"/>
        </w:rPr>
        <w:t xml:space="preserve">4.1 Big Picture Numbers</w:t>
      </w:r>
    </w:p>
    <w:p>
      <w:pPr>
        <w:spacing w:before="80" w:after="120"/>
      </w:pPr>
      <w:r>
        <w:rPr>
          <w:rFonts w:ascii="Calibri" w:cs="Calibri" w:eastAsia="Calibri" w:hAnsi="Calibri"/>
          <w:color w:val="2C2C2C"/>
          <w:sz w:val="22"/>
          <w:szCs w:val="22"/>
        </w:rPr>
        <w:t xml:space="preserve">Before diving into individual stations, here is a quick summary of how NTPC is doing overall across all 7,500 records:</w:t>
      </w:r>
    </w:p>
    <w:p>
      <w:pPr>
        <w:spacing w:before="10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1B6B5A" w:sz="1"/>
              <w:left w:val="single" w:color="1B6B5A" w:sz="1"/>
              <w:bottom w:val="single" w:color="1B6B5A" w:sz="1"/>
              <w:right w:val="single" w:color="1B6B5A" w:sz="1"/>
            </w:tcBorders>
            <w:shd w:fill="1B6B5A" w:val="clear"/>
            <w:tcMar>
              <w:top w:type="dxa" w:w="90"/>
              <w:left w:type="dxa" w:w="130"/>
              <w:bottom w:type="dxa" w:w="90"/>
              <w:right w:type="dxa" w:w="130"/>
            </w:tcMar>
            <w:vAlign w:val="center"/>
          </w:tcPr>
          <w:p>
            <w:pPr>
              <w:jc w:val="center"/>
            </w:pPr>
            <w:r>
              <w:rPr>
                <w:rFonts w:ascii="Calibri" w:cs="Calibri" w:eastAsia="Calibri" w:hAnsi="Calibri"/>
                <w:b/>
                <w:bCs/>
                <w:color w:val="FFFFFF"/>
                <w:sz w:val="20"/>
                <w:szCs w:val="20"/>
              </w:rPr>
              <w:t xml:space="preserve">Metric</w:t>
            </w:r>
          </w:p>
        </w:tc>
        <w:tc>
          <w:tcPr>
            <w:tcW w:type="dxa" w:w="2250"/>
            <w:tcBorders>
              <w:top w:val="single" w:color="1B6B5A" w:sz="1"/>
              <w:left w:val="single" w:color="1B6B5A" w:sz="1"/>
              <w:bottom w:val="single" w:color="1B6B5A" w:sz="1"/>
              <w:right w:val="single" w:color="1B6B5A" w:sz="1"/>
            </w:tcBorders>
            <w:shd w:fill="1B6B5A" w:val="clear"/>
            <w:tcMar>
              <w:top w:type="dxa" w:w="90"/>
              <w:left w:type="dxa" w:w="130"/>
              <w:bottom w:type="dxa" w:w="90"/>
              <w:right w:type="dxa" w:w="130"/>
            </w:tcMar>
            <w:vAlign w:val="center"/>
          </w:tcPr>
          <w:p>
            <w:pPr>
              <w:jc w:val="center"/>
            </w:pPr>
            <w:r>
              <w:rPr>
                <w:rFonts w:ascii="Calibri" w:cs="Calibri" w:eastAsia="Calibri" w:hAnsi="Calibri"/>
                <w:b/>
                <w:bCs/>
                <w:color w:val="FFFFFF"/>
                <w:sz w:val="20"/>
                <w:szCs w:val="20"/>
              </w:rPr>
              <w:t xml:space="preserve">Overall Value</w:t>
            </w:r>
          </w:p>
        </w:tc>
        <w:tc>
          <w:tcPr>
            <w:tcW w:type="dxa" w:w="2250"/>
            <w:tcBorders>
              <w:top w:val="single" w:color="1B6B5A" w:sz="1"/>
              <w:left w:val="single" w:color="1B6B5A" w:sz="1"/>
              <w:bottom w:val="single" w:color="1B6B5A" w:sz="1"/>
              <w:right w:val="single" w:color="1B6B5A" w:sz="1"/>
            </w:tcBorders>
            <w:shd w:fill="1B6B5A" w:val="clear"/>
            <w:tcMar>
              <w:top w:type="dxa" w:w="90"/>
              <w:left w:type="dxa" w:w="130"/>
              <w:bottom w:type="dxa" w:w="90"/>
              <w:right w:type="dxa" w:w="130"/>
            </w:tcMar>
            <w:vAlign w:val="center"/>
          </w:tcPr>
          <w:p>
            <w:pPr>
              <w:jc w:val="center"/>
            </w:pPr>
            <w:r>
              <w:rPr>
                <w:rFonts w:ascii="Calibri" w:cs="Calibri" w:eastAsia="Calibri" w:hAnsi="Calibri"/>
                <w:b/>
                <w:bCs/>
                <w:color w:val="FFFFFF"/>
                <w:sz w:val="20"/>
                <w:szCs w:val="20"/>
              </w:rPr>
              <w:t xml:space="preserve">What's Good</w:t>
            </w:r>
          </w:p>
        </w:tc>
        <w:tc>
          <w:tcPr>
            <w:tcW w:type="dxa" w:w="2250"/>
            <w:tcBorders>
              <w:top w:val="single" w:color="1B6B5A" w:sz="1"/>
              <w:left w:val="single" w:color="1B6B5A" w:sz="1"/>
              <w:bottom w:val="single" w:color="1B6B5A" w:sz="1"/>
              <w:right w:val="single" w:color="1B6B5A" w:sz="1"/>
            </w:tcBorders>
            <w:shd w:fill="1B6B5A" w:val="clear"/>
            <w:tcMar>
              <w:top w:type="dxa" w:w="90"/>
              <w:left w:type="dxa" w:w="130"/>
              <w:bottom w:type="dxa" w:w="90"/>
              <w:right w:type="dxa" w:w="130"/>
            </w:tcMar>
            <w:vAlign w:val="center"/>
          </w:tcPr>
          <w:p>
            <w:pPr>
              <w:jc w:val="center"/>
            </w:pPr>
            <w:r>
              <w:rPr>
                <w:rFonts w:ascii="Calibri" w:cs="Calibri" w:eastAsia="Calibri" w:hAnsi="Calibri"/>
                <w:b/>
                <w:bCs/>
                <w:color w:val="FFFFFF"/>
                <w:sz w:val="20"/>
                <w:szCs w:val="20"/>
              </w:rPr>
              <w:t xml:space="preserve">Status</w:t>
            </w:r>
          </w:p>
        </w:tc>
      </w:tr>
      <w:tr>
        <w:tc>
          <w:tcPr>
            <w:tcW w:type="dxa" w:w="225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r>
              <w:rPr>
                <w:rFonts w:ascii="Calibri" w:cs="Calibri" w:eastAsia="Calibri" w:hAnsi="Calibri"/>
                <w:b/>
                <w:bCs/>
                <w:color w:val="1B6B5A"/>
                <w:sz w:val="19"/>
                <w:szCs w:val="19"/>
              </w:rPr>
              <w:t xml:space="preserve">Avg. Capacity Utilization</w:t>
            </w:r>
          </w:p>
        </w:tc>
        <w:tc>
          <w:tcPr>
            <w:tcW w:type="dxa" w:w="225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bCs/>
                <w:color w:val="2E9E80"/>
                <w:sz w:val="19"/>
                <w:szCs w:val="19"/>
              </w:rPr>
              <w:t xml:space="preserve">80.7%</w:t>
            </w:r>
          </w:p>
        </w:tc>
        <w:tc>
          <w:tcPr>
            <w:tcW w:type="dxa" w:w="225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Above 85% is ideal</w:t>
            </w:r>
          </w:p>
        </w:tc>
        <w:tc>
          <w:tcPr>
            <w:tcW w:type="dxa" w:w="225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bCs/>
                <w:color w:val="D4880E"/>
                <w:sz w:val="19"/>
                <w:szCs w:val="19"/>
              </w:rPr>
              <w:t xml:space="preserve">Fair</w:t>
            </w:r>
          </w:p>
        </w:tc>
      </w:tr>
      <w:tr>
        <w:tc>
          <w:tcPr>
            <w:tcW w:type="dxa" w:w="225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r>
              <w:rPr>
                <w:rFonts w:ascii="Calibri" w:cs="Calibri" w:eastAsia="Calibri" w:hAnsi="Calibri"/>
                <w:b/>
                <w:bCs/>
                <w:color w:val="1B6B5A"/>
                <w:sz w:val="19"/>
                <w:szCs w:val="19"/>
              </w:rPr>
              <w:t xml:space="preserve">Outage Incidence Rate</w:t>
            </w:r>
          </w:p>
        </w:tc>
        <w:tc>
          <w:tcPr>
            <w:tcW w:type="dxa" w:w="225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bCs/>
                <w:color w:val="C0392B"/>
                <w:sz w:val="19"/>
                <w:szCs w:val="19"/>
              </w:rPr>
              <w:t xml:space="preserve">19.2%</w:t>
            </w:r>
          </w:p>
        </w:tc>
        <w:tc>
          <w:tcPr>
            <w:tcW w:type="dxa" w:w="225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Below 10% is good</w:t>
            </w:r>
          </w:p>
        </w:tc>
        <w:tc>
          <w:tcPr>
            <w:tcW w:type="dxa" w:w="225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bCs/>
                <w:color w:val="C0392B"/>
                <w:sz w:val="19"/>
                <w:szCs w:val="19"/>
              </w:rPr>
              <w:t xml:space="preserve">Needs Work</w:t>
            </w:r>
          </w:p>
        </w:tc>
      </w:tr>
      <w:tr>
        <w:tc>
          <w:tcPr>
            <w:tcW w:type="dxa" w:w="225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r>
              <w:rPr>
                <w:rFonts w:ascii="Calibri" w:cs="Calibri" w:eastAsia="Calibri" w:hAnsi="Calibri"/>
                <w:b/>
                <w:bCs/>
                <w:color w:val="1B6B5A"/>
                <w:sz w:val="19"/>
                <w:szCs w:val="19"/>
              </w:rPr>
              <w:t xml:space="preserve">Low Coal Stock (&lt;7 days)</w:t>
            </w:r>
          </w:p>
        </w:tc>
        <w:tc>
          <w:tcPr>
            <w:tcW w:type="dxa" w:w="225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bCs/>
                <w:color w:val="C0392B"/>
                <w:sz w:val="19"/>
                <w:szCs w:val="19"/>
              </w:rPr>
              <w:t xml:space="preserve">9.8%</w:t>
            </w:r>
          </w:p>
        </w:tc>
        <w:tc>
          <w:tcPr>
            <w:tcW w:type="dxa" w:w="225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Below 5% is safe</w:t>
            </w:r>
          </w:p>
        </w:tc>
        <w:tc>
          <w:tcPr>
            <w:tcW w:type="dxa" w:w="225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bCs/>
                <w:color w:val="C0392B"/>
                <w:sz w:val="19"/>
                <w:szCs w:val="19"/>
              </w:rPr>
              <w:t xml:space="preserve">Risky</w:t>
            </w:r>
          </w:p>
        </w:tc>
      </w:tr>
      <w:tr>
        <w:tc>
          <w:tcPr>
            <w:tcW w:type="dxa" w:w="225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r>
              <w:rPr>
                <w:rFonts w:ascii="Calibri" w:cs="Calibri" w:eastAsia="Calibri" w:hAnsi="Calibri"/>
                <w:b/>
                <w:bCs/>
                <w:color w:val="1B6B5A"/>
                <w:sz w:val="19"/>
                <w:szCs w:val="19"/>
              </w:rPr>
              <w:t xml:space="preserve">Average Coal Stock</w:t>
            </w:r>
          </w:p>
        </w:tc>
        <w:tc>
          <w:tcPr>
            <w:tcW w:type="dxa" w:w="225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bCs/>
                <w:color w:val="D4880E"/>
                <w:sz w:val="19"/>
                <w:szCs w:val="19"/>
              </w:rPr>
              <w:t xml:space="preserve">17.2 days</w:t>
            </w:r>
          </w:p>
        </w:tc>
        <w:tc>
          <w:tcPr>
            <w:tcW w:type="dxa" w:w="225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21+ days is comfortable</w:t>
            </w:r>
          </w:p>
        </w:tc>
        <w:tc>
          <w:tcPr>
            <w:tcW w:type="dxa" w:w="225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bCs/>
                <w:color w:val="D4880E"/>
                <w:sz w:val="19"/>
                <w:szCs w:val="19"/>
              </w:rPr>
              <w:t xml:space="preserve">Moderate</w:t>
            </w:r>
          </w:p>
        </w:tc>
      </w:tr>
    </w:tbl>
    <w:p>
      <w:pPr>
        <w:spacing w:before="160" w:after="0"/>
      </w:pPr>
      <w:r>
        <w:t xml:space="preserve"/>
      </w:r>
    </w:p>
    <w:p>
      <w:pPr>
        <w:pStyle w:val="Heading2"/>
        <w:spacing w:before="240" w:after="100"/>
      </w:pPr>
      <w:r>
        <w:rPr>
          <w:rFonts w:ascii="Calibri" w:cs="Calibri" w:eastAsia="Calibri" w:hAnsi="Calibri"/>
          <w:b/>
          <w:bCs/>
          <w:color w:val="2E9E80"/>
          <w:sz w:val="26"/>
          <w:szCs w:val="26"/>
        </w:rPr>
        <w:t xml:space="preserve">4.2 Gas Plants vs. Coal Plants — A Big Difference</w:t>
      </w:r>
    </w:p>
    <w:p>
      <w:pPr>
        <w:spacing w:before="80" w:after="120"/>
      </w:pPr>
      <w:r>
        <w:rPr>
          <w:rFonts w:ascii="Calibri" w:cs="Calibri" w:eastAsia="Calibri" w:hAnsi="Calibri"/>
          <w:color w:val="2C2C2C"/>
          <w:sz w:val="22"/>
          <w:szCs w:val="22"/>
        </w:rPr>
        <w:t xml:space="preserve">One of the most important things we discovered is that there are two very different types of stations in this dataset, and they perform very differently. Gas-based plants (CCPPs) are struggling badly, while coal-based stations are doing quite well.</w:t>
      </w:r>
    </w:p>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c>
          <w:tcPr>
            <w:tcW w:type="dxa" w:w="3000"/>
            <w:tcBorders>
              <w:top w:val="single" w:color="1B6B5A" w:sz="1"/>
              <w:left w:val="single" w:color="1B6B5A" w:sz="1"/>
              <w:bottom w:val="single" w:color="1B6B5A" w:sz="1"/>
              <w:right w:val="single" w:color="1B6B5A" w:sz="1"/>
            </w:tcBorders>
            <w:shd w:fill="1B6B5A" w:val="clear"/>
            <w:tcMar>
              <w:top w:type="dxa" w:w="90"/>
              <w:left w:type="dxa" w:w="130"/>
              <w:bottom w:type="dxa" w:w="90"/>
              <w:right w:type="dxa" w:w="130"/>
            </w:tcMar>
            <w:vAlign w:val="center"/>
          </w:tcPr>
          <w:p>
            <w:pPr>
              <w:jc w:val="center"/>
            </w:pPr>
            <w:r>
              <w:rPr>
                <w:rFonts w:ascii="Calibri" w:cs="Calibri" w:eastAsia="Calibri" w:hAnsi="Calibri"/>
                <w:b/>
                <w:bCs/>
                <w:color w:val="FFFFFF"/>
                <w:sz w:val="20"/>
                <w:szCs w:val="20"/>
              </w:rPr>
              <w:t xml:space="preserve">Station Type</w:t>
            </w:r>
          </w:p>
        </w:tc>
        <w:tc>
          <w:tcPr>
            <w:tcW w:type="dxa" w:w="2000"/>
            <w:tcBorders>
              <w:top w:val="single" w:color="1B6B5A" w:sz="1"/>
              <w:left w:val="single" w:color="1B6B5A" w:sz="1"/>
              <w:bottom w:val="single" w:color="1B6B5A" w:sz="1"/>
              <w:right w:val="single" w:color="1B6B5A" w:sz="1"/>
            </w:tcBorders>
            <w:shd w:fill="1B6B5A" w:val="clear"/>
            <w:tcMar>
              <w:top w:type="dxa" w:w="90"/>
              <w:left w:type="dxa" w:w="130"/>
              <w:bottom w:type="dxa" w:w="90"/>
              <w:right w:type="dxa" w:w="130"/>
            </w:tcMar>
            <w:vAlign w:val="center"/>
          </w:tcPr>
          <w:p>
            <w:pPr>
              <w:jc w:val="center"/>
            </w:pPr>
            <w:r>
              <w:rPr>
                <w:rFonts w:ascii="Calibri" w:cs="Calibri" w:eastAsia="Calibri" w:hAnsi="Calibri"/>
                <w:b/>
                <w:bCs/>
                <w:color w:val="FFFFFF"/>
                <w:sz w:val="20"/>
                <w:szCs w:val="20"/>
              </w:rPr>
              <w:t xml:space="preserve">No. of Records</w:t>
            </w:r>
          </w:p>
        </w:tc>
        <w:tc>
          <w:tcPr>
            <w:tcW w:type="dxa" w:w="2000"/>
            <w:tcBorders>
              <w:top w:val="single" w:color="1B6B5A" w:sz="1"/>
              <w:left w:val="single" w:color="1B6B5A" w:sz="1"/>
              <w:bottom w:val="single" w:color="1B6B5A" w:sz="1"/>
              <w:right w:val="single" w:color="1B6B5A" w:sz="1"/>
            </w:tcBorders>
            <w:shd w:fill="1B6B5A" w:val="clear"/>
            <w:tcMar>
              <w:top w:type="dxa" w:w="90"/>
              <w:left w:type="dxa" w:w="130"/>
              <w:bottom w:type="dxa" w:w="90"/>
              <w:right w:type="dxa" w:w="130"/>
            </w:tcMar>
            <w:vAlign w:val="center"/>
          </w:tcPr>
          <w:p>
            <w:pPr>
              <w:jc w:val="center"/>
            </w:pPr>
            <w:r>
              <w:rPr>
                <w:rFonts w:ascii="Calibri" w:cs="Calibri" w:eastAsia="Calibri" w:hAnsi="Calibri"/>
                <w:b/>
                <w:bCs/>
                <w:color w:val="FFFFFF"/>
                <w:sz w:val="20"/>
                <w:szCs w:val="20"/>
              </w:rPr>
              <w:t xml:space="preserve">Avg. Capacity Use</w:t>
            </w:r>
          </w:p>
        </w:tc>
        <w:tc>
          <w:tcPr>
            <w:tcW w:type="dxa" w:w="2000"/>
            <w:tcBorders>
              <w:top w:val="single" w:color="1B6B5A" w:sz="1"/>
              <w:left w:val="single" w:color="1B6B5A" w:sz="1"/>
              <w:bottom w:val="single" w:color="1B6B5A" w:sz="1"/>
              <w:right w:val="single" w:color="1B6B5A" w:sz="1"/>
            </w:tcBorders>
            <w:shd w:fill="1B6B5A" w:val="clear"/>
            <w:tcMar>
              <w:top w:type="dxa" w:w="90"/>
              <w:left w:type="dxa" w:w="130"/>
              <w:bottom w:type="dxa" w:w="90"/>
              <w:right w:type="dxa" w:w="130"/>
            </w:tcMar>
            <w:vAlign w:val="center"/>
          </w:tcPr>
          <w:p>
            <w:pPr>
              <w:jc w:val="center"/>
            </w:pPr>
            <w:r>
              <w:rPr>
                <w:rFonts w:ascii="Calibri" w:cs="Calibri" w:eastAsia="Calibri" w:hAnsi="Calibri"/>
                <w:b/>
                <w:bCs/>
                <w:color w:val="FFFFFF"/>
                <w:sz w:val="20"/>
                <w:szCs w:val="20"/>
              </w:rPr>
              <w:t xml:space="preserve">Outage Rate</w:t>
            </w:r>
          </w:p>
        </w:tc>
      </w:tr>
      <w:tr>
        <w:tc>
          <w:tcPr>
            <w:tcW w:type="dxa" w:w="30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r>
              <w:rPr>
                <w:rFonts w:ascii="Calibri" w:cs="Calibri" w:eastAsia="Calibri" w:hAnsi="Calibri"/>
                <w:b/>
                <w:bCs/>
                <w:color w:val="C0392B"/>
                <w:sz w:val="19"/>
                <w:szCs w:val="19"/>
              </w:rPr>
              <w:t xml:space="preserve">Gas-Based (CCPP / Liquid Fuel)</w:t>
            </w:r>
          </w:p>
        </w:tc>
        <w:tc>
          <w:tcPr>
            <w:tcW w:type="dxa" w:w="20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407</w:t>
            </w:r>
          </w:p>
        </w:tc>
        <w:tc>
          <w:tcPr>
            <w:tcW w:type="dxa" w:w="20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bCs/>
                <w:color w:val="C0392B"/>
                <w:sz w:val="19"/>
                <w:szCs w:val="19"/>
              </w:rPr>
              <w:t xml:space="preserve">22.2%</w:t>
            </w:r>
          </w:p>
        </w:tc>
        <w:tc>
          <w:tcPr>
            <w:tcW w:type="dxa" w:w="20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bCs/>
                <w:color w:val="C0392B"/>
                <w:sz w:val="19"/>
                <w:szCs w:val="19"/>
              </w:rPr>
              <w:t xml:space="preserve">92.0%</w:t>
            </w:r>
          </w:p>
        </w:tc>
      </w:tr>
      <w:tr>
        <w:tc>
          <w:tcPr>
            <w:tcW w:type="dxa" w:w="30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r>
              <w:rPr>
                <w:rFonts w:ascii="Calibri" w:cs="Calibri" w:eastAsia="Calibri" w:hAnsi="Calibri"/>
                <w:b/>
                <w:bCs/>
                <w:color w:val="27AE60"/>
                <w:sz w:val="19"/>
                <w:szCs w:val="19"/>
              </w:rPr>
              <w:t xml:space="preserve">Thermal / Coal-Based</w:t>
            </w:r>
          </w:p>
        </w:tc>
        <w:tc>
          <w:tcPr>
            <w:tcW w:type="dxa" w:w="20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7,093</w:t>
            </w:r>
          </w:p>
        </w:tc>
        <w:tc>
          <w:tcPr>
            <w:tcW w:type="dxa" w:w="20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bCs/>
                <w:color w:val="27AE60"/>
                <w:sz w:val="19"/>
                <w:szCs w:val="19"/>
              </w:rPr>
              <w:t xml:space="preserve">84.3%</w:t>
            </w:r>
          </w:p>
        </w:tc>
        <w:tc>
          <w:tcPr>
            <w:tcW w:type="dxa" w:w="20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bCs/>
                <w:color w:val="27AE60"/>
                <w:sz w:val="19"/>
                <w:szCs w:val="19"/>
              </w:rPr>
              <w:t xml:space="preserve">15.0%</w:t>
            </w:r>
          </w:p>
        </w:tc>
      </w:tr>
    </w:tbl>
    <w:p>
      <w:pPr>
        <w:spacing w:before="120" w:after="0"/>
      </w:pPr>
      <w:r>
        <w:t xml:space="preserve"/>
      </w:r>
    </w:p>
    <w:p>
      <w:pPr>
        <w:spacing w:before="80" w:after="120"/>
      </w:pPr>
      <w:r>
        <w:rPr>
          <w:rFonts w:ascii="Calibri" w:cs="Calibri" w:eastAsia="Calibri" w:hAnsi="Calibri"/>
          <w:color w:val="2C2C2C"/>
          <w:sz w:val="22"/>
          <w:szCs w:val="22"/>
        </w:rPr>
        <w:t xml:space="preserve">Why are gas plants doing so poorly? It's not because the plants are broken — it's because India doesn't have enough natural gas to run them. These stations are technically working, but they can't generate power because there's no fuel. This is called the "stranded asset" problem. The 5 worst-performing stations in our entire dataset are all gas-based CCPPs.</w:t>
      </w:r>
    </w:p>
    <w:p>
      <w:r>
        <w:br w:type="page"/>
      </w:r>
    </w:p>
    <w:p>
      <w:pPr>
        <w:pStyle w:val="Heading1"/>
        <w:pBdr>
          <w:bottom w:val="single" w:color="2E9E80" w:sz="6" w:space="6"/>
        </w:pBdr>
        <w:spacing w:before="360" w:after="140"/>
      </w:pPr>
      <w:r>
        <w:rPr>
          <w:rFonts w:ascii="Calibri" w:cs="Calibri" w:eastAsia="Calibri" w:hAnsi="Calibri"/>
          <w:b/>
          <w:bCs/>
          <w:color w:val="1B6B5A"/>
          <w:sz w:val="34"/>
          <w:szCs w:val="34"/>
        </w:rPr>
        <w:t xml:space="preserve">5. Station-wise Performance Analysis</w:t>
      </w:r>
    </w:p>
    <w:p>
      <w:pPr>
        <w:pStyle w:val="Heading2"/>
        <w:spacing w:before="240" w:after="100"/>
      </w:pPr>
      <w:r>
        <w:rPr>
          <w:rFonts w:ascii="Calibri" w:cs="Calibri" w:eastAsia="Calibri" w:hAnsi="Calibri"/>
          <w:b/>
          <w:bCs/>
          <w:color w:val="2E9E80"/>
          <w:sz w:val="26"/>
          <w:szCs w:val="26"/>
        </w:rPr>
        <w:t xml:space="preserve">5.1 The 10 Worst Performing Stations</w:t>
      </w:r>
    </w:p>
    <w:p>
      <w:pPr>
        <w:spacing w:before="80" w:after="120"/>
      </w:pPr>
      <w:r>
        <w:rPr>
          <w:rFonts w:ascii="Calibri" w:cs="Calibri" w:eastAsia="Calibri" w:hAnsi="Calibri"/>
          <w:color w:val="2C2C2C"/>
          <w:sz w:val="22"/>
          <w:szCs w:val="22"/>
        </w:rPr>
        <w:t xml:space="preserve">Using our Inefficiency Score formula, we ranked all 41 stations from worst to best. Here are the 10 most problematic ones:</w:t>
      </w:r>
    </w:p>
    <w:p>
      <w:pPr>
        <w:spacing w:before="10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250"/>
        <w:gridCol w:w="1250"/>
        <w:gridCol w:w="1100"/>
        <w:gridCol w:w="1250"/>
        <w:gridCol w:w="1250"/>
        <w:gridCol w:w="1000"/>
      </w:tblGrid>
      <w:tr>
        <w:tc>
          <w:tcPr>
            <w:tcW w:type="dxa" w:w="1900"/>
            <w:tcBorders>
              <w:top w:val="single" w:color="1B6B5A" w:sz="1"/>
              <w:left w:val="single" w:color="1B6B5A" w:sz="1"/>
              <w:bottom w:val="single" w:color="1B6B5A" w:sz="1"/>
              <w:right w:val="single" w:color="1B6B5A" w:sz="1"/>
            </w:tcBorders>
            <w:shd w:fill="1B6B5A" w:val="clear"/>
            <w:tcMar>
              <w:top w:type="dxa" w:w="90"/>
              <w:left w:type="dxa" w:w="130"/>
              <w:bottom w:type="dxa" w:w="90"/>
              <w:right w:type="dxa" w:w="130"/>
            </w:tcMar>
            <w:vAlign w:val="center"/>
          </w:tcPr>
          <w:p>
            <w:pPr>
              <w:jc w:val="center"/>
            </w:pPr>
            <w:r>
              <w:rPr>
                <w:rFonts w:ascii="Calibri" w:cs="Calibri" w:eastAsia="Calibri" w:hAnsi="Calibri"/>
                <w:b/>
                <w:bCs/>
                <w:color w:val="FFFFFF"/>
                <w:sz w:val="20"/>
                <w:szCs w:val="20"/>
              </w:rPr>
              <w:t xml:space="preserve">Station Name</w:t>
            </w:r>
          </w:p>
        </w:tc>
        <w:tc>
          <w:tcPr>
            <w:tcW w:type="dxa" w:w="1250"/>
            <w:tcBorders>
              <w:top w:val="single" w:color="1B6B5A" w:sz="1"/>
              <w:left w:val="single" w:color="1B6B5A" w:sz="1"/>
              <w:bottom w:val="single" w:color="1B6B5A" w:sz="1"/>
              <w:right w:val="single" w:color="1B6B5A" w:sz="1"/>
            </w:tcBorders>
            <w:shd w:fill="1B6B5A" w:val="clear"/>
            <w:tcMar>
              <w:top w:type="dxa" w:w="90"/>
              <w:left w:type="dxa" w:w="130"/>
              <w:bottom w:type="dxa" w:w="90"/>
              <w:right w:type="dxa" w:w="130"/>
            </w:tcMar>
            <w:vAlign w:val="center"/>
          </w:tcPr>
          <w:p>
            <w:pPr>
              <w:jc w:val="center"/>
            </w:pPr>
            <w:r>
              <w:rPr>
                <w:rFonts w:ascii="Calibri" w:cs="Calibri" w:eastAsia="Calibri" w:hAnsi="Calibri"/>
                <w:b/>
                <w:bCs/>
                <w:color w:val="FFFFFF"/>
                <w:sz w:val="20"/>
                <w:szCs w:val="20"/>
              </w:rPr>
              <w:t xml:space="preserve">Cap. Use %</w:t>
            </w:r>
          </w:p>
        </w:tc>
        <w:tc>
          <w:tcPr>
            <w:tcW w:type="dxa" w:w="1250"/>
            <w:tcBorders>
              <w:top w:val="single" w:color="1B6B5A" w:sz="1"/>
              <w:left w:val="single" w:color="1B6B5A" w:sz="1"/>
              <w:bottom w:val="single" w:color="1B6B5A" w:sz="1"/>
              <w:right w:val="single" w:color="1B6B5A" w:sz="1"/>
            </w:tcBorders>
            <w:shd w:fill="1B6B5A" w:val="clear"/>
            <w:tcMar>
              <w:top w:type="dxa" w:w="90"/>
              <w:left w:type="dxa" w:w="130"/>
              <w:bottom w:type="dxa" w:w="90"/>
              <w:right w:type="dxa" w:w="130"/>
            </w:tcMar>
            <w:vAlign w:val="center"/>
          </w:tcPr>
          <w:p>
            <w:pPr>
              <w:jc w:val="center"/>
            </w:pPr>
            <w:r>
              <w:rPr>
                <w:rFonts w:ascii="Calibri" w:cs="Calibri" w:eastAsia="Calibri" w:hAnsi="Calibri"/>
                <w:b/>
                <w:bCs/>
                <w:color w:val="FFFFFF"/>
                <w:sz w:val="20"/>
                <w:szCs w:val="20"/>
              </w:rPr>
              <w:t xml:space="preserve">Outage Rate %</w:t>
            </w:r>
          </w:p>
        </w:tc>
        <w:tc>
          <w:tcPr>
            <w:tcW w:type="dxa" w:w="1100"/>
            <w:tcBorders>
              <w:top w:val="single" w:color="1B6B5A" w:sz="1"/>
              <w:left w:val="single" w:color="1B6B5A" w:sz="1"/>
              <w:bottom w:val="single" w:color="1B6B5A" w:sz="1"/>
              <w:right w:val="single" w:color="1B6B5A" w:sz="1"/>
            </w:tcBorders>
            <w:shd w:fill="1B6B5A" w:val="clear"/>
            <w:tcMar>
              <w:top w:type="dxa" w:w="90"/>
              <w:left w:type="dxa" w:w="130"/>
              <w:bottom w:type="dxa" w:w="90"/>
              <w:right w:type="dxa" w:w="130"/>
            </w:tcMar>
            <w:vAlign w:val="center"/>
          </w:tcPr>
          <w:p>
            <w:pPr>
              <w:jc w:val="center"/>
            </w:pPr>
            <w:r>
              <w:rPr>
                <w:rFonts w:ascii="Calibri" w:cs="Calibri" w:eastAsia="Calibri" w:hAnsi="Calibri"/>
                <w:b/>
                <w:bCs/>
                <w:color w:val="FFFFFF"/>
                <w:sz w:val="20"/>
                <w:szCs w:val="20"/>
              </w:rPr>
              <w:t xml:space="preserve">Low Coal %</w:t>
            </w:r>
          </w:p>
        </w:tc>
        <w:tc>
          <w:tcPr>
            <w:tcW w:type="dxa" w:w="1250"/>
            <w:tcBorders>
              <w:top w:val="single" w:color="1B6B5A" w:sz="1"/>
              <w:left w:val="single" w:color="1B6B5A" w:sz="1"/>
              <w:bottom w:val="single" w:color="1B6B5A" w:sz="1"/>
              <w:right w:val="single" w:color="1B6B5A" w:sz="1"/>
            </w:tcBorders>
            <w:shd w:fill="1B6B5A" w:val="clear"/>
            <w:tcMar>
              <w:top w:type="dxa" w:w="90"/>
              <w:left w:type="dxa" w:w="130"/>
              <w:bottom w:type="dxa" w:w="90"/>
              <w:right w:type="dxa" w:w="130"/>
            </w:tcMar>
            <w:vAlign w:val="center"/>
          </w:tcPr>
          <w:p>
            <w:pPr>
              <w:jc w:val="center"/>
            </w:pPr>
            <w:r>
              <w:rPr>
                <w:rFonts w:ascii="Calibri" w:cs="Calibri" w:eastAsia="Calibri" w:hAnsi="Calibri"/>
                <w:b/>
                <w:bCs/>
                <w:color w:val="FFFFFF"/>
                <w:sz w:val="20"/>
                <w:szCs w:val="20"/>
              </w:rPr>
              <w:t xml:space="preserve">Avg. Coal (days)</w:t>
            </w:r>
          </w:p>
        </w:tc>
        <w:tc>
          <w:tcPr>
            <w:tcW w:type="dxa" w:w="1250"/>
            <w:tcBorders>
              <w:top w:val="single" w:color="1B6B5A" w:sz="1"/>
              <w:left w:val="single" w:color="1B6B5A" w:sz="1"/>
              <w:bottom w:val="single" w:color="1B6B5A" w:sz="1"/>
              <w:right w:val="single" w:color="1B6B5A" w:sz="1"/>
            </w:tcBorders>
            <w:shd w:fill="1B6B5A" w:val="clear"/>
            <w:tcMar>
              <w:top w:type="dxa" w:w="90"/>
              <w:left w:type="dxa" w:w="130"/>
              <w:bottom w:type="dxa" w:w="90"/>
              <w:right w:type="dxa" w:w="130"/>
            </w:tcMar>
            <w:vAlign w:val="center"/>
          </w:tcPr>
          <w:p>
            <w:pPr>
              <w:jc w:val="center"/>
            </w:pPr>
            <w:r>
              <w:rPr>
                <w:rFonts w:ascii="Calibri" w:cs="Calibri" w:eastAsia="Calibri" w:hAnsi="Calibri"/>
                <w:b/>
                <w:bCs/>
                <w:color w:val="FFFFFF"/>
                <w:sz w:val="20"/>
                <w:szCs w:val="20"/>
              </w:rPr>
              <w:t xml:space="preserve">Avg. Outage (MW)</w:t>
            </w:r>
          </w:p>
        </w:tc>
        <w:tc>
          <w:tcPr>
            <w:tcW w:type="dxa" w:w="1000"/>
            <w:tcBorders>
              <w:top w:val="single" w:color="1B6B5A" w:sz="1"/>
              <w:left w:val="single" w:color="1B6B5A" w:sz="1"/>
              <w:bottom w:val="single" w:color="1B6B5A" w:sz="1"/>
              <w:right w:val="single" w:color="1B6B5A" w:sz="1"/>
            </w:tcBorders>
            <w:shd w:fill="1B6B5A" w:val="clear"/>
            <w:tcMar>
              <w:top w:type="dxa" w:w="90"/>
              <w:left w:type="dxa" w:w="130"/>
              <w:bottom w:type="dxa" w:w="90"/>
              <w:right w:type="dxa" w:w="130"/>
            </w:tcMar>
            <w:vAlign w:val="center"/>
          </w:tcPr>
          <w:p>
            <w:pPr>
              <w:jc w:val="center"/>
            </w:pPr>
            <w:r>
              <w:rPr>
                <w:rFonts w:ascii="Calibri" w:cs="Calibri" w:eastAsia="Calibri" w:hAnsi="Calibri"/>
                <w:b/>
                <w:bCs/>
                <w:color w:val="FFFFFF"/>
                <w:sz w:val="20"/>
                <w:szCs w:val="20"/>
              </w:rPr>
              <w:t xml:space="preserve">Score</w:t>
            </w:r>
          </w:p>
        </w:tc>
      </w:tr>
      <w:tr>
        <w:tc>
          <w:tcPr>
            <w:tcW w:type="dxa" w:w="19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r>
              <w:rPr>
                <w:rFonts w:ascii="Calibri" w:cs="Calibri" w:eastAsia="Calibri" w:hAnsi="Calibri"/>
                <w:b/>
                <w:bCs/>
                <w:color w:val="C0392B"/>
                <w:sz w:val="19"/>
                <w:szCs w:val="19"/>
              </w:rPr>
              <w:t xml:space="preserve">ANTA CCPP</w:t>
            </w:r>
          </w:p>
        </w:tc>
        <w:tc>
          <w:tcPr>
            <w:tcW w:type="dxa" w:w="125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val="false"/>
                <w:bCs w:val="false"/>
                <w:color w:val="C0392B"/>
                <w:sz w:val="19"/>
                <w:szCs w:val="19"/>
              </w:rPr>
              <w:t xml:space="preserve">4.3%</w:t>
            </w:r>
          </w:p>
        </w:tc>
        <w:tc>
          <w:tcPr>
            <w:tcW w:type="dxa" w:w="125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val="false"/>
                <w:bCs w:val="false"/>
                <w:color w:val="C0392B"/>
                <w:sz w:val="19"/>
                <w:szCs w:val="19"/>
              </w:rPr>
              <w:t xml:space="preserve">100%</w:t>
            </w:r>
          </w:p>
        </w:tc>
        <w:tc>
          <w:tcPr>
            <w:tcW w:type="dxa" w:w="11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0%</w:t>
            </w:r>
          </w:p>
        </w:tc>
        <w:tc>
          <w:tcPr>
            <w:tcW w:type="dxa" w:w="125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Gas Plant</w:t>
            </w:r>
          </w:p>
        </w:tc>
        <w:tc>
          <w:tcPr>
            <w:tcW w:type="dxa" w:w="125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401 MW</w:t>
            </w:r>
          </w:p>
        </w:tc>
        <w:tc>
          <w:tcPr>
            <w:tcW w:type="dxa" w:w="10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bCs/>
                <w:color w:val="C0392B"/>
                <w:sz w:val="19"/>
                <w:szCs w:val="19"/>
              </w:rPr>
              <w:t xml:space="preserve">68.5</w:t>
            </w:r>
          </w:p>
        </w:tc>
      </w:tr>
      <w:tr>
        <w:tc>
          <w:tcPr>
            <w:tcW w:type="dxa" w:w="19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r>
              <w:rPr>
                <w:rFonts w:ascii="Calibri" w:cs="Calibri" w:eastAsia="Calibri" w:hAnsi="Calibri"/>
                <w:b/>
                <w:bCs/>
                <w:color w:val="C0392B"/>
                <w:sz w:val="19"/>
                <w:szCs w:val="19"/>
              </w:rPr>
              <w:t xml:space="preserve">AURAIYA CCPP</w:t>
            </w:r>
          </w:p>
        </w:tc>
        <w:tc>
          <w:tcPr>
            <w:tcW w:type="dxa" w:w="125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C0392B"/>
                <w:sz w:val="19"/>
                <w:szCs w:val="19"/>
              </w:rPr>
              <w:t xml:space="preserve">10.3%</w:t>
            </w:r>
          </w:p>
        </w:tc>
        <w:tc>
          <w:tcPr>
            <w:tcW w:type="dxa" w:w="125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C0392B"/>
                <w:sz w:val="19"/>
                <w:szCs w:val="19"/>
              </w:rPr>
              <w:t xml:space="preserve">100%</w:t>
            </w:r>
          </w:p>
        </w:tc>
        <w:tc>
          <w:tcPr>
            <w:tcW w:type="dxa" w:w="11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0%</w:t>
            </w:r>
          </w:p>
        </w:tc>
        <w:tc>
          <w:tcPr>
            <w:tcW w:type="dxa" w:w="125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Gas Plant</w:t>
            </w:r>
          </w:p>
        </w:tc>
        <w:tc>
          <w:tcPr>
            <w:tcW w:type="dxa" w:w="125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595 MW</w:t>
            </w:r>
          </w:p>
        </w:tc>
        <w:tc>
          <w:tcPr>
            <w:tcW w:type="dxa" w:w="10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bCs/>
                <w:color w:val="C0392B"/>
                <w:sz w:val="19"/>
                <w:szCs w:val="19"/>
              </w:rPr>
              <w:t xml:space="preserve">66.4</w:t>
            </w:r>
          </w:p>
        </w:tc>
      </w:tr>
      <w:tr>
        <w:tc>
          <w:tcPr>
            <w:tcW w:type="dxa" w:w="19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r>
              <w:rPr>
                <w:rFonts w:ascii="Calibri" w:cs="Calibri" w:eastAsia="Calibri" w:hAnsi="Calibri"/>
                <w:b/>
                <w:bCs/>
                <w:color w:val="C0392B"/>
                <w:sz w:val="19"/>
                <w:szCs w:val="19"/>
              </w:rPr>
              <w:t xml:space="preserve">DADRI CCPP</w:t>
            </w:r>
          </w:p>
        </w:tc>
        <w:tc>
          <w:tcPr>
            <w:tcW w:type="dxa" w:w="125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val="false"/>
                <w:bCs w:val="false"/>
                <w:color w:val="C0392B"/>
                <w:sz w:val="19"/>
                <w:szCs w:val="19"/>
              </w:rPr>
              <w:t xml:space="preserve">18.7%</w:t>
            </w:r>
          </w:p>
        </w:tc>
        <w:tc>
          <w:tcPr>
            <w:tcW w:type="dxa" w:w="125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val="false"/>
                <w:bCs w:val="false"/>
                <w:color w:val="C0392B"/>
                <w:sz w:val="19"/>
                <w:szCs w:val="19"/>
              </w:rPr>
              <w:t xml:space="preserve">100%</w:t>
            </w:r>
          </w:p>
        </w:tc>
        <w:tc>
          <w:tcPr>
            <w:tcW w:type="dxa" w:w="11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0%</w:t>
            </w:r>
          </w:p>
        </w:tc>
        <w:tc>
          <w:tcPr>
            <w:tcW w:type="dxa" w:w="125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Gas Plant</w:t>
            </w:r>
          </w:p>
        </w:tc>
        <w:tc>
          <w:tcPr>
            <w:tcW w:type="dxa" w:w="125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675 MW</w:t>
            </w:r>
          </w:p>
        </w:tc>
        <w:tc>
          <w:tcPr>
            <w:tcW w:type="dxa" w:w="10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bCs/>
                <w:color w:val="C0392B"/>
                <w:sz w:val="19"/>
                <w:szCs w:val="19"/>
              </w:rPr>
              <w:t xml:space="preserve">63.5</w:t>
            </w:r>
          </w:p>
        </w:tc>
      </w:tr>
      <w:tr>
        <w:tc>
          <w:tcPr>
            <w:tcW w:type="dxa" w:w="19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r>
              <w:rPr>
                <w:rFonts w:ascii="Calibri" w:cs="Calibri" w:eastAsia="Calibri" w:hAnsi="Calibri"/>
                <w:b/>
                <w:bCs/>
                <w:color w:val="C0392B"/>
                <w:sz w:val="19"/>
                <w:szCs w:val="19"/>
              </w:rPr>
              <w:t xml:space="preserve">KAWAS CCPP</w:t>
            </w:r>
          </w:p>
        </w:tc>
        <w:tc>
          <w:tcPr>
            <w:tcW w:type="dxa" w:w="125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C0392B"/>
                <w:sz w:val="19"/>
                <w:szCs w:val="19"/>
              </w:rPr>
              <w:t xml:space="preserve">27.6%</w:t>
            </w:r>
          </w:p>
        </w:tc>
        <w:tc>
          <w:tcPr>
            <w:tcW w:type="dxa" w:w="125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C0392B"/>
                <w:sz w:val="19"/>
                <w:szCs w:val="19"/>
              </w:rPr>
              <w:t xml:space="preserve">100%</w:t>
            </w:r>
          </w:p>
        </w:tc>
        <w:tc>
          <w:tcPr>
            <w:tcW w:type="dxa" w:w="11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0%</w:t>
            </w:r>
          </w:p>
        </w:tc>
        <w:tc>
          <w:tcPr>
            <w:tcW w:type="dxa" w:w="125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Gas Plant</w:t>
            </w:r>
          </w:p>
        </w:tc>
        <w:tc>
          <w:tcPr>
            <w:tcW w:type="dxa" w:w="125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475 MW</w:t>
            </w:r>
          </w:p>
        </w:tc>
        <w:tc>
          <w:tcPr>
            <w:tcW w:type="dxa" w:w="10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bCs/>
                <w:color w:val="C0392B"/>
                <w:sz w:val="19"/>
                <w:szCs w:val="19"/>
              </w:rPr>
              <w:t xml:space="preserve">60.4</w:t>
            </w:r>
          </w:p>
        </w:tc>
      </w:tr>
      <w:tr>
        <w:tc>
          <w:tcPr>
            <w:tcW w:type="dxa" w:w="19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r>
              <w:rPr>
                <w:rFonts w:ascii="Calibri" w:cs="Calibri" w:eastAsia="Calibri" w:hAnsi="Calibri"/>
                <w:b/>
                <w:bCs/>
                <w:color w:val="C0392B"/>
                <w:sz w:val="19"/>
                <w:szCs w:val="19"/>
              </w:rPr>
              <w:t xml:space="preserve">FARIDABAD CCPP</w:t>
            </w:r>
          </w:p>
        </w:tc>
        <w:tc>
          <w:tcPr>
            <w:tcW w:type="dxa" w:w="125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val="false"/>
                <w:bCs w:val="false"/>
                <w:color w:val="C0392B"/>
                <w:sz w:val="19"/>
                <w:szCs w:val="19"/>
              </w:rPr>
              <w:t xml:space="preserve">29.9%</w:t>
            </w:r>
          </w:p>
        </w:tc>
        <w:tc>
          <w:tcPr>
            <w:tcW w:type="dxa" w:w="125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val="false"/>
                <w:bCs w:val="false"/>
                <w:color w:val="C0392B"/>
                <w:sz w:val="19"/>
                <w:szCs w:val="19"/>
              </w:rPr>
              <w:t xml:space="preserve">100%</w:t>
            </w:r>
          </w:p>
        </w:tc>
        <w:tc>
          <w:tcPr>
            <w:tcW w:type="dxa" w:w="11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0%</w:t>
            </w:r>
          </w:p>
        </w:tc>
        <w:tc>
          <w:tcPr>
            <w:tcW w:type="dxa" w:w="125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Gas Plant</w:t>
            </w:r>
          </w:p>
        </w:tc>
        <w:tc>
          <w:tcPr>
            <w:tcW w:type="dxa" w:w="125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303 MW</w:t>
            </w:r>
          </w:p>
        </w:tc>
        <w:tc>
          <w:tcPr>
            <w:tcW w:type="dxa" w:w="10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bCs/>
                <w:color w:val="C0392B"/>
                <w:sz w:val="19"/>
                <w:szCs w:val="19"/>
              </w:rPr>
              <w:t xml:space="preserve">59.5</w:t>
            </w:r>
          </w:p>
        </w:tc>
      </w:tr>
      <w:tr>
        <w:tc>
          <w:tcPr>
            <w:tcW w:type="dxa" w:w="19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r>
              <w:rPr>
                <w:rFonts w:ascii="Calibri" w:cs="Calibri" w:eastAsia="Calibri" w:hAnsi="Calibri"/>
                <w:b/>
                <w:bCs/>
                <w:color w:val="D4880E"/>
                <w:sz w:val="19"/>
                <w:szCs w:val="19"/>
              </w:rPr>
              <w:t xml:space="preserve">BADARPUR TPS</w:t>
            </w:r>
          </w:p>
        </w:tc>
        <w:tc>
          <w:tcPr>
            <w:tcW w:type="dxa" w:w="125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C0392B"/>
                <w:sz w:val="19"/>
                <w:szCs w:val="19"/>
              </w:rPr>
              <w:t xml:space="preserve">12.9%</w:t>
            </w:r>
          </w:p>
        </w:tc>
        <w:tc>
          <w:tcPr>
            <w:tcW w:type="dxa" w:w="125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D4880E"/>
                <w:sz w:val="19"/>
                <w:szCs w:val="19"/>
              </w:rPr>
              <w:t xml:space="preserve">68%</w:t>
            </w:r>
          </w:p>
        </w:tc>
        <w:tc>
          <w:tcPr>
            <w:tcW w:type="dxa" w:w="11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0%</w:t>
            </w:r>
          </w:p>
        </w:tc>
        <w:tc>
          <w:tcPr>
            <w:tcW w:type="dxa" w:w="125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N/A</w:t>
            </w:r>
          </w:p>
        </w:tc>
        <w:tc>
          <w:tcPr>
            <w:tcW w:type="dxa" w:w="125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79 MW</w:t>
            </w:r>
          </w:p>
        </w:tc>
        <w:tc>
          <w:tcPr>
            <w:tcW w:type="dxa" w:w="10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bCs/>
                <w:color w:val="D4880E"/>
                <w:sz w:val="19"/>
                <w:szCs w:val="19"/>
              </w:rPr>
              <w:t xml:space="preserve">54.3</w:t>
            </w:r>
          </w:p>
        </w:tc>
      </w:tr>
      <w:tr>
        <w:tc>
          <w:tcPr>
            <w:tcW w:type="dxa" w:w="19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r>
              <w:rPr>
                <w:rFonts w:ascii="Calibri" w:cs="Calibri" w:eastAsia="Calibri" w:hAnsi="Calibri"/>
                <w:b/>
                <w:bCs/>
                <w:color w:val="D4880E"/>
                <w:sz w:val="19"/>
                <w:szCs w:val="19"/>
              </w:rPr>
              <w:t xml:space="preserve">GANDHAR CCPP</w:t>
            </w:r>
          </w:p>
        </w:tc>
        <w:tc>
          <w:tcPr>
            <w:tcW w:type="dxa" w:w="125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val="false"/>
                <w:bCs w:val="false"/>
                <w:color w:val="D4880E"/>
                <w:sz w:val="19"/>
                <w:szCs w:val="19"/>
              </w:rPr>
              <w:t xml:space="preserve">34.2%</w:t>
            </w:r>
          </w:p>
        </w:tc>
        <w:tc>
          <w:tcPr>
            <w:tcW w:type="dxa" w:w="125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val="false"/>
                <w:bCs w:val="false"/>
                <w:color w:val="D4880E"/>
                <w:sz w:val="19"/>
                <w:szCs w:val="19"/>
              </w:rPr>
              <w:t xml:space="preserve">74%</w:t>
            </w:r>
          </w:p>
        </w:tc>
        <w:tc>
          <w:tcPr>
            <w:tcW w:type="dxa" w:w="11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0%</w:t>
            </w:r>
          </w:p>
        </w:tc>
        <w:tc>
          <w:tcPr>
            <w:tcW w:type="dxa" w:w="125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Gas Plant</w:t>
            </w:r>
          </w:p>
        </w:tc>
        <w:tc>
          <w:tcPr>
            <w:tcW w:type="dxa" w:w="125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433 MW</w:t>
            </w:r>
          </w:p>
        </w:tc>
        <w:tc>
          <w:tcPr>
            <w:tcW w:type="dxa" w:w="10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bCs/>
                <w:color w:val="D4880E"/>
                <w:sz w:val="19"/>
                <w:szCs w:val="19"/>
              </w:rPr>
              <w:t xml:space="preserve">48.9</w:t>
            </w:r>
          </w:p>
        </w:tc>
      </w:tr>
      <w:tr>
        <w:tc>
          <w:tcPr>
            <w:tcW w:type="dxa" w:w="19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r>
              <w:rPr>
                <w:rFonts w:ascii="Calibri" w:cs="Calibri" w:eastAsia="Calibri" w:hAnsi="Calibri"/>
                <w:b/>
                <w:bCs/>
                <w:color w:val="D4880E"/>
                <w:sz w:val="19"/>
                <w:szCs w:val="19"/>
              </w:rPr>
              <w:t xml:space="preserve">R. GANDHI CCPP</w:t>
            </w:r>
          </w:p>
        </w:tc>
        <w:tc>
          <w:tcPr>
            <w:tcW w:type="dxa" w:w="125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D4880E"/>
                <w:sz w:val="19"/>
                <w:szCs w:val="19"/>
              </w:rPr>
              <w:t xml:space="preserve">31.2%</w:t>
            </w:r>
          </w:p>
        </w:tc>
        <w:tc>
          <w:tcPr>
            <w:tcW w:type="dxa" w:w="125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D4880E"/>
                <w:sz w:val="19"/>
                <w:szCs w:val="19"/>
              </w:rPr>
              <w:t xml:space="preserve">69%</w:t>
            </w:r>
          </w:p>
        </w:tc>
        <w:tc>
          <w:tcPr>
            <w:tcW w:type="dxa" w:w="11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0%</w:t>
            </w:r>
          </w:p>
        </w:tc>
        <w:tc>
          <w:tcPr>
            <w:tcW w:type="dxa" w:w="125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Gas Plant</w:t>
            </w:r>
          </w:p>
        </w:tc>
        <w:tc>
          <w:tcPr>
            <w:tcW w:type="dxa" w:w="125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248 MW</w:t>
            </w:r>
          </w:p>
        </w:tc>
        <w:tc>
          <w:tcPr>
            <w:tcW w:type="dxa" w:w="10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bCs/>
                <w:color w:val="D4880E"/>
                <w:sz w:val="19"/>
                <w:szCs w:val="19"/>
              </w:rPr>
              <w:t xml:space="preserve">48.3</w:t>
            </w:r>
          </w:p>
        </w:tc>
      </w:tr>
      <w:tr>
        <w:tc>
          <w:tcPr>
            <w:tcW w:type="dxa" w:w="19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r>
              <w:rPr>
                <w:rFonts w:ascii="Calibri" w:cs="Calibri" w:eastAsia="Calibri" w:hAnsi="Calibri"/>
                <w:b/>
                <w:bCs/>
                <w:color w:val="D4880E"/>
                <w:sz w:val="19"/>
                <w:szCs w:val="19"/>
              </w:rPr>
              <w:t xml:space="preserve">BARAUNI TPS</w:t>
            </w:r>
          </w:p>
        </w:tc>
        <w:tc>
          <w:tcPr>
            <w:tcW w:type="dxa" w:w="125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val="false"/>
                <w:bCs w:val="false"/>
                <w:color w:val="D4880E"/>
                <w:sz w:val="19"/>
                <w:szCs w:val="19"/>
              </w:rPr>
              <w:t xml:space="preserve">36.1%</w:t>
            </w:r>
          </w:p>
        </w:tc>
        <w:tc>
          <w:tcPr>
            <w:tcW w:type="dxa" w:w="125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val="false"/>
                <w:bCs w:val="false"/>
                <w:color w:val="D4880E"/>
                <w:sz w:val="19"/>
                <w:szCs w:val="19"/>
              </w:rPr>
              <w:t xml:space="preserve">61%</w:t>
            </w:r>
          </w:p>
        </w:tc>
        <w:tc>
          <w:tcPr>
            <w:tcW w:type="dxa" w:w="11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5%</w:t>
            </w:r>
          </w:p>
        </w:tc>
        <w:tc>
          <w:tcPr>
            <w:tcW w:type="dxa" w:w="125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17.5 days</w:t>
            </w:r>
          </w:p>
        </w:tc>
        <w:tc>
          <w:tcPr>
            <w:tcW w:type="dxa" w:w="125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93 MW</w:t>
            </w:r>
          </w:p>
        </w:tc>
        <w:tc>
          <w:tcPr>
            <w:tcW w:type="dxa" w:w="10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bCs/>
                <w:color w:val="D4880E"/>
                <w:sz w:val="19"/>
                <w:szCs w:val="19"/>
              </w:rPr>
              <w:t xml:space="preserve">45.2</w:t>
            </w:r>
          </w:p>
        </w:tc>
      </w:tr>
      <w:tr>
        <w:tc>
          <w:tcPr>
            <w:tcW w:type="dxa" w:w="19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r>
              <w:rPr>
                <w:rFonts w:ascii="Calibri" w:cs="Calibri" w:eastAsia="Calibri" w:hAnsi="Calibri"/>
                <w:b/>
                <w:bCs/>
                <w:color w:val="D4880E"/>
                <w:sz w:val="19"/>
                <w:szCs w:val="19"/>
              </w:rPr>
              <w:t xml:space="preserve">SOLAPUR (Gas)</w:t>
            </w:r>
          </w:p>
        </w:tc>
        <w:tc>
          <w:tcPr>
            <w:tcW w:type="dxa" w:w="125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D4880E"/>
                <w:sz w:val="19"/>
                <w:szCs w:val="19"/>
              </w:rPr>
              <w:t xml:space="preserve">34.2%</w:t>
            </w:r>
          </w:p>
        </w:tc>
        <w:tc>
          <w:tcPr>
            <w:tcW w:type="dxa" w:w="125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D4880E"/>
                <w:sz w:val="19"/>
                <w:szCs w:val="19"/>
              </w:rPr>
              <w:t xml:space="preserve">56%</w:t>
            </w:r>
          </w:p>
        </w:tc>
        <w:tc>
          <w:tcPr>
            <w:tcW w:type="dxa" w:w="11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0%</w:t>
            </w:r>
          </w:p>
        </w:tc>
        <w:tc>
          <w:tcPr>
            <w:tcW w:type="dxa" w:w="125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41.2 days</w:t>
            </w:r>
          </w:p>
        </w:tc>
        <w:tc>
          <w:tcPr>
            <w:tcW w:type="dxa" w:w="125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371 MW</w:t>
            </w:r>
          </w:p>
        </w:tc>
        <w:tc>
          <w:tcPr>
            <w:tcW w:type="dxa" w:w="10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bCs/>
                <w:color w:val="D4880E"/>
                <w:sz w:val="19"/>
                <w:szCs w:val="19"/>
              </w:rPr>
              <w:t xml:space="preserve">42.7</w:t>
            </w:r>
          </w:p>
        </w:tc>
      </w:tr>
    </w:tbl>
    <w:p>
      <w:pPr>
        <w:spacing w:before="160" w:after="0"/>
      </w:pPr>
      <w:r>
        <w:t xml:space="preserve"/>
      </w:r>
    </w:p>
    <w:p>
      <w:pPr>
        <w:pStyle w:val="Heading2"/>
        <w:spacing w:before="240" w:after="100"/>
      </w:pPr>
      <w:r>
        <w:rPr>
          <w:rFonts w:ascii="Calibri" w:cs="Calibri" w:eastAsia="Calibri" w:hAnsi="Calibri"/>
          <w:b/>
          <w:bCs/>
          <w:color w:val="2E9E80"/>
          <w:sz w:val="26"/>
          <w:szCs w:val="26"/>
        </w:rPr>
        <w:t xml:space="preserve">5.2 The Best Performing Stations</w:t>
      </w:r>
    </w:p>
    <w:p>
      <w:pPr>
        <w:spacing w:before="80" w:after="120"/>
      </w:pPr>
      <w:r>
        <w:rPr>
          <w:rFonts w:ascii="Calibri" w:cs="Calibri" w:eastAsia="Calibri" w:hAnsi="Calibri"/>
          <w:color w:val="2C2C2C"/>
          <w:sz w:val="22"/>
          <w:szCs w:val="22"/>
        </w:rPr>
        <w:t xml:space="preserve">On the other end, here are the stations that are doing excellent work — mostly coal-based plants in eastern India:</w:t>
      </w:r>
    </w:p>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600"/>
        <w:gridCol w:w="1400"/>
      </w:tblGrid>
      <w:tr>
        <w:tc>
          <w:tcPr>
            <w:tcW w:type="dxa" w:w="2800"/>
            <w:tcBorders>
              <w:top w:val="single" w:color="1B6B5A" w:sz="1"/>
              <w:left w:val="single" w:color="1B6B5A" w:sz="1"/>
              <w:bottom w:val="single" w:color="1B6B5A" w:sz="1"/>
              <w:right w:val="single" w:color="1B6B5A" w:sz="1"/>
            </w:tcBorders>
            <w:shd w:fill="1B6B5A" w:val="clear"/>
            <w:tcMar>
              <w:top w:type="dxa" w:w="90"/>
              <w:left w:type="dxa" w:w="130"/>
              <w:bottom w:type="dxa" w:w="90"/>
              <w:right w:type="dxa" w:w="130"/>
            </w:tcMar>
            <w:vAlign w:val="center"/>
          </w:tcPr>
          <w:p>
            <w:pPr>
              <w:jc w:val="center"/>
            </w:pPr>
            <w:r>
              <w:rPr>
                <w:rFonts w:ascii="Calibri" w:cs="Calibri" w:eastAsia="Calibri" w:hAnsi="Calibri"/>
                <w:b/>
                <w:bCs/>
                <w:color w:val="FFFFFF"/>
                <w:sz w:val="20"/>
                <w:szCs w:val="20"/>
              </w:rPr>
              <w:t xml:space="preserve">Station Name</w:t>
            </w:r>
          </w:p>
        </w:tc>
        <w:tc>
          <w:tcPr>
            <w:tcW w:type="dxa" w:w="1600"/>
            <w:tcBorders>
              <w:top w:val="single" w:color="1B6B5A" w:sz="1"/>
              <w:left w:val="single" w:color="1B6B5A" w:sz="1"/>
              <w:bottom w:val="single" w:color="1B6B5A" w:sz="1"/>
              <w:right w:val="single" w:color="1B6B5A" w:sz="1"/>
            </w:tcBorders>
            <w:shd w:fill="1B6B5A" w:val="clear"/>
            <w:tcMar>
              <w:top w:type="dxa" w:w="90"/>
              <w:left w:type="dxa" w:w="130"/>
              <w:bottom w:type="dxa" w:w="90"/>
              <w:right w:type="dxa" w:w="130"/>
            </w:tcMar>
            <w:vAlign w:val="center"/>
          </w:tcPr>
          <w:p>
            <w:pPr>
              <w:jc w:val="center"/>
            </w:pPr>
            <w:r>
              <w:rPr>
                <w:rFonts w:ascii="Calibri" w:cs="Calibri" w:eastAsia="Calibri" w:hAnsi="Calibri"/>
                <w:b/>
                <w:bCs/>
                <w:color w:val="FFFFFF"/>
                <w:sz w:val="20"/>
                <w:szCs w:val="20"/>
              </w:rPr>
              <w:t xml:space="preserve">Avg. Cap. Use %</w:t>
            </w:r>
          </w:p>
        </w:tc>
        <w:tc>
          <w:tcPr>
            <w:tcW w:type="dxa" w:w="1600"/>
            <w:tcBorders>
              <w:top w:val="single" w:color="1B6B5A" w:sz="1"/>
              <w:left w:val="single" w:color="1B6B5A" w:sz="1"/>
              <w:bottom w:val="single" w:color="1B6B5A" w:sz="1"/>
              <w:right w:val="single" w:color="1B6B5A" w:sz="1"/>
            </w:tcBorders>
            <w:shd w:fill="1B6B5A" w:val="clear"/>
            <w:tcMar>
              <w:top w:type="dxa" w:w="90"/>
              <w:left w:type="dxa" w:w="130"/>
              <w:bottom w:type="dxa" w:w="90"/>
              <w:right w:type="dxa" w:w="130"/>
            </w:tcMar>
            <w:vAlign w:val="center"/>
          </w:tcPr>
          <w:p>
            <w:pPr>
              <w:jc w:val="center"/>
            </w:pPr>
            <w:r>
              <w:rPr>
                <w:rFonts w:ascii="Calibri" w:cs="Calibri" w:eastAsia="Calibri" w:hAnsi="Calibri"/>
                <w:b/>
                <w:bCs/>
                <w:color w:val="FFFFFF"/>
                <w:sz w:val="20"/>
                <w:szCs w:val="20"/>
              </w:rPr>
              <w:t xml:space="preserve">Outage Rate %</w:t>
            </w:r>
          </w:p>
        </w:tc>
        <w:tc>
          <w:tcPr>
            <w:tcW w:type="dxa" w:w="1600"/>
            <w:tcBorders>
              <w:top w:val="single" w:color="1B6B5A" w:sz="1"/>
              <w:left w:val="single" w:color="1B6B5A" w:sz="1"/>
              <w:bottom w:val="single" w:color="1B6B5A" w:sz="1"/>
              <w:right w:val="single" w:color="1B6B5A" w:sz="1"/>
            </w:tcBorders>
            <w:shd w:fill="1B6B5A" w:val="clear"/>
            <w:tcMar>
              <w:top w:type="dxa" w:w="90"/>
              <w:left w:type="dxa" w:w="130"/>
              <w:bottom w:type="dxa" w:w="90"/>
              <w:right w:type="dxa" w:w="130"/>
            </w:tcMar>
            <w:vAlign w:val="center"/>
          </w:tcPr>
          <w:p>
            <w:pPr>
              <w:jc w:val="center"/>
            </w:pPr>
            <w:r>
              <w:rPr>
                <w:rFonts w:ascii="Calibri" w:cs="Calibri" w:eastAsia="Calibri" w:hAnsi="Calibri"/>
                <w:b/>
                <w:bCs/>
                <w:color w:val="FFFFFF"/>
                <w:sz w:val="20"/>
                <w:szCs w:val="20"/>
              </w:rPr>
              <w:t xml:space="preserve">Avg. Coal (days)</w:t>
            </w:r>
          </w:p>
        </w:tc>
        <w:tc>
          <w:tcPr>
            <w:tcW w:type="dxa" w:w="1400"/>
            <w:tcBorders>
              <w:top w:val="single" w:color="1B6B5A" w:sz="1"/>
              <w:left w:val="single" w:color="1B6B5A" w:sz="1"/>
              <w:bottom w:val="single" w:color="1B6B5A" w:sz="1"/>
              <w:right w:val="single" w:color="1B6B5A" w:sz="1"/>
            </w:tcBorders>
            <w:shd w:fill="1B6B5A" w:val="clear"/>
            <w:tcMar>
              <w:top w:type="dxa" w:w="90"/>
              <w:left w:type="dxa" w:w="130"/>
              <w:bottom w:type="dxa" w:w="90"/>
              <w:right w:type="dxa" w:w="130"/>
            </w:tcMar>
            <w:vAlign w:val="center"/>
          </w:tcPr>
          <w:p>
            <w:pPr>
              <w:jc w:val="center"/>
            </w:pPr>
            <w:r>
              <w:rPr>
                <w:rFonts w:ascii="Calibri" w:cs="Calibri" w:eastAsia="Calibri" w:hAnsi="Calibri"/>
                <w:b/>
                <w:bCs/>
                <w:color w:val="FFFFFF"/>
                <w:sz w:val="20"/>
                <w:szCs w:val="20"/>
              </w:rPr>
              <w:t xml:space="preserve">Score</w:t>
            </w:r>
          </w:p>
        </w:tc>
      </w:tr>
      <w:tr>
        <w:tc>
          <w:tcPr>
            <w:tcW w:type="dxa" w:w="28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r>
              <w:rPr>
                <w:rFonts w:ascii="Calibri" w:cs="Calibri" w:eastAsia="Calibri" w:hAnsi="Calibri"/>
                <w:b/>
                <w:bCs/>
                <w:color w:val="1B6B5A"/>
                <w:sz w:val="19"/>
                <w:szCs w:val="19"/>
              </w:rPr>
              <w:t xml:space="preserve">NORTH KARANPURA TPP</w:t>
            </w:r>
          </w:p>
        </w:tc>
        <w:tc>
          <w:tcPr>
            <w:tcW w:type="dxa" w:w="16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bCs/>
                <w:color w:val="27AE60"/>
                <w:sz w:val="19"/>
                <w:szCs w:val="19"/>
              </w:rPr>
              <w:t xml:space="preserve">~95%</w:t>
            </w:r>
          </w:p>
        </w:tc>
        <w:tc>
          <w:tcPr>
            <w:tcW w:type="dxa" w:w="16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val="false"/>
                <w:bCs w:val="false"/>
                <w:color w:val="27AE60"/>
                <w:sz w:val="19"/>
                <w:szCs w:val="19"/>
              </w:rPr>
              <w:t xml:space="preserve">Very Low</w:t>
            </w:r>
          </w:p>
        </w:tc>
        <w:tc>
          <w:tcPr>
            <w:tcW w:type="dxa" w:w="16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~19</w:t>
            </w:r>
          </w:p>
        </w:tc>
        <w:tc>
          <w:tcPr>
            <w:tcW w:type="dxa" w:w="14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bCs/>
                <w:color w:val="27AE60"/>
                <w:sz w:val="19"/>
                <w:szCs w:val="19"/>
              </w:rPr>
              <w:t xml:space="preserve">4.0</w:t>
            </w:r>
          </w:p>
        </w:tc>
      </w:tr>
      <w:tr>
        <w:tc>
          <w:tcPr>
            <w:tcW w:type="dxa" w:w="28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r>
              <w:rPr>
                <w:rFonts w:ascii="Calibri" w:cs="Calibri" w:eastAsia="Calibri" w:hAnsi="Calibri"/>
                <w:b/>
                <w:bCs/>
                <w:color w:val="1B6B5A"/>
                <w:sz w:val="19"/>
                <w:szCs w:val="19"/>
              </w:rPr>
              <w:t xml:space="preserve">SINGRAULI STPS</w:t>
            </w:r>
          </w:p>
        </w:tc>
        <w:tc>
          <w:tcPr>
            <w:tcW w:type="dxa" w:w="16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bCs/>
                <w:color w:val="27AE60"/>
                <w:sz w:val="19"/>
                <w:szCs w:val="19"/>
              </w:rPr>
              <w:t xml:space="preserve">~94%</w:t>
            </w:r>
          </w:p>
        </w:tc>
        <w:tc>
          <w:tcPr>
            <w:tcW w:type="dxa" w:w="16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7AE60"/>
                <w:sz w:val="19"/>
                <w:szCs w:val="19"/>
              </w:rPr>
              <w:t xml:space="preserve">Low</w:t>
            </w:r>
          </w:p>
        </w:tc>
        <w:tc>
          <w:tcPr>
            <w:tcW w:type="dxa" w:w="16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~17</w:t>
            </w:r>
          </w:p>
        </w:tc>
        <w:tc>
          <w:tcPr>
            <w:tcW w:type="dxa" w:w="14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bCs/>
                <w:color w:val="27AE60"/>
                <w:sz w:val="19"/>
                <w:szCs w:val="19"/>
              </w:rPr>
              <w:t xml:space="preserve">6.8</w:t>
            </w:r>
          </w:p>
        </w:tc>
      </w:tr>
      <w:tr>
        <w:tc>
          <w:tcPr>
            <w:tcW w:type="dxa" w:w="28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r>
              <w:rPr>
                <w:rFonts w:ascii="Calibri" w:cs="Calibri" w:eastAsia="Calibri" w:hAnsi="Calibri"/>
                <w:b/>
                <w:bCs/>
                <w:color w:val="1B6B5A"/>
                <w:sz w:val="19"/>
                <w:szCs w:val="19"/>
              </w:rPr>
              <w:t xml:space="preserve">VINDHYACHAL STPS</w:t>
            </w:r>
          </w:p>
        </w:tc>
        <w:tc>
          <w:tcPr>
            <w:tcW w:type="dxa" w:w="16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bCs/>
                <w:color w:val="27AE60"/>
                <w:sz w:val="19"/>
                <w:szCs w:val="19"/>
              </w:rPr>
              <w:t xml:space="preserve">~93%</w:t>
            </w:r>
          </w:p>
        </w:tc>
        <w:tc>
          <w:tcPr>
            <w:tcW w:type="dxa" w:w="16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val="false"/>
                <w:bCs w:val="false"/>
                <w:color w:val="27AE60"/>
                <w:sz w:val="19"/>
                <w:szCs w:val="19"/>
              </w:rPr>
              <w:t xml:space="preserve">Low</w:t>
            </w:r>
          </w:p>
        </w:tc>
        <w:tc>
          <w:tcPr>
            <w:tcW w:type="dxa" w:w="16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~16</w:t>
            </w:r>
          </w:p>
        </w:tc>
        <w:tc>
          <w:tcPr>
            <w:tcW w:type="dxa" w:w="14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bCs/>
                <w:color w:val="27AE60"/>
                <w:sz w:val="19"/>
                <w:szCs w:val="19"/>
              </w:rPr>
              <w:t xml:space="preserve">7.3</w:t>
            </w:r>
          </w:p>
        </w:tc>
      </w:tr>
      <w:tr>
        <w:tc>
          <w:tcPr>
            <w:tcW w:type="dxa" w:w="28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r>
              <w:rPr>
                <w:rFonts w:ascii="Calibri" w:cs="Calibri" w:eastAsia="Calibri" w:hAnsi="Calibri"/>
                <w:b/>
                <w:bCs/>
                <w:color w:val="1B6B5A"/>
                <w:sz w:val="19"/>
                <w:szCs w:val="19"/>
              </w:rPr>
              <w:t xml:space="preserve">RIHAND STPS</w:t>
            </w:r>
          </w:p>
        </w:tc>
        <w:tc>
          <w:tcPr>
            <w:tcW w:type="dxa" w:w="16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bCs/>
                <w:color w:val="27AE60"/>
                <w:sz w:val="19"/>
                <w:szCs w:val="19"/>
              </w:rPr>
              <w:t xml:space="preserve">~92%</w:t>
            </w:r>
          </w:p>
        </w:tc>
        <w:tc>
          <w:tcPr>
            <w:tcW w:type="dxa" w:w="16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7AE60"/>
                <w:sz w:val="19"/>
                <w:szCs w:val="19"/>
              </w:rPr>
              <w:t xml:space="preserve">Low</w:t>
            </w:r>
          </w:p>
        </w:tc>
        <w:tc>
          <w:tcPr>
            <w:tcW w:type="dxa" w:w="16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~18</w:t>
            </w:r>
          </w:p>
        </w:tc>
        <w:tc>
          <w:tcPr>
            <w:tcW w:type="dxa" w:w="14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bCs/>
                <w:color w:val="27AE60"/>
                <w:sz w:val="19"/>
                <w:szCs w:val="19"/>
              </w:rPr>
              <w:t xml:space="preserve">7.5</w:t>
            </w:r>
          </w:p>
        </w:tc>
      </w:tr>
      <w:tr>
        <w:tc>
          <w:tcPr>
            <w:tcW w:type="dxa" w:w="28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r>
              <w:rPr>
                <w:rFonts w:ascii="Calibri" w:cs="Calibri" w:eastAsia="Calibri" w:hAnsi="Calibri"/>
                <w:b/>
                <w:bCs/>
                <w:color w:val="1B6B5A"/>
                <w:sz w:val="19"/>
                <w:szCs w:val="19"/>
              </w:rPr>
              <w:t xml:space="preserve">BONGAIGAON TPP</w:t>
            </w:r>
          </w:p>
        </w:tc>
        <w:tc>
          <w:tcPr>
            <w:tcW w:type="dxa" w:w="16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bCs/>
                <w:color w:val="27AE60"/>
                <w:sz w:val="19"/>
                <w:szCs w:val="19"/>
              </w:rPr>
              <w:t xml:space="preserve">~91%</w:t>
            </w:r>
          </w:p>
        </w:tc>
        <w:tc>
          <w:tcPr>
            <w:tcW w:type="dxa" w:w="16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val="false"/>
                <w:bCs w:val="false"/>
                <w:color w:val="27AE60"/>
                <w:sz w:val="19"/>
                <w:szCs w:val="19"/>
              </w:rPr>
              <w:t xml:space="preserve">Low</w:t>
            </w:r>
          </w:p>
        </w:tc>
        <w:tc>
          <w:tcPr>
            <w:tcW w:type="dxa" w:w="16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~23</w:t>
            </w:r>
          </w:p>
        </w:tc>
        <w:tc>
          <w:tcPr>
            <w:tcW w:type="dxa" w:w="14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bCs/>
                <w:color w:val="27AE60"/>
                <w:sz w:val="19"/>
                <w:szCs w:val="19"/>
              </w:rPr>
              <w:t xml:space="preserve">7.5</w:t>
            </w:r>
          </w:p>
        </w:tc>
      </w:tr>
    </w:tbl>
    <w:p>
      <w:pPr>
        <w:spacing w:before="120" w:after="0"/>
      </w:pPr>
      <w:r>
        <w:t xml:space="preserve"/>
      </w:r>
    </w:p>
    <w:p>
      <w:pPr>
        <w:spacing w:before="80" w:after="120"/>
      </w:pPr>
      <w:r>
        <w:rPr>
          <w:rFonts w:ascii="Calibri" w:cs="Calibri" w:eastAsia="Calibri" w:hAnsi="Calibri"/>
          <w:color w:val="2C2C2C"/>
          <w:sz w:val="22"/>
          <w:szCs w:val="22"/>
        </w:rPr>
        <w:t xml:space="preserve">These stations consistently achieve above 90% capacity use with very low outage rates. They are all coal-based plants located close to coal mines in states like Madhya Pradesh, Uttar Pradesh, Jharkhand, and Assam — which gives them a reliable fuel supply.</w:t>
      </w:r>
    </w:p>
    <w:p>
      <w:r>
        <w:br w:type="page"/>
      </w:r>
    </w:p>
    <w:p>
      <w:pPr>
        <w:pStyle w:val="Heading1"/>
        <w:pBdr>
          <w:bottom w:val="single" w:color="2E9E80" w:sz="6" w:space="6"/>
        </w:pBdr>
        <w:spacing w:before="360" w:after="140"/>
      </w:pPr>
      <w:r>
        <w:rPr>
          <w:rFonts w:ascii="Calibri" w:cs="Calibri" w:eastAsia="Calibri" w:hAnsi="Calibri"/>
          <w:b/>
          <w:bCs/>
          <w:color w:val="1B6B5A"/>
          <w:sz w:val="34"/>
          <w:szCs w:val="34"/>
        </w:rPr>
        <w:t xml:space="preserve">6. Outage Analysis — The Main Culprit</w:t>
      </w:r>
    </w:p>
    <w:p>
      <w:pPr>
        <w:pStyle w:val="Heading2"/>
        <w:spacing w:before="240" w:after="100"/>
      </w:pPr>
      <w:r>
        <w:rPr>
          <w:rFonts w:ascii="Calibri" w:cs="Calibri" w:eastAsia="Calibri" w:hAnsi="Calibri"/>
          <w:b/>
          <w:bCs/>
          <w:color w:val="2E9E80"/>
          <w:sz w:val="26"/>
          <w:szCs w:val="26"/>
        </w:rPr>
        <w:t xml:space="preserve">6.1 How Outages Hurt Capacity Utilization</w:t>
      </w:r>
    </w:p>
    <w:p>
      <w:pPr>
        <w:spacing w:before="80" w:after="120"/>
      </w:pPr>
      <w:r>
        <w:rPr>
          <w:rFonts w:ascii="Calibri" w:cs="Calibri" w:eastAsia="Calibri" w:hAnsi="Calibri"/>
          <w:color w:val="2C2C2C"/>
          <w:sz w:val="22"/>
          <w:szCs w:val="22"/>
        </w:rPr>
        <w:t xml:space="preserve">We ran a statistical test (Pearson Correlation) to see how strongly outages are linked to lower capacity utilization. The result was very strong: r = -0.853. This means when outages go up, capacity utilization goes down sharply.</w:t>
      </w:r>
    </w:p>
    <w:p>
      <w:pPr>
        <w:spacing w:before="80" w:after="120"/>
      </w:pPr>
      <w:r>
        <w:rPr>
          <w:rFonts w:ascii="Calibri" w:cs="Calibri" w:eastAsia="Calibri" w:hAnsi="Calibri"/>
          <w:color w:val="2C2C2C"/>
          <w:sz w:val="22"/>
          <w:szCs w:val="22"/>
        </w:rPr>
        <w:t xml:space="preserve">In simple terms: outages are the single biggest reason why stations underperform. Every 1% increase in outage frequency leads to roughly a 0.85% drop in capacity utilization. This is an extremely strong relationship and tells us that fixing outage problems should be the top priority.</w:t>
      </w:r>
    </w:p>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c>
          <w:tcPr>
            <w:tcW w:type="dxa" w:w="5000"/>
            <w:tcBorders>
              <w:top w:val="single" w:color="1B6B5A" w:sz="1"/>
              <w:left w:val="single" w:color="1B6B5A" w:sz="1"/>
              <w:bottom w:val="single" w:color="1B6B5A" w:sz="1"/>
              <w:right w:val="single" w:color="1B6B5A" w:sz="1"/>
            </w:tcBorders>
            <w:shd w:fill="1B6B5A" w:val="clear"/>
            <w:tcMar>
              <w:top w:type="dxa" w:w="90"/>
              <w:left w:type="dxa" w:w="130"/>
              <w:bottom w:type="dxa" w:w="90"/>
              <w:right w:type="dxa" w:w="130"/>
            </w:tcMar>
            <w:vAlign w:val="center"/>
          </w:tcPr>
          <w:p>
            <w:pPr>
              <w:jc w:val="center"/>
            </w:pPr>
            <w:r>
              <w:rPr>
                <w:rFonts w:ascii="Calibri" w:cs="Calibri" w:eastAsia="Calibri" w:hAnsi="Calibri"/>
                <w:b/>
                <w:bCs/>
                <w:color w:val="FFFFFF"/>
                <w:sz w:val="20"/>
                <w:szCs w:val="20"/>
              </w:rPr>
              <w:t xml:space="preserve">Relationship</w:t>
            </w:r>
          </w:p>
        </w:tc>
        <w:tc>
          <w:tcPr>
            <w:tcW w:type="dxa" w:w="4000"/>
            <w:tcBorders>
              <w:top w:val="single" w:color="1B6B5A" w:sz="1"/>
              <w:left w:val="single" w:color="1B6B5A" w:sz="1"/>
              <w:bottom w:val="single" w:color="1B6B5A" w:sz="1"/>
              <w:right w:val="single" w:color="1B6B5A" w:sz="1"/>
            </w:tcBorders>
            <w:shd w:fill="1B6B5A" w:val="clear"/>
            <w:tcMar>
              <w:top w:type="dxa" w:w="90"/>
              <w:left w:type="dxa" w:w="130"/>
              <w:bottom w:type="dxa" w:w="90"/>
              <w:right w:type="dxa" w:w="130"/>
            </w:tcMar>
            <w:vAlign w:val="center"/>
          </w:tcPr>
          <w:p>
            <w:pPr>
              <w:jc w:val="center"/>
            </w:pPr>
            <w:r>
              <w:rPr>
                <w:rFonts w:ascii="Calibri" w:cs="Calibri" w:eastAsia="Calibri" w:hAnsi="Calibri"/>
                <w:b/>
                <w:bCs/>
                <w:color w:val="FFFFFF"/>
                <w:sz w:val="20"/>
                <w:szCs w:val="20"/>
              </w:rPr>
              <w:t xml:space="preserve">Correlation Value</w:t>
            </w:r>
          </w:p>
        </w:tc>
      </w:tr>
      <w:tr>
        <w:tc>
          <w:tcPr>
            <w:tcW w:type="dxa" w:w="50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r>
              <w:rPr>
                <w:rFonts w:ascii="Calibri" w:cs="Calibri" w:eastAsia="Calibri" w:hAnsi="Calibri"/>
                <w:b w:val="false"/>
                <w:bCs w:val="false"/>
                <w:color w:val="1B6B5A"/>
                <w:sz w:val="19"/>
                <w:szCs w:val="19"/>
              </w:rPr>
              <w:t xml:space="preserve">Outage rate vs. Capacity Utilization</w:t>
            </w:r>
          </w:p>
        </w:tc>
        <w:tc>
          <w:tcPr>
            <w:tcW w:type="dxa" w:w="40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bCs/>
                <w:color w:val="C0392B"/>
                <w:sz w:val="19"/>
                <w:szCs w:val="19"/>
              </w:rPr>
              <w:t xml:space="preserve">r = -0.853  (Very Strong)</w:t>
            </w:r>
          </w:p>
        </w:tc>
      </w:tr>
      <w:tr>
        <w:tc>
          <w:tcPr>
            <w:tcW w:type="dxa" w:w="50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r>
              <w:rPr>
                <w:rFonts w:ascii="Calibri" w:cs="Calibri" w:eastAsia="Calibri" w:hAnsi="Calibri"/>
                <w:b w:val="false"/>
                <w:bCs w:val="false"/>
                <w:color w:val="1B6B5A"/>
                <w:sz w:val="19"/>
                <w:szCs w:val="19"/>
              </w:rPr>
              <w:t xml:space="preserve">Coal Stock vs. Capacity Utilization</w:t>
            </w:r>
          </w:p>
        </w:tc>
        <w:tc>
          <w:tcPr>
            <w:tcW w:type="dxa" w:w="40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bCs/>
                <w:color w:val="D4880E"/>
                <w:sz w:val="19"/>
                <w:szCs w:val="19"/>
              </w:rPr>
              <w:t xml:space="preserve">r = -0.066  (Weak but significant)</w:t>
            </w:r>
          </w:p>
        </w:tc>
      </w:tr>
    </w:tbl>
    <w:p>
      <w:pPr>
        <w:spacing w:before="160" w:after="0"/>
      </w:pPr>
      <w:r>
        <w:t xml:space="preserve"/>
      </w:r>
    </w:p>
    <w:p>
      <w:pPr>
        <w:pStyle w:val="Heading2"/>
        <w:spacing w:before="240" w:after="100"/>
      </w:pPr>
      <w:r>
        <w:rPr>
          <w:rFonts w:ascii="Calibri" w:cs="Calibri" w:eastAsia="Calibri" w:hAnsi="Calibri"/>
          <w:b/>
          <w:bCs/>
          <w:color w:val="2E9E80"/>
          <w:sz w:val="26"/>
          <w:szCs w:val="26"/>
        </w:rPr>
        <w:t xml:space="preserve">6.2 Which Stations Miss Their Generation Targets the Most?</w:t>
      </w:r>
    </w:p>
    <w:p>
      <w:pPr>
        <w:spacing w:before="80" w:after="120"/>
      </w:pPr>
      <w:r>
        <w:rPr>
          <w:rFonts w:ascii="Calibri" w:cs="Calibri" w:eastAsia="Calibri" w:hAnsi="Calibri"/>
          <w:color w:val="2C2C2C"/>
          <w:sz w:val="22"/>
          <w:szCs w:val="22"/>
        </w:rPr>
        <w:t xml:space="preserve">We also looked at the "Generation Gap" — how much less power a station generates compared to what it was supposed to generate. A large negative gap means the station is regularly underdelivering. Here are the stations with the biggest gaps:</w:t>
      </w:r>
    </w:p>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200"/>
      </w:tblGrid>
      <w:tr>
        <w:tc>
          <w:tcPr>
            <w:tcW w:type="dxa" w:w="2800"/>
            <w:tcBorders>
              <w:top w:val="single" w:color="1B6B5A" w:sz="1"/>
              <w:left w:val="single" w:color="1B6B5A" w:sz="1"/>
              <w:bottom w:val="single" w:color="1B6B5A" w:sz="1"/>
              <w:right w:val="single" w:color="1B6B5A" w:sz="1"/>
            </w:tcBorders>
            <w:shd w:fill="1B6B5A" w:val="clear"/>
            <w:tcMar>
              <w:top w:type="dxa" w:w="90"/>
              <w:left w:type="dxa" w:w="130"/>
              <w:bottom w:type="dxa" w:w="90"/>
              <w:right w:type="dxa" w:w="130"/>
            </w:tcMar>
            <w:vAlign w:val="center"/>
          </w:tcPr>
          <w:p>
            <w:pPr>
              <w:jc w:val="center"/>
            </w:pPr>
            <w:r>
              <w:rPr>
                <w:rFonts w:ascii="Calibri" w:cs="Calibri" w:eastAsia="Calibri" w:hAnsi="Calibri"/>
                <w:b/>
                <w:bCs/>
                <w:color w:val="FFFFFF"/>
                <w:sz w:val="20"/>
                <w:szCs w:val="20"/>
              </w:rPr>
              <w:t xml:space="preserve">Station</w:t>
            </w:r>
          </w:p>
        </w:tc>
        <w:tc>
          <w:tcPr>
            <w:tcW w:type="dxa" w:w="2000"/>
            <w:tcBorders>
              <w:top w:val="single" w:color="1B6B5A" w:sz="1"/>
              <w:left w:val="single" w:color="1B6B5A" w:sz="1"/>
              <w:bottom w:val="single" w:color="1B6B5A" w:sz="1"/>
              <w:right w:val="single" w:color="1B6B5A" w:sz="1"/>
            </w:tcBorders>
            <w:shd w:fill="1B6B5A" w:val="clear"/>
            <w:tcMar>
              <w:top w:type="dxa" w:w="90"/>
              <w:left w:type="dxa" w:w="130"/>
              <w:bottom w:type="dxa" w:w="90"/>
              <w:right w:type="dxa" w:w="130"/>
            </w:tcMar>
            <w:vAlign w:val="center"/>
          </w:tcPr>
          <w:p>
            <w:pPr>
              <w:jc w:val="center"/>
            </w:pPr>
            <w:r>
              <w:rPr>
                <w:rFonts w:ascii="Calibri" w:cs="Calibri" w:eastAsia="Calibri" w:hAnsi="Calibri"/>
                <w:b/>
                <w:bCs/>
                <w:color w:val="FFFFFF"/>
                <w:sz w:val="20"/>
                <w:szCs w:val="20"/>
              </w:rPr>
              <w:t xml:space="preserve">Actual Generation</w:t>
            </w:r>
          </w:p>
        </w:tc>
        <w:tc>
          <w:tcPr>
            <w:tcW w:type="dxa" w:w="2000"/>
            <w:tcBorders>
              <w:top w:val="single" w:color="1B6B5A" w:sz="1"/>
              <w:left w:val="single" w:color="1B6B5A" w:sz="1"/>
              <w:bottom w:val="single" w:color="1B6B5A" w:sz="1"/>
              <w:right w:val="single" w:color="1B6B5A" w:sz="1"/>
            </w:tcBorders>
            <w:shd w:fill="1B6B5A" w:val="clear"/>
            <w:tcMar>
              <w:top w:type="dxa" w:w="90"/>
              <w:left w:type="dxa" w:w="130"/>
              <w:bottom w:type="dxa" w:w="90"/>
              <w:right w:type="dxa" w:w="130"/>
            </w:tcMar>
            <w:vAlign w:val="center"/>
          </w:tcPr>
          <w:p>
            <w:pPr>
              <w:jc w:val="center"/>
            </w:pPr>
            <w:r>
              <w:rPr>
                <w:rFonts w:ascii="Calibri" w:cs="Calibri" w:eastAsia="Calibri" w:hAnsi="Calibri"/>
                <w:b/>
                <w:bCs/>
                <w:color w:val="FFFFFF"/>
                <w:sz w:val="20"/>
                <w:szCs w:val="20"/>
              </w:rPr>
              <w:t xml:space="preserve">Planned Generation</w:t>
            </w:r>
          </w:p>
        </w:tc>
        <w:tc>
          <w:tcPr>
            <w:tcW w:type="dxa" w:w="2200"/>
            <w:tcBorders>
              <w:top w:val="single" w:color="1B6B5A" w:sz="1"/>
              <w:left w:val="single" w:color="1B6B5A" w:sz="1"/>
              <w:bottom w:val="single" w:color="1B6B5A" w:sz="1"/>
              <w:right w:val="single" w:color="1B6B5A" w:sz="1"/>
            </w:tcBorders>
            <w:shd w:fill="1B6B5A" w:val="clear"/>
            <w:tcMar>
              <w:top w:type="dxa" w:w="90"/>
              <w:left w:type="dxa" w:w="130"/>
              <w:bottom w:type="dxa" w:w="90"/>
              <w:right w:type="dxa" w:w="130"/>
            </w:tcMar>
            <w:vAlign w:val="center"/>
          </w:tcPr>
          <w:p>
            <w:pPr>
              <w:jc w:val="center"/>
            </w:pPr>
            <w:r>
              <w:rPr>
                <w:rFonts w:ascii="Calibri" w:cs="Calibri" w:eastAsia="Calibri" w:hAnsi="Calibri"/>
                <w:b/>
                <w:bCs/>
                <w:color w:val="FFFFFF"/>
                <w:sz w:val="20"/>
                <w:szCs w:val="20"/>
              </w:rPr>
              <w:t xml:space="preserve">Average Gap (MU)</w:t>
            </w:r>
          </w:p>
        </w:tc>
      </w:tr>
      <w:tr>
        <w:tc>
          <w:tcPr>
            <w:tcW w:type="dxa" w:w="28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r>
              <w:rPr>
                <w:rFonts w:ascii="Calibri" w:cs="Calibri" w:eastAsia="Calibri" w:hAnsi="Calibri"/>
                <w:b/>
                <w:bCs/>
                <w:color w:val="C0392B"/>
                <w:sz w:val="19"/>
                <w:szCs w:val="19"/>
              </w:rPr>
              <w:t xml:space="preserve">SIPAT STPS</w:t>
            </w:r>
          </w:p>
        </w:tc>
        <w:tc>
          <w:tcPr>
            <w:tcW w:type="dxa" w:w="20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12.3 MU</w:t>
            </w:r>
          </w:p>
        </w:tc>
        <w:tc>
          <w:tcPr>
            <w:tcW w:type="dxa" w:w="20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2,347.7 MU</w:t>
            </w:r>
          </w:p>
        </w:tc>
        <w:tc>
          <w:tcPr>
            <w:tcW w:type="dxa" w:w="22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bCs/>
                <w:color w:val="C0392B"/>
                <w:sz w:val="19"/>
                <w:szCs w:val="19"/>
              </w:rPr>
              <w:t xml:space="preserve">-2,335 MU</w:t>
            </w:r>
          </w:p>
        </w:tc>
      </w:tr>
      <w:tr>
        <w:tc>
          <w:tcPr>
            <w:tcW w:type="dxa" w:w="28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r>
              <w:rPr>
                <w:rFonts w:ascii="Calibri" w:cs="Calibri" w:eastAsia="Calibri" w:hAnsi="Calibri"/>
                <w:b/>
                <w:bCs/>
                <w:color w:val="C0392B"/>
                <w:sz w:val="19"/>
                <w:szCs w:val="19"/>
              </w:rPr>
              <w:t xml:space="preserve">BARH II</w:t>
            </w:r>
          </w:p>
        </w:tc>
        <w:tc>
          <w:tcPr>
            <w:tcW w:type="dxa" w:w="20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11.4 MU</w:t>
            </w:r>
          </w:p>
        </w:tc>
        <w:tc>
          <w:tcPr>
            <w:tcW w:type="dxa" w:w="20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2,324.8 MU</w:t>
            </w:r>
          </w:p>
        </w:tc>
        <w:tc>
          <w:tcPr>
            <w:tcW w:type="dxa" w:w="22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bCs/>
                <w:color w:val="C0392B"/>
                <w:sz w:val="19"/>
                <w:szCs w:val="19"/>
              </w:rPr>
              <w:t xml:space="preserve">-2,313 MU</w:t>
            </w:r>
          </w:p>
        </w:tc>
      </w:tr>
      <w:tr>
        <w:tc>
          <w:tcPr>
            <w:tcW w:type="dxa" w:w="28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r>
              <w:rPr>
                <w:rFonts w:ascii="Calibri" w:cs="Calibri" w:eastAsia="Calibri" w:hAnsi="Calibri"/>
                <w:b/>
                <w:bCs/>
                <w:color w:val="C0392B"/>
                <w:sz w:val="19"/>
                <w:szCs w:val="19"/>
              </w:rPr>
              <w:t xml:space="preserve">DARLIPALI STPS</w:t>
            </w:r>
          </w:p>
        </w:tc>
        <w:tc>
          <w:tcPr>
            <w:tcW w:type="dxa" w:w="20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12.1 MU</w:t>
            </w:r>
          </w:p>
        </w:tc>
        <w:tc>
          <w:tcPr>
            <w:tcW w:type="dxa" w:w="20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2,210.9 MU</w:t>
            </w:r>
          </w:p>
        </w:tc>
        <w:tc>
          <w:tcPr>
            <w:tcW w:type="dxa" w:w="22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bCs/>
                <w:color w:val="C0392B"/>
                <w:sz w:val="19"/>
                <w:szCs w:val="19"/>
              </w:rPr>
              <w:t xml:space="preserve">-2,199 MU</w:t>
            </w:r>
          </w:p>
        </w:tc>
      </w:tr>
      <w:tr>
        <w:tc>
          <w:tcPr>
            <w:tcW w:type="dxa" w:w="28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r>
              <w:rPr>
                <w:rFonts w:ascii="Calibri" w:cs="Calibri" w:eastAsia="Calibri" w:hAnsi="Calibri"/>
                <w:b/>
                <w:bCs/>
                <w:color w:val="D4880E"/>
                <w:sz w:val="19"/>
                <w:szCs w:val="19"/>
              </w:rPr>
              <w:t xml:space="preserve">TALCHER STPS</w:t>
            </w:r>
          </w:p>
        </w:tc>
        <w:tc>
          <w:tcPr>
            <w:tcW w:type="dxa" w:w="20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9.9 MU</w:t>
            </w:r>
          </w:p>
        </w:tc>
        <w:tc>
          <w:tcPr>
            <w:tcW w:type="dxa" w:w="20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1,910.9 MU</w:t>
            </w:r>
          </w:p>
        </w:tc>
        <w:tc>
          <w:tcPr>
            <w:tcW w:type="dxa" w:w="22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bCs/>
                <w:color w:val="D4880E"/>
                <w:sz w:val="19"/>
                <w:szCs w:val="19"/>
              </w:rPr>
              <w:t xml:space="preserve">-1,901 MU</w:t>
            </w:r>
          </w:p>
        </w:tc>
      </w:tr>
      <w:tr>
        <w:tc>
          <w:tcPr>
            <w:tcW w:type="dxa" w:w="28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r>
              <w:rPr>
                <w:rFonts w:ascii="Calibri" w:cs="Calibri" w:eastAsia="Calibri" w:hAnsi="Calibri"/>
                <w:b/>
                <w:bCs/>
                <w:color w:val="D4880E"/>
                <w:sz w:val="19"/>
                <w:szCs w:val="19"/>
              </w:rPr>
              <w:t xml:space="preserve">BARH STPS</w:t>
            </w:r>
          </w:p>
        </w:tc>
        <w:tc>
          <w:tcPr>
            <w:tcW w:type="dxa" w:w="20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8.9 MU</w:t>
            </w:r>
          </w:p>
        </w:tc>
        <w:tc>
          <w:tcPr>
            <w:tcW w:type="dxa" w:w="20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1,895.6 MU</w:t>
            </w:r>
          </w:p>
        </w:tc>
        <w:tc>
          <w:tcPr>
            <w:tcW w:type="dxa" w:w="22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bCs/>
                <w:color w:val="D4880E"/>
                <w:sz w:val="19"/>
                <w:szCs w:val="19"/>
              </w:rPr>
              <w:t xml:space="preserve">-1,887 MU</w:t>
            </w:r>
          </w:p>
        </w:tc>
      </w:tr>
    </w:tbl>
    <w:p>
      <w:pPr>
        <w:spacing w:before="100" w:after="0"/>
      </w:pPr>
      <w:r>
        <w:t xml:space="preserve"/>
      </w:r>
    </w:p>
    <w:p>
      <w:pPr>
        <w:spacing w:before="80" w:after="120"/>
      </w:pPr>
      <w:r>
        <w:rPr>
          <w:rFonts w:ascii="Calibri" w:cs="Calibri" w:eastAsia="Calibri" w:hAnsi="Calibri"/>
          <w:color w:val="2C2C2C"/>
          <w:sz w:val="22"/>
          <w:szCs w:val="22"/>
        </w:rPr>
        <w:t xml:space="preserve">Note: The very large gaps in the table above are partly because the 'Planned Generation' column for some records appears to have captured cumulative (monthly) figures instead of daily ones. This is a data quality issue. However, the trend is still clear — stations with frequent outages consistently miss their daily generation targets.</w:t>
      </w:r>
    </w:p>
    <w:p>
      <w:pPr>
        <w:pStyle w:val="Heading2"/>
        <w:spacing w:before="240" w:after="100"/>
      </w:pPr>
      <w:r>
        <w:rPr>
          <w:rFonts w:ascii="Calibri" w:cs="Calibri" w:eastAsia="Calibri" w:hAnsi="Calibri"/>
          <w:b/>
          <w:bCs/>
          <w:color w:val="2E9E80"/>
          <w:sz w:val="26"/>
          <w:szCs w:val="26"/>
        </w:rPr>
        <w:t xml:space="preserve">6.3 Coal Stock and the Risk of Shutdown</w:t>
      </w:r>
    </w:p>
    <w:p>
      <w:pPr>
        <w:spacing w:before="80" w:after="120"/>
      </w:pPr>
      <w:r>
        <w:rPr>
          <w:rFonts w:ascii="Calibri" w:cs="Calibri" w:eastAsia="Calibri" w:hAnsi="Calibri"/>
          <w:color w:val="2C2C2C"/>
          <w:sz w:val="22"/>
          <w:szCs w:val="22"/>
        </w:rPr>
        <w:t xml:space="preserve">India's Central Electricity Authority (CEA) has set clear guidelines on minimum coal stock levels. Here's how we classify coal stock based on those guidelines:</w:t>
      </w:r>
    </w:p>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800"/>
        <w:gridCol w:w="1800"/>
        <w:gridCol w:w="1400"/>
      </w:tblGrid>
      <w:tr>
        <w:tc>
          <w:tcPr>
            <w:tcW w:type="dxa" w:w="2400"/>
            <w:tcBorders>
              <w:top w:val="single" w:color="1B6B5A" w:sz="1"/>
              <w:left w:val="single" w:color="1B6B5A" w:sz="1"/>
              <w:bottom w:val="single" w:color="1B6B5A" w:sz="1"/>
              <w:right w:val="single" w:color="1B6B5A" w:sz="1"/>
            </w:tcBorders>
            <w:shd w:fill="1B6B5A" w:val="clear"/>
            <w:tcMar>
              <w:top w:type="dxa" w:w="90"/>
              <w:left w:type="dxa" w:w="130"/>
              <w:bottom w:type="dxa" w:w="90"/>
              <w:right w:type="dxa" w:w="130"/>
            </w:tcMar>
            <w:vAlign w:val="center"/>
          </w:tcPr>
          <w:p>
            <w:pPr>
              <w:jc w:val="center"/>
            </w:pPr>
            <w:r>
              <w:rPr>
                <w:rFonts w:ascii="Calibri" w:cs="Calibri" w:eastAsia="Calibri" w:hAnsi="Calibri"/>
                <w:b/>
                <w:bCs/>
                <w:color w:val="FFFFFF"/>
                <w:sz w:val="20"/>
                <w:szCs w:val="20"/>
              </w:rPr>
              <w:t xml:space="preserve">Coal Stock Level</w:t>
            </w:r>
          </w:p>
        </w:tc>
        <w:tc>
          <w:tcPr>
            <w:tcW w:type="dxa" w:w="1600"/>
            <w:tcBorders>
              <w:top w:val="single" w:color="1B6B5A" w:sz="1"/>
              <w:left w:val="single" w:color="1B6B5A" w:sz="1"/>
              <w:bottom w:val="single" w:color="1B6B5A" w:sz="1"/>
              <w:right w:val="single" w:color="1B6B5A" w:sz="1"/>
            </w:tcBorders>
            <w:shd w:fill="1B6B5A" w:val="clear"/>
            <w:tcMar>
              <w:top w:type="dxa" w:w="90"/>
              <w:left w:type="dxa" w:w="130"/>
              <w:bottom w:type="dxa" w:w="90"/>
              <w:right w:type="dxa" w:w="130"/>
            </w:tcMar>
            <w:vAlign w:val="center"/>
          </w:tcPr>
          <w:p>
            <w:pPr>
              <w:jc w:val="center"/>
            </w:pPr>
            <w:r>
              <w:rPr>
                <w:rFonts w:ascii="Calibri" w:cs="Calibri" w:eastAsia="Calibri" w:hAnsi="Calibri"/>
                <w:b/>
                <w:bCs/>
                <w:color w:val="FFFFFF"/>
                <w:sz w:val="20"/>
                <w:szCs w:val="20"/>
              </w:rPr>
              <w:t xml:space="preserve">Days of Stock</w:t>
            </w:r>
          </w:p>
        </w:tc>
        <w:tc>
          <w:tcPr>
            <w:tcW w:type="dxa" w:w="1800"/>
            <w:tcBorders>
              <w:top w:val="single" w:color="1B6B5A" w:sz="1"/>
              <w:left w:val="single" w:color="1B6B5A" w:sz="1"/>
              <w:bottom w:val="single" w:color="1B6B5A" w:sz="1"/>
              <w:right w:val="single" w:color="1B6B5A" w:sz="1"/>
            </w:tcBorders>
            <w:shd w:fill="1B6B5A" w:val="clear"/>
            <w:tcMar>
              <w:top w:type="dxa" w:w="90"/>
              <w:left w:type="dxa" w:w="130"/>
              <w:bottom w:type="dxa" w:w="90"/>
              <w:right w:type="dxa" w:w="130"/>
            </w:tcMar>
            <w:vAlign w:val="center"/>
          </w:tcPr>
          <w:p>
            <w:pPr>
              <w:jc w:val="center"/>
            </w:pPr>
            <w:r>
              <w:rPr>
                <w:rFonts w:ascii="Calibri" w:cs="Calibri" w:eastAsia="Calibri" w:hAnsi="Calibri"/>
                <w:b/>
                <w:bCs/>
                <w:color w:val="FFFFFF"/>
                <w:sz w:val="20"/>
                <w:szCs w:val="20"/>
              </w:rPr>
              <w:t xml:space="preserve">% of Records</w:t>
            </w:r>
          </w:p>
        </w:tc>
        <w:tc>
          <w:tcPr>
            <w:tcW w:type="dxa" w:w="1800"/>
            <w:tcBorders>
              <w:top w:val="single" w:color="1B6B5A" w:sz="1"/>
              <w:left w:val="single" w:color="1B6B5A" w:sz="1"/>
              <w:bottom w:val="single" w:color="1B6B5A" w:sz="1"/>
              <w:right w:val="single" w:color="1B6B5A" w:sz="1"/>
            </w:tcBorders>
            <w:shd w:fill="1B6B5A" w:val="clear"/>
            <w:tcMar>
              <w:top w:type="dxa" w:w="90"/>
              <w:left w:type="dxa" w:w="130"/>
              <w:bottom w:type="dxa" w:w="90"/>
              <w:right w:type="dxa" w:w="130"/>
            </w:tcMar>
            <w:vAlign w:val="center"/>
          </w:tcPr>
          <w:p>
            <w:pPr>
              <w:jc w:val="center"/>
            </w:pPr>
            <w:r>
              <w:rPr>
                <w:rFonts w:ascii="Calibri" w:cs="Calibri" w:eastAsia="Calibri" w:hAnsi="Calibri"/>
                <w:b/>
                <w:bCs/>
                <w:color w:val="FFFFFF"/>
                <w:sz w:val="20"/>
                <w:szCs w:val="20"/>
              </w:rPr>
              <w:t xml:space="preserve">Avg. Cap. Use</w:t>
            </w:r>
          </w:p>
        </w:tc>
        <w:tc>
          <w:tcPr>
            <w:tcW w:type="dxa" w:w="1400"/>
            <w:tcBorders>
              <w:top w:val="single" w:color="1B6B5A" w:sz="1"/>
              <w:left w:val="single" w:color="1B6B5A" w:sz="1"/>
              <w:bottom w:val="single" w:color="1B6B5A" w:sz="1"/>
              <w:right w:val="single" w:color="1B6B5A" w:sz="1"/>
            </w:tcBorders>
            <w:shd w:fill="1B6B5A" w:val="clear"/>
            <w:tcMar>
              <w:top w:type="dxa" w:w="90"/>
              <w:left w:type="dxa" w:w="130"/>
              <w:bottom w:type="dxa" w:w="90"/>
              <w:right w:type="dxa" w:w="130"/>
            </w:tcMar>
            <w:vAlign w:val="center"/>
          </w:tcPr>
          <w:p>
            <w:pPr>
              <w:jc w:val="center"/>
            </w:pPr>
            <w:r>
              <w:rPr>
                <w:rFonts w:ascii="Calibri" w:cs="Calibri" w:eastAsia="Calibri" w:hAnsi="Calibri"/>
                <w:b/>
                <w:bCs/>
                <w:color w:val="FFFFFF"/>
                <w:sz w:val="20"/>
                <w:szCs w:val="20"/>
              </w:rPr>
              <w:t xml:space="preserve">Risk Level</w:t>
            </w:r>
          </w:p>
        </w:tc>
      </w:tr>
      <w:tr>
        <w:tc>
          <w:tcPr>
            <w:tcW w:type="dxa" w:w="24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r>
              <w:rPr>
                <w:rFonts w:ascii="Calibri" w:cs="Calibri" w:eastAsia="Calibri" w:hAnsi="Calibri"/>
                <w:b/>
                <w:bCs/>
                <w:color w:val="C0392B"/>
                <w:sz w:val="19"/>
                <w:szCs w:val="19"/>
              </w:rPr>
              <w:t xml:space="preserve">Super Critical (Emergency)</w:t>
            </w:r>
          </w:p>
        </w:tc>
        <w:tc>
          <w:tcPr>
            <w:tcW w:type="dxa" w:w="16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Less than 7 days</w:t>
            </w:r>
          </w:p>
        </w:tc>
        <w:tc>
          <w:tcPr>
            <w:tcW w:type="dxa" w:w="18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bCs/>
                <w:color w:val="C0392B"/>
                <w:sz w:val="19"/>
                <w:szCs w:val="19"/>
              </w:rPr>
              <w:t xml:space="preserve">9.8%</w:t>
            </w:r>
          </w:p>
        </w:tc>
        <w:tc>
          <w:tcPr>
            <w:tcW w:type="dxa" w:w="18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~78%</w:t>
            </w:r>
          </w:p>
        </w:tc>
        <w:tc>
          <w:tcPr>
            <w:tcW w:type="dxa" w:w="14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bCs/>
                <w:color w:val="C0392B"/>
                <w:sz w:val="19"/>
                <w:szCs w:val="19"/>
              </w:rPr>
              <w:t xml:space="preserve">CRITICAL</w:t>
            </w:r>
          </w:p>
        </w:tc>
      </w:tr>
      <w:tr>
        <w:tc>
          <w:tcPr>
            <w:tcW w:type="dxa" w:w="24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r>
              <w:rPr>
                <w:rFonts w:ascii="Calibri" w:cs="Calibri" w:eastAsia="Calibri" w:hAnsi="Calibri"/>
                <w:b/>
                <w:bCs/>
                <w:color w:val="D4880E"/>
                <w:sz w:val="19"/>
                <w:szCs w:val="19"/>
              </w:rPr>
              <w:t xml:space="preserve">Critical</w:t>
            </w:r>
          </w:p>
        </w:tc>
        <w:tc>
          <w:tcPr>
            <w:tcW w:type="dxa" w:w="16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7 to 14 days</w:t>
            </w:r>
          </w:p>
        </w:tc>
        <w:tc>
          <w:tcPr>
            <w:tcW w:type="dxa" w:w="18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bCs/>
                <w:color w:val="D4880E"/>
                <w:sz w:val="19"/>
                <w:szCs w:val="19"/>
              </w:rPr>
              <w:t xml:space="preserve">~26%</w:t>
            </w:r>
          </w:p>
        </w:tc>
        <w:tc>
          <w:tcPr>
            <w:tcW w:type="dxa" w:w="18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~80%</w:t>
            </w:r>
          </w:p>
        </w:tc>
        <w:tc>
          <w:tcPr>
            <w:tcW w:type="dxa" w:w="14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bCs/>
                <w:color w:val="D4880E"/>
                <w:sz w:val="19"/>
                <w:szCs w:val="19"/>
              </w:rPr>
              <w:t xml:space="preserve">HIGH</w:t>
            </w:r>
          </w:p>
        </w:tc>
      </w:tr>
      <w:tr>
        <w:tc>
          <w:tcPr>
            <w:tcW w:type="dxa" w:w="24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r>
              <w:rPr>
                <w:rFonts w:ascii="Calibri" w:cs="Calibri" w:eastAsia="Calibri" w:hAnsi="Calibri"/>
                <w:b/>
                <w:bCs/>
                <w:color w:val="2E9E80"/>
                <w:sz w:val="19"/>
                <w:szCs w:val="19"/>
              </w:rPr>
              <w:t xml:space="preserve">Normal</w:t>
            </w:r>
          </w:p>
        </w:tc>
        <w:tc>
          <w:tcPr>
            <w:tcW w:type="dxa" w:w="16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14 to 21 days</w:t>
            </w:r>
          </w:p>
        </w:tc>
        <w:tc>
          <w:tcPr>
            <w:tcW w:type="dxa" w:w="18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~33%</w:t>
            </w:r>
          </w:p>
        </w:tc>
        <w:tc>
          <w:tcPr>
            <w:tcW w:type="dxa" w:w="18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~83%</w:t>
            </w:r>
          </w:p>
        </w:tc>
        <w:tc>
          <w:tcPr>
            <w:tcW w:type="dxa" w:w="14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bCs/>
                <w:color w:val="2E9E80"/>
                <w:sz w:val="19"/>
                <w:szCs w:val="19"/>
              </w:rPr>
              <w:t xml:space="preserve">MODERATE</w:t>
            </w:r>
          </w:p>
        </w:tc>
      </w:tr>
      <w:tr>
        <w:tc>
          <w:tcPr>
            <w:tcW w:type="dxa" w:w="24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r>
              <w:rPr>
                <w:rFonts w:ascii="Calibri" w:cs="Calibri" w:eastAsia="Calibri" w:hAnsi="Calibri"/>
                <w:b/>
                <w:bCs/>
                <w:color w:val="27AE60"/>
                <w:sz w:val="19"/>
                <w:szCs w:val="19"/>
              </w:rPr>
              <w:t xml:space="preserve">Comfortable</w:t>
            </w:r>
          </w:p>
        </w:tc>
        <w:tc>
          <w:tcPr>
            <w:tcW w:type="dxa" w:w="16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More than 21 days</w:t>
            </w:r>
          </w:p>
        </w:tc>
        <w:tc>
          <w:tcPr>
            <w:tcW w:type="dxa" w:w="18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bCs/>
                <w:color w:val="27AE60"/>
                <w:sz w:val="19"/>
                <w:szCs w:val="19"/>
              </w:rPr>
              <w:t xml:space="preserve">~27%</w:t>
            </w:r>
          </w:p>
        </w:tc>
        <w:tc>
          <w:tcPr>
            <w:tcW w:type="dxa" w:w="18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~85%</w:t>
            </w:r>
          </w:p>
        </w:tc>
        <w:tc>
          <w:tcPr>
            <w:tcW w:type="dxa" w:w="14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bCs/>
                <w:color w:val="27AE60"/>
                <w:sz w:val="19"/>
                <w:szCs w:val="19"/>
              </w:rPr>
              <w:t xml:space="preserve">LOW</w:t>
            </w:r>
          </w:p>
        </w:tc>
      </w:tr>
    </w:tbl>
    <w:p>
      <w:r>
        <w:br w:type="page"/>
      </w:r>
    </w:p>
    <w:p>
      <w:pPr>
        <w:pStyle w:val="Heading1"/>
        <w:pBdr>
          <w:bottom w:val="single" w:color="2E9E80" w:sz="6" w:space="6"/>
        </w:pBdr>
        <w:spacing w:before="360" w:after="140"/>
      </w:pPr>
      <w:r>
        <w:rPr>
          <w:rFonts w:ascii="Calibri" w:cs="Calibri" w:eastAsia="Calibri" w:hAnsi="Calibri"/>
          <w:b/>
          <w:bCs/>
          <w:color w:val="1B6B5A"/>
          <w:sz w:val="34"/>
          <w:szCs w:val="34"/>
        </w:rPr>
        <w:t xml:space="preserve">7. How Has Performance Changed Over the Years?</w:t>
      </w:r>
    </w:p>
    <w:p>
      <w:pPr>
        <w:pStyle w:val="Heading2"/>
        <w:spacing w:before="240" w:after="100"/>
      </w:pPr>
      <w:r>
        <w:rPr>
          <w:rFonts w:ascii="Calibri" w:cs="Calibri" w:eastAsia="Calibri" w:hAnsi="Calibri"/>
          <w:b/>
          <w:bCs/>
          <w:color w:val="2E9E80"/>
          <w:sz w:val="26"/>
          <w:szCs w:val="26"/>
        </w:rPr>
        <w:t xml:space="preserve">7.1 Year-by-Year Data (2017 to 2026)</w:t>
      </w:r>
    </w:p>
    <w:p>
      <w:pPr>
        <w:spacing w:before="80" w:after="120"/>
      </w:pPr>
      <w:r>
        <w:rPr>
          <w:rFonts w:ascii="Calibri" w:cs="Calibri" w:eastAsia="Calibri" w:hAnsi="Calibri"/>
          <w:color w:val="2C2C2C"/>
          <w:sz w:val="22"/>
          <w:szCs w:val="22"/>
        </w:rPr>
        <w:t xml:space="preserve">Let's look at how NTPC's overall performance changed year by year. We track three main things: average capacity use, outage rate, and average coal stock.</w:t>
      </w:r>
    </w:p>
    <w:p>
      <w:pPr>
        <w:spacing w:before="10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2200"/>
        <w:gridCol w:w="2200"/>
        <w:gridCol w:w="1300"/>
      </w:tblGrid>
      <w:tr>
        <w:tc>
          <w:tcPr>
            <w:tcW w:type="dxa" w:w="1100"/>
            <w:tcBorders>
              <w:top w:val="single" w:color="1B6B5A" w:sz="1"/>
              <w:left w:val="single" w:color="1B6B5A" w:sz="1"/>
              <w:bottom w:val="single" w:color="1B6B5A" w:sz="1"/>
              <w:right w:val="single" w:color="1B6B5A" w:sz="1"/>
            </w:tcBorders>
            <w:shd w:fill="1B6B5A" w:val="clear"/>
            <w:tcMar>
              <w:top w:type="dxa" w:w="90"/>
              <w:left w:type="dxa" w:w="130"/>
              <w:bottom w:type="dxa" w:w="90"/>
              <w:right w:type="dxa" w:w="130"/>
            </w:tcMar>
            <w:vAlign w:val="center"/>
          </w:tcPr>
          <w:p>
            <w:pPr>
              <w:jc w:val="center"/>
            </w:pPr>
            <w:r>
              <w:rPr>
                <w:rFonts w:ascii="Calibri" w:cs="Calibri" w:eastAsia="Calibri" w:hAnsi="Calibri"/>
                <w:b/>
                <w:bCs/>
                <w:color w:val="FFFFFF"/>
                <w:sz w:val="20"/>
                <w:szCs w:val="20"/>
              </w:rPr>
              <w:t xml:space="preserve">Year</w:t>
            </w:r>
          </w:p>
        </w:tc>
        <w:tc>
          <w:tcPr>
            <w:tcW w:type="dxa" w:w="2200"/>
            <w:tcBorders>
              <w:top w:val="single" w:color="1B6B5A" w:sz="1"/>
              <w:left w:val="single" w:color="1B6B5A" w:sz="1"/>
              <w:bottom w:val="single" w:color="1B6B5A" w:sz="1"/>
              <w:right w:val="single" w:color="1B6B5A" w:sz="1"/>
            </w:tcBorders>
            <w:shd w:fill="1B6B5A" w:val="clear"/>
            <w:tcMar>
              <w:top w:type="dxa" w:w="90"/>
              <w:left w:type="dxa" w:w="130"/>
              <w:bottom w:type="dxa" w:w="90"/>
              <w:right w:type="dxa" w:w="130"/>
            </w:tcMar>
            <w:vAlign w:val="center"/>
          </w:tcPr>
          <w:p>
            <w:pPr>
              <w:jc w:val="center"/>
            </w:pPr>
            <w:r>
              <w:rPr>
                <w:rFonts w:ascii="Calibri" w:cs="Calibri" w:eastAsia="Calibri" w:hAnsi="Calibri"/>
                <w:b/>
                <w:bCs/>
                <w:color w:val="FFFFFF"/>
                <w:sz w:val="20"/>
                <w:szCs w:val="20"/>
              </w:rPr>
              <w:t xml:space="preserve">Avg. Capacity Use (%)</w:t>
            </w:r>
          </w:p>
        </w:tc>
        <w:tc>
          <w:tcPr>
            <w:tcW w:type="dxa" w:w="2200"/>
            <w:tcBorders>
              <w:top w:val="single" w:color="1B6B5A" w:sz="1"/>
              <w:left w:val="single" w:color="1B6B5A" w:sz="1"/>
              <w:bottom w:val="single" w:color="1B6B5A" w:sz="1"/>
              <w:right w:val="single" w:color="1B6B5A" w:sz="1"/>
            </w:tcBorders>
            <w:shd w:fill="1B6B5A" w:val="clear"/>
            <w:tcMar>
              <w:top w:type="dxa" w:w="90"/>
              <w:left w:type="dxa" w:w="130"/>
              <w:bottom w:type="dxa" w:w="90"/>
              <w:right w:type="dxa" w:w="130"/>
            </w:tcMar>
            <w:vAlign w:val="center"/>
          </w:tcPr>
          <w:p>
            <w:pPr>
              <w:jc w:val="center"/>
            </w:pPr>
            <w:r>
              <w:rPr>
                <w:rFonts w:ascii="Calibri" w:cs="Calibri" w:eastAsia="Calibri" w:hAnsi="Calibri"/>
                <w:b/>
                <w:bCs/>
                <w:color w:val="FFFFFF"/>
                <w:sz w:val="20"/>
                <w:szCs w:val="20"/>
              </w:rPr>
              <w:t xml:space="preserve">Outage Rate (%)</w:t>
            </w:r>
          </w:p>
        </w:tc>
        <w:tc>
          <w:tcPr>
            <w:tcW w:type="dxa" w:w="2200"/>
            <w:tcBorders>
              <w:top w:val="single" w:color="1B6B5A" w:sz="1"/>
              <w:left w:val="single" w:color="1B6B5A" w:sz="1"/>
              <w:bottom w:val="single" w:color="1B6B5A" w:sz="1"/>
              <w:right w:val="single" w:color="1B6B5A" w:sz="1"/>
            </w:tcBorders>
            <w:shd w:fill="1B6B5A" w:val="clear"/>
            <w:tcMar>
              <w:top w:type="dxa" w:w="90"/>
              <w:left w:type="dxa" w:w="130"/>
              <w:bottom w:type="dxa" w:w="90"/>
              <w:right w:type="dxa" w:w="130"/>
            </w:tcMar>
            <w:vAlign w:val="center"/>
          </w:tcPr>
          <w:p>
            <w:pPr>
              <w:jc w:val="center"/>
            </w:pPr>
            <w:r>
              <w:rPr>
                <w:rFonts w:ascii="Calibri" w:cs="Calibri" w:eastAsia="Calibri" w:hAnsi="Calibri"/>
                <w:b/>
                <w:bCs/>
                <w:color w:val="FFFFFF"/>
                <w:sz w:val="20"/>
                <w:szCs w:val="20"/>
              </w:rPr>
              <w:t xml:space="preserve">Avg. Coal Stock (days)</w:t>
            </w:r>
          </w:p>
        </w:tc>
        <w:tc>
          <w:tcPr>
            <w:tcW w:type="dxa" w:w="1300"/>
            <w:tcBorders>
              <w:top w:val="single" w:color="1B6B5A" w:sz="1"/>
              <w:left w:val="single" w:color="1B6B5A" w:sz="1"/>
              <w:bottom w:val="single" w:color="1B6B5A" w:sz="1"/>
              <w:right w:val="single" w:color="1B6B5A" w:sz="1"/>
            </w:tcBorders>
            <w:shd w:fill="1B6B5A" w:val="clear"/>
            <w:tcMar>
              <w:top w:type="dxa" w:w="90"/>
              <w:left w:type="dxa" w:w="130"/>
              <w:bottom w:type="dxa" w:w="90"/>
              <w:right w:type="dxa" w:w="130"/>
            </w:tcMar>
            <w:vAlign w:val="center"/>
          </w:tcPr>
          <w:p>
            <w:pPr>
              <w:jc w:val="center"/>
            </w:pPr>
            <w:r>
              <w:rPr>
                <w:rFonts w:ascii="Calibri" w:cs="Calibri" w:eastAsia="Calibri" w:hAnsi="Calibri"/>
                <w:b/>
                <w:bCs/>
                <w:color w:val="FFFFFF"/>
                <w:sz w:val="20"/>
                <w:szCs w:val="20"/>
              </w:rPr>
              <w:t xml:space="preserve">Rating</w:t>
            </w:r>
          </w:p>
        </w:tc>
      </w:tr>
      <w:tr>
        <w:tc>
          <w:tcPr>
            <w:tcW w:type="dxa" w:w="11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2017</w:t>
            </w:r>
          </w:p>
        </w:tc>
        <w:tc>
          <w:tcPr>
            <w:tcW w:type="dxa" w:w="22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val="false"/>
                <w:bCs w:val="false"/>
                <w:color w:val="27AE60"/>
                <w:sz w:val="19"/>
                <w:szCs w:val="19"/>
              </w:rPr>
              <w:t xml:space="preserve">84.4%</w:t>
            </w:r>
          </w:p>
        </w:tc>
        <w:tc>
          <w:tcPr>
            <w:tcW w:type="dxa" w:w="22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16%</w:t>
            </w:r>
          </w:p>
        </w:tc>
        <w:tc>
          <w:tcPr>
            <w:tcW w:type="dxa" w:w="22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Not Available</w:t>
            </w:r>
          </w:p>
        </w:tc>
        <w:tc>
          <w:tcPr>
            <w:tcW w:type="dxa" w:w="13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bCs/>
                <w:color w:val="27AE60"/>
                <w:sz w:val="19"/>
                <w:szCs w:val="19"/>
              </w:rPr>
              <w:t xml:space="preserve">Good</w:t>
            </w:r>
          </w:p>
        </w:tc>
      </w:tr>
      <w:tr>
        <w:tc>
          <w:tcPr>
            <w:tcW w:type="dxa" w:w="11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2018</w:t>
            </w:r>
          </w:p>
        </w:tc>
        <w:tc>
          <w:tcPr>
            <w:tcW w:type="dxa" w:w="22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7AE60"/>
                <w:sz w:val="19"/>
                <w:szCs w:val="19"/>
              </w:rPr>
              <w:t xml:space="preserve">84.8%</w:t>
            </w:r>
          </w:p>
        </w:tc>
        <w:tc>
          <w:tcPr>
            <w:tcW w:type="dxa" w:w="22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16%</w:t>
            </w:r>
          </w:p>
        </w:tc>
        <w:tc>
          <w:tcPr>
            <w:tcW w:type="dxa" w:w="22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17.5 days</w:t>
            </w:r>
          </w:p>
        </w:tc>
        <w:tc>
          <w:tcPr>
            <w:tcW w:type="dxa" w:w="13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bCs/>
                <w:color w:val="27AE60"/>
                <w:sz w:val="19"/>
                <w:szCs w:val="19"/>
              </w:rPr>
              <w:t xml:space="preserve">Good</w:t>
            </w:r>
          </w:p>
        </w:tc>
      </w:tr>
      <w:tr>
        <w:tc>
          <w:tcPr>
            <w:tcW w:type="dxa" w:w="11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2019</w:t>
            </w:r>
          </w:p>
        </w:tc>
        <w:tc>
          <w:tcPr>
            <w:tcW w:type="dxa" w:w="22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val="false"/>
                <w:bCs w:val="false"/>
                <w:color w:val="D4880E"/>
                <w:sz w:val="19"/>
                <w:szCs w:val="19"/>
              </w:rPr>
              <w:t xml:space="preserve">79.5%</w:t>
            </w:r>
          </w:p>
        </w:tc>
        <w:tc>
          <w:tcPr>
            <w:tcW w:type="dxa" w:w="22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20%</w:t>
            </w:r>
          </w:p>
        </w:tc>
        <w:tc>
          <w:tcPr>
            <w:tcW w:type="dxa" w:w="22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17.5 days</w:t>
            </w:r>
          </w:p>
        </w:tc>
        <w:tc>
          <w:tcPr>
            <w:tcW w:type="dxa" w:w="13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bCs/>
                <w:color w:val="D4880E"/>
                <w:sz w:val="19"/>
                <w:szCs w:val="19"/>
              </w:rPr>
              <w:t xml:space="preserve">Fair</w:t>
            </w:r>
          </w:p>
        </w:tc>
      </w:tr>
      <w:tr>
        <w:tc>
          <w:tcPr>
            <w:tcW w:type="dxa" w:w="11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2020</w:t>
            </w:r>
          </w:p>
        </w:tc>
        <w:tc>
          <w:tcPr>
            <w:tcW w:type="dxa" w:w="22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bCs/>
                <w:color w:val="C0392B"/>
                <w:sz w:val="19"/>
                <w:szCs w:val="19"/>
              </w:rPr>
              <w:t xml:space="preserve">73.0%</w:t>
            </w:r>
          </w:p>
        </w:tc>
        <w:tc>
          <w:tcPr>
            <w:tcW w:type="dxa" w:w="22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bCs/>
                <w:color w:val="C0392B"/>
                <w:sz w:val="19"/>
                <w:szCs w:val="19"/>
              </w:rPr>
              <w:t xml:space="preserve">27%</w:t>
            </w:r>
          </w:p>
        </w:tc>
        <w:tc>
          <w:tcPr>
            <w:tcW w:type="dxa" w:w="22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23.3 days</w:t>
            </w:r>
          </w:p>
        </w:tc>
        <w:tc>
          <w:tcPr>
            <w:tcW w:type="dxa" w:w="13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bCs/>
                <w:color w:val="C0392B"/>
                <w:sz w:val="19"/>
                <w:szCs w:val="19"/>
              </w:rPr>
              <w:t xml:space="preserve">Poor</w:t>
            </w:r>
          </w:p>
        </w:tc>
      </w:tr>
      <w:tr>
        <w:tc>
          <w:tcPr>
            <w:tcW w:type="dxa" w:w="11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2021</w:t>
            </w:r>
          </w:p>
        </w:tc>
        <w:tc>
          <w:tcPr>
            <w:tcW w:type="dxa" w:w="22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val="false"/>
                <w:bCs w:val="false"/>
                <w:color w:val="D4880E"/>
                <w:sz w:val="19"/>
                <w:szCs w:val="19"/>
              </w:rPr>
              <w:t xml:space="preserve">76.5%</w:t>
            </w:r>
          </w:p>
        </w:tc>
        <w:tc>
          <w:tcPr>
            <w:tcW w:type="dxa" w:w="22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val="false"/>
                <w:bCs w:val="false"/>
                <w:color w:val="C0392B"/>
                <w:sz w:val="19"/>
                <w:szCs w:val="19"/>
              </w:rPr>
              <w:t xml:space="preserve">23%</w:t>
            </w:r>
          </w:p>
        </w:tc>
        <w:tc>
          <w:tcPr>
            <w:tcW w:type="dxa" w:w="22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bCs/>
                <w:color w:val="C0392B"/>
                <w:sz w:val="19"/>
                <w:szCs w:val="19"/>
              </w:rPr>
              <w:t xml:space="preserve">12.5 days</w:t>
            </w:r>
          </w:p>
        </w:tc>
        <w:tc>
          <w:tcPr>
            <w:tcW w:type="dxa" w:w="13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bCs/>
                <w:color w:val="D4880E"/>
                <w:sz w:val="19"/>
                <w:szCs w:val="19"/>
              </w:rPr>
              <w:t xml:space="preserve">Fair</w:t>
            </w:r>
          </w:p>
        </w:tc>
      </w:tr>
      <w:tr>
        <w:tc>
          <w:tcPr>
            <w:tcW w:type="dxa" w:w="11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2022</w:t>
            </w:r>
          </w:p>
        </w:tc>
        <w:tc>
          <w:tcPr>
            <w:tcW w:type="dxa" w:w="22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7AE60"/>
                <w:sz w:val="19"/>
                <w:szCs w:val="19"/>
              </w:rPr>
              <w:t xml:space="preserve">82.0%</w:t>
            </w:r>
          </w:p>
        </w:tc>
        <w:tc>
          <w:tcPr>
            <w:tcW w:type="dxa" w:w="22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17%</w:t>
            </w:r>
          </w:p>
        </w:tc>
        <w:tc>
          <w:tcPr>
            <w:tcW w:type="dxa" w:w="22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13.7 days</w:t>
            </w:r>
          </w:p>
        </w:tc>
        <w:tc>
          <w:tcPr>
            <w:tcW w:type="dxa" w:w="13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bCs/>
                <w:color w:val="27AE60"/>
                <w:sz w:val="19"/>
                <w:szCs w:val="19"/>
              </w:rPr>
              <w:t xml:space="preserve">Good</w:t>
            </w:r>
          </w:p>
        </w:tc>
      </w:tr>
      <w:tr>
        <w:tc>
          <w:tcPr>
            <w:tcW w:type="dxa" w:w="11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2023</w:t>
            </w:r>
          </w:p>
        </w:tc>
        <w:tc>
          <w:tcPr>
            <w:tcW w:type="dxa" w:w="22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val="false"/>
                <w:bCs w:val="false"/>
                <w:color w:val="27AE60"/>
                <w:sz w:val="19"/>
                <w:szCs w:val="19"/>
              </w:rPr>
              <w:t xml:space="preserve">81.9%</w:t>
            </w:r>
          </w:p>
        </w:tc>
        <w:tc>
          <w:tcPr>
            <w:tcW w:type="dxa" w:w="22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18%</w:t>
            </w:r>
          </w:p>
        </w:tc>
        <w:tc>
          <w:tcPr>
            <w:tcW w:type="dxa" w:w="22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13.2 days</w:t>
            </w:r>
          </w:p>
        </w:tc>
        <w:tc>
          <w:tcPr>
            <w:tcW w:type="dxa" w:w="13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bCs/>
                <w:color w:val="27AE60"/>
                <w:sz w:val="19"/>
                <w:szCs w:val="19"/>
              </w:rPr>
              <w:t xml:space="preserve">Good</w:t>
            </w:r>
          </w:p>
        </w:tc>
      </w:tr>
      <w:tr>
        <w:tc>
          <w:tcPr>
            <w:tcW w:type="dxa" w:w="11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2024</w:t>
            </w:r>
          </w:p>
        </w:tc>
        <w:tc>
          <w:tcPr>
            <w:tcW w:type="dxa" w:w="22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7AE60"/>
                <w:sz w:val="19"/>
                <w:szCs w:val="19"/>
              </w:rPr>
              <w:t xml:space="preserve">82.4%</w:t>
            </w:r>
          </w:p>
        </w:tc>
        <w:tc>
          <w:tcPr>
            <w:tcW w:type="dxa" w:w="22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18%</w:t>
            </w:r>
          </w:p>
        </w:tc>
        <w:tc>
          <w:tcPr>
            <w:tcW w:type="dxa" w:w="22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18.2 days</w:t>
            </w:r>
          </w:p>
        </w:tc>
        <w:tc>
          <w:tcPr>
            <w:tcW w:type="dxa" w:w="13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bCs/>
                <w:color w:val="27AE60"/>
                <w:sz w:val="19"/>
                <w:szCs w:val="19"/>
              </w:rPr>
              <w:t xml:space="preserve">Good</w:t>
            </w:r>
          </w:p>
        </w:tc>
      </w:tr>
      <w:tr>
        <w:tc>
          <w:tcPr>
            <w:tcW w:type="dxa" w:w="11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2025</w:t>
            </w:r>
          </w:p>
        </w:tc>
        <w:tc>
          <w:tcPr>
            <w:tcW w:type="dxa" w:w="22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val="false"/>
                <w:bCs w:val="false"/>
                <w:color w:val="27AE60"/>
                <w:sz w:val="19"/>
                <w:szCs w:val="19"/>
              </w:rPr>
              <w:t xml:space="preserve">82.6%</w:t>
            </w:r>
          </w:p>
        </w:tc>
        <w:tc>
          <w:tcPr>
            <w:tcW w:type="dxa" w:w="22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17%</w:t>
            </w:r>
          </w:p>
        </w:tc>
        <w:tc>
          <w:tcPr>
            <w:tcW w:type="dxa" w:w="22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21.5 days</w:t>
            </w:r>
          </w:p>
        </w:tc>
        <w:tc>
          <w:tcPr>
            <w:tcW w:type="dxa" w:w="13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bCs/>
                <w:color w:val="27AE60"/>
                <w:sz w:val="19"/>
                <w:szCs w:val="19"/>
              </w:rPr>
              <w:t xml:space="preserve">Good</w:t>
            </w:r>
          </w:p>
        </w:tc>
      </w:tr>
      <w:tr>
        <w:tc>
          <w:tcPr>
            <w:tcW w:type="dxa" w:w="11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2026 (Jan-Feb)</w:t>
            </w:r>
          </w:p>
        </w:tc>
        <w:tc>
          <w:tcPr>
            <w:tcW w:type="dxa" w:w="22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bCs/>
                <w:color w:val="27AE60"/>
                <w:sz w:val="19"/>
                <w:szCs w:val="19"/>
              </w:rPr>
              <w:t xml:space="preserve">89.3%</w:t>
            </w:r>
          </w:p>
        </w:tc>
        <w:tc>
          <w:tcPr>
            <w:tcW w:type="dxa" w:w="22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bCs/>
                <w:color w:val="27AE60"/>
                <w:sz w:val="19"/>
                <w:szCs w:val="19"/>
              </w:rPr>
              <w:t xml:space="preserve">11%</w:t>
            </w:r>
          </w:p>
        </w:tc>
        <w:tc>
          <w:tcPr>
            <w:tcW w:type="dxa" w:w="22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16.6 days</w:t>
            </w:r>
          </w:p>
        </w:tc>
        <w:tc>
          <w:tcPr>
            <w:tcW w:type="dxa" w:w="13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bCs/>
                <w:color w:val="27AE60"/>
                <w:sz w:val="19"/>
                <w:szCs w:val="19"/>
              </w:rPr>
              <w:t xml:space="preserve">Excellent</w:t>
            </w:r>
          </w:p>
        </w:tc>
      </w:tr>
    </w:tbl>
    <w:p>
      <w:pPr>
        <w:spacing w:before="160" w:after="0"/>
      </w:pPr>
      <w:r>
        <w:t xml:space="preserve"/>
      </w:r>
    </w:p>
    <w:p>
      <w:pPr>
        <w:pStyle w:val="Heading2"/>
        <w:spacing w:before="240" w:after="100"/>
      </w:pPr>
      <w:r>
        <w:rPr>
          <w:rFonts w:ascii="Calibri" w:cs="Calibri" w:eastAsia="Calibri" w:hAnsi="Calibri"/>
          <w:b/>
          <w:bCs/>
          <w:color w:val="2E9E80"/>
          <w:sz w:val="26"/>
          <w:szCs w:val="26"/>
        </w:rPr>
        <w:t xml:space="preserve">7.2 What the Trends Tell Us</w:t>
      </w:r>
    </w:p>
    <w:p>
      <w:pPr>
        <w:pStyle w:val="Heading3"/>
        <w:spacing w:before="200" w:after="80"/>
      </w:pPr>
      <w:r>
        <w:rPr>
          <w:rFonts w:ascii="Calibri" w:cs="Calibri" w:eastAsia="Calibri" w:hAnsi="Calibri"/>
          <w:b/>
          <w:bCs/>
          <w:color w:val="1B6B5A"/>
          <w:sz w:val="22"/>
          <w:szCs w:val="22"/>
        </w:rPr>
        <w:t xml:space="preserve">Phase 1: Stable Start (2017-2018)</w:t>
      </w:r>
    </w:p>
    <w:p>
      <w:pPr>
        <w:spacing w:before="80" w:after="120"/>
      </w:pPr>
      <w:r>
        <w:rPr>
          <w:rFonts w:ascii="Calibri" w:cs="Calibri" w:eastAsia="Calibri" w:hAnsi="Calibri"/>
          <w:color w:val="2C2C2C"/>
          <w:sz w:val="22"/>
          <w:szCs w:val="22"/>
        </w:rPr>
        <w:t xml:space="preserve">In 2017 and 2018, NTPC was performing at its normal baseline — about 84-85% capacity use with 16% outage rate. This gives us a good "normal" level to compare against.</w:t>
      </w:r>
    </w:p>
    <w:p>
      <w:pPr>
        <w:pStyle w:val="Heading3"/>
        <w:spacing w:before="200" w:after="80"/>
      </w:pPr>
      <w:r>
        <w:rPr>
          <w:rFonts w:ascii="Calibri" w:cs="Calibri" w:eastAsia="Calibri" w:hAnsi="Calibri"/>
          <w:b/>
          <w:bCs/>
          <w:color w:val="1B6B5A"/>
          <w:sz w:val="22"/>
          <w:szCs w:val="22"/>
        </w:rPr>
        <w:t xml:space="preserve">Phase 2: COVID-19 Disruption (2019-2021)</w:t>
      </w:r>
    </w:p>
    <w:p>
      <w:pPr>
        <w:spacing w:before="80" w:after="120"/>
      </w:pPr>
      <w:r>
        <w:rPr>
          <w:rFonts w:ascii="Calibri" w:cs="Calibri" w:eastAsia="Calibri" w:hAnsi="Calibri"/>
          <w:color w:val="2C2C2C"/>
          <w:sz w:val="22"/>
          <w:szCs w:val="22"/>
        </w:rPr>
        <w:t xml:space="preserve">From 2019 onwards, performance started dropping. The worst year was 2020 when capacity use fell to just 73% and outage rates shot up to 27%. This was clearly because of COVID-19 — demand for electricity dropped, coal supply chains were disrupted, and maintenance work was difficult due to lockdowns. Interestingly, coal stock went UP in 2020 (23.3 days) even though performance was bad — this is because when stations generate less electricity, they burn less coal, so the stock lasts longer. But in 2021, coal stock crashed to only 12.5 days when demand came back suddenly and supply couldn't keep up.</w:t>
      </w:r>
    </w:p>
    <w:p>
      <w:pPr>
        <w:pStyle w:val="Heading3"/>
        <w:spacing w:before="200" w:after="80"/>
      </w:pPr>
      <w:r>
        <w:rPr>
          <w:rFonts w:ascii="Calibri" w:cs="Calibri" w:eastAsia="Calibri" w:hAnsi="Calibri"/>
          <w:b/>
          <w:bCs/>
          <w:color w:val="1B6B5A"/>
          <w:sz w:val="22"/>
          <w:szCs w:val="22"/>
        </w:rPr>
        <w:t xml:space="preserve">Phase 3: Recovery (2022-2025)</w:t>
      </w:r>
    </w:p>
    <w:p>
      <w:pPr>
        <w:spacing w:before="80" w:after="120"/>
      </w:pPr>
      <w:r>
        <w:rPr>
          <w:rFonts w:ascii="Calibri" w:cs="Calibri" w:eastAsia="Calibri" w:hAnsi="Calibri"/>
          <w:color w:val="2C2C2C"/>
          <w:sz w:val="22"/>
          <w:szCs w:val="22"/>
        </w:rPr>
        <w:t xml:space="preserve">From 2022, things started getting back to normal. Capacity use climbed back to 82% and outage rates returned to 17-18%. Coal stocks also improved, reaching 21.5 days in 2025, which is the CEA's "comfortable" threshold.</w:t>
      </w:r>
    </w:p>
    <w:p>
      <w:pPr>
        <w:pStyle w:val="Heading3"/>
        <w:spacing w:before="200" w:after="80"/>
      </w:pPr>
      <w:r>
        <w:rPr>
          <w:rFonts w:ascii="Calibri" w:cs="Calibri" w:eastAsia="Calibri" w:hAnsi="Calibri"/>
          <w:b/>
          <w:bCs/>
          <w:color w:val="1B6B5A"/>
          <w:sz w:val="22"/>
          <w:szCs w:val="22"/>
        </w:rPr>
        <w:t xml:space="preserve">Phase 4: Best Performance Ever (2026)</w:t>
      </w:r>
    </w:p>
    <w:p>
      <w:pPr>
        <w:spacing w:before="80" w:after="120"/>
      </w:pPr>
      <w:r>
        <w:rPr>
          <w:rFonts w:ascii="Calibri" w:cs="Calibri" w:eastAsia="Calibri" w:hAnsi="Calibri"/>
          <w:color w:val="2C2C2C"/>
          <w:sz w:val="22"/>
          <w:szCs w:val="22"/>
        </w:rPr>
        <w:t xml:space="preserve">The data for January-February 2026 shows NTPC's best-ever numbers: 89.3% capacity use and only 11% outage rate. This is a great sign that NTPC is continuously improving and may be entering a new, higher-performance era.</w:t>
      </w:r>
    </w:p>
    <w:p>
      <w:r>
        <w:br w:type="page"/>
      </w:r>
    </w:p>
    <w:p>
      <w:pPr>
        <w:pStyle w:val="Heading1"/>
        <w:pBdr>
          <w:bottom w:val="single" w:color="2E9E80" w:sz="6" w:space="6"/>
        </w:pBdr>
        <w:spacing w:before="360" w:after="140"/>
      </w:pPr>
      <w:r>
        <w:rPr>
          <w:rFonts w:ascii="Calibri" w:cs="Calibri" w:eastAsia="Calibri" w:hAnsi="Calibri"/>
          <w:b/>
          <w:bCs/>
          <w:color w:val="1B6B5A"/>
          <w:sz w:val="34"/>
          <w:szCs w:val="34"/>
        </w:rPr>
        <w:t xml:space="preserve">8. Which States Are Performing Best and Worst?</w:t>
      </w:r>
    </w:p>
    <w:p>
      <w:pPr>
        <w:pStyle w:val="Heading2"/>
        <w:spacing w:before="240" w:after="100"/>
      </w:pPr>
      <w:r>
        <w:rPr>
          <w:rFonts w:ascii="Calibri" w:cs="Calibri" w:eastAsia="Calibri" w:hAnsi="Calibri"/>
          <w:b/>
          <w:bCs/>
          <w:color w:val="2E9E80"/>
          <w:sz w:val="26"/>
          <w:szCs w:val="26"/>
        </w:rPr>
        <w:t xml:space="preserve">8.1 State-by-State Comparison</w:t>
      </w:r>
    </w:p>
    <w:p>
      <w:pPr>
        <w:spacing w:before="80" w:after="120"/>
      </w:pPr>
      <w:r>
        <w:rPr>
          <w:rFonts w:ascii="Calibri" w:cs="Calibri" w:eastAsia="Calibri" w:hAnsi="Calibri"/>
          <w:color w:val="2C2C2C"/>
          <w:sz w:val="22"/>
          <w:szCs w:val="22"/>
        </w:rPr>
        <w:t xml:space="preserve">Where a power station is located in India makes a big difference to how well it performs. States with coal-based plants near coal mines do very well. States with gas-based plants do poorly because of gas shortage. Here is a comparison:</w:t>
      </w:r>
    </w:p>
    <w:p>
      <w:pPr>
        <w:spacing w:before="10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1600"/>
      </w:tblGrid>
      <w:tr>
        <w:tc>
          <w:tcPr>
            <w:tcW w:type="dxa" w:w="2000"/>
            <w:tcBorders>
              <w:top w:val="single" w:color="1B6B5A" w:sz="1"/>
              <w:left w:val="single" w:color="1B6B5A" w:sz="1"/>
              <w:bottom w:val="single" w:color="1B6B5A" w:sz="1"/>
              <w:right w:val="single" w:color="1B6B5A" w:sz="1"/>
            </w:tcBorders>
            <w:shd w:fill="1B6B5A" w:val="clear"/>
            <w:tcMar>
              <w:top w:type="dxa" w:w="90"/>
              <w:left w:type="dxa" w:w="130"/>
              <w:bottom w:type="dxa" w:w="90"/>
              <w:right w:type="dxa" w:w="130"/>
            </w:tcMar>
            <w:vAlign w:val="center"/>
          </w:tcPr>
          <w:p>
            <w:pPr>
              <w:jc w:val="center"/>
            </w:pPr>
            <w:r>
              <w:rPr>
                <w:rFonts w:ascii="Calibri" w:cs="Calibri" w:eastAsia="Calibri" w:hAnsi="Calibri"/>
                <w:b/>
                <w:bCs/>
                <w:color w:val="FFFFFF"/>
                <w:sz w:val="20"/>
                <w:szCs w:val="20"/>
              </w:rPr>
              <w:t xml:space="preserve">State</w:t>
            </w:r>
          </w:p>
        </w:tc>
        <w:tc>
          <w:tcPr>
            <w:tcW w:type="dxa" w:w="1800"/>
            <w:tcBorders>
              <w:top w:val="single" w:color="1B6B5A" w:sz="1"/>
              <w:left w:val="single" w:color="1B6B5A" w:sz="1"/>
              <w:bottom w:val="single" w:color="1B6B5A" w:sz="1"/>
              <w:right w:val="single" w:color="1B6B5A" w:sz="1"/>
            </w:tcBorders>
            <w:shd w:fill="1B6B5A" w:val="clear"/>
            <w:tcMar>
              <w:top w:type="dxa" w:w="90"/>
              <w:left w:type="dxa" w:w="130"/>
              <w:bottom w:type="dxa" w:w="90"/>
              <w:right w:type="dxa" w:w="130"/>
            </w:tcMar>
            <w:vAlign w:val="center"/>
          </w:tcPr>
          <w:p>
            <w:pPr>
              <w:jc w:val="center"/>
            </w:pPr>
            <w:r>
              <w:rPr>
                <w:rFonts w:ascii="Calibri" w:cs="Calibri" w:eastAsia="Calibri" w:hAnsi="Calibri"/>
                <w:b/>
                <w:bCs/>
                <w:color w:val="FFFFFF"/>
                <w:sz w:val="20"/>
                <w:szCs w:val="20"/>
              </w:rPr>
              <w:t xml:space="preserve">Avg. Cap. Use %</w:t>
            </w:r>
          </w:p>
        </w:tc>
        <w:tc>
          <w:tcPr>
            <w:tcW w:type="dxa" w:w="1800"/>
            <w:tcBorders>
              <w:top w:val="single" w:color="1B6B5A" w:sz="1"/>
              <w:left w:val="single" w:color="1B6B5A" w:sz="1"/>
              <w:bottom w:val="single" w:color="1B6B5A" w:sz="1"/>
              <w:right w:val="single" w:color="1B6B5A" w:sz="1"/>
            </w:tcBorders>
            <w:shd w:fill="1B6B5A" w:val="clear"/>
            <w:tcMar>
              <w:top w:type="dxa" w:w="90"/>
              <w:left w:type="dxa" w:w="130"/>
              <w:bottom w:type="dxa" w:w="90"/>
              <w:right w:type="dxa" w:w="130"/>
            </w:tcMar>
            <w:vAlign w:val="center"/>
          </w:tcPr>
          <w:p>
            <w:pPr>
              <w:jc w:val="center"/>
            </w:pPr>
            <w:r>
              <w:rPr>
                <w:rFonts w:ascii="Calibri" w:cs="Calibri" w:eastAsia="Calibri" w:hAnsi="Calibri"/>
                <w:b/>
                <w:bCs/>
                <w:color w:val="FFFFFF"/>
                <w:sz w:val="20"/>
                <w:szCs w:val="20"/>
              </w:rPr>
              <w:t xml:space="preserve">Outage Rate %</w:t>
            </w:r>
          </w:p>
        </w:tc>
        <w:tc>
          <w:tcPr>
            <w:tcW w:type="dxa" w:w="1800"/>
            <w:tcBorders>
              <w:top w:val="single" w:color="1B6B5A" w:sz="1"/>
              <w:left w:val="single" w:color="1B6B5A" w:sz="1"/>
              <w:bottom w:val="single" w:color="1B6B5A" w:sz="1"/>
              <w:right w:val="single" w:color="1B6B5A" w:sz="1"/>
            </w:tcBorders>
            <w:shd w:fill="1B6B5A" w:val="clear"/>
            <w:tcMar>
              <w:top w:type="dxa" w:w="90"/>
              <w:left w:type="dxa" w:w="130"/>
              <w:bottom w:type="dxa" w:w="90"/>
              <w:right w:type="dxa" w:w="130"/>
            </w:tcMar>
            <w:vAlign w:val="center"/>
          </w:tcPr>
          <w:p>
            <w:pPr>
              <w:jc w:val="center"/>
            </w:pPr>
            <w:r>
              <w:rPr>
                <w:rFonts w:ascii="Calibri" w:cs="Calibri" w:eastAsia="Calibri" w:hAnsi="Calibri"/>
                <w:b/>
                <w:bCs/>
                <w:color w:val="FFFFFF"/>
                <w:sz w:val="20"/>
                <w:szCs w:val="20"/>
              </w:rPr>
              <w:t xml:space="preserve">Avg. Coal Stock</w:t>
            </w:r>
          </w:p>
        </w:tc>
        <w:tc>
          <w:tcPr>
            <w:tcW w:type="dxa" w:w="1600"/>
            <w:tcBorders>
              <w:top w:val="single" w:color="1B6B5A" w:sz="1"/>
              <w:left w:val="single" w:color="1B6B5A" w:sz="1"/>
              <w:bottom w:val="single" w:color="1B6B5A" w:sz="1"/>
              <w:right w:val="single" w:color="1B6B5A" w:sz="1"/>
            </w:tcBorders>
            <w:shd w:fill="1B6B5A" w:val="clear"/>
            <w:tcMar>
              <w:top w:type="dxa" w:w="90"/>
              <w:left w:type="dxa" w:w="130"/>
              <w:bottom w:type="dxa" w:w="90"/>
              <w:right w:type="dxa" w:w="130"/>
            </w:tcMar>
            <w:vAlign w:val="center"/>
          </w:tcPr>
          <w:p>
            <w:pPr>
              <w:jc w:val="center"/>
            </w:pPr>
            <w:r>
              <w:rPr>
                <w:rFonts w:ascii="Calibri" w:cs="Calibri" w:eastAsia="Calibri" w:hAnsi="Calibri"/>
                <w:b/>
                <w:bCs/>
                <w:color w:val="FFFFFF"/>
                <w:sz w:val="20"/>
                <w:szCs w:val="20"/>
              </w:rPr>
              <w:t xml:space="preserve">Overall</w:t>
            </w:r>
          </w:p>
        </w:tc>
      </w:tr>
      <w:tr>
        <w:tc>
          <w:tcPr>
            <w:tcW w:type="dxa" w:w="20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r>
              <w:rPr>
                <w:rFonts w:ascii="Calibri" w:cs="Calibri" w:eastAsia="Calibri" w:hAnsi="Calibri"/>
                <w:b/>
                <w:bCs/>
                <w:color w:val="C0392B"/>
                <w:sz w:val="19"/>
                <w:szCs w:val="19"/>
              </w:rPr>
              <w:t xml:space="preserve">Rajasthan</w:t>
            </w:r>
          </w:p>
        </w:tc>
        <w:tc>
          <w:tcPr>
            <w:tcW w:type="dxa" w:w="18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val="false"/>
                <w:bCs w:val="false"/>
                <w:color w:val="C0392B"/>
                <w:sz w:val="19"/>
                <w:szCs w:val="19"/>
              </w:rPr>
              <w:t xml:space="preserve">4.3%</w:t>
            </w:r>
          </w:p>
        </w:tc>
        <w:tc>
          <w:tcPr>
            <w:tcW w:type="dxa" w:w="18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val="false"/>
                <w:bCs w:val="false"/>
                <w:color w:val="C0392B"/>
                <w:sz w:val="19"/>
                <w:szCs w:val="19"/>
              </w:rPr>
              <w:t xml:space="preserve">100%</w:t>
            </w:r>
          </w:p>
        </w:tc>
        <w:tc>
          <w:tcPr>
            <w:tcW w:type="dxa" w:w="18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No Coal (Gas Plant)</w:t>
            </w:r>
          </w:p>
        </w:tc>
        <w:tc>
          <w:tcPr>
            <w:tcW w:type="dxa" w:w="16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bCs/>
                <w:color w:val="C0392B"/>
                <w:sz w:val="19"/>
                <w:szCs w:val="19"/>
              </w:rPr>
              <w:t xml:space="preserve">Very Poor</w:t>
            </w:r>
          </w:p>
        </w:tc>
      </w:tr>
      <w:tr>
        <w:tc>
          <w:tcPr>
            <w:tcW w:type="dxa" w:w="20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r>
              <w:rPr>
                <w:rFonts w:ascii="Calibri" w:cs="Calibri" w:eastAsia="Calibri" w:hAnsi="Calibri"/>
                <w:b/>
                <w:bCs/>
                <w:color w:val="C0392B"/>
                <w:sz w:val="19"/>
                <w:szCs w:val="19"/>
              </w:rPr>
              <w:t xml:space="preserve">Delhi</w:t>
            </w:r>
          </w:p>
        </w:tc>
        <w:tc>
          <w:tcPr>
            <w:tcW w:type="dxa" w:w="18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C0392B"/>
                <w:sz w:val="19"/>
                <w:szCs w:val="19"/>
              </w:rPr>
              <w:t xml:space="preserve">12.9%</w:t>
            </w:r>
          </w:p>
        </w:tc>
        <w:tc>
          <w:tcPr>
            <w:tcW w:type="dxa" w:w="18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C0392B"/>
                <w:sz w:val="19"/>
                <w:szCs w:val="19"/>
              </w:rPr>
              <w:t xml:space="preserve">68%</w:t>
            </w:r>
          </w:p>
        </w:tc>
        <w:tc>
          <w:tcPr>
            <w:tcW w:type="dxa" w:w="18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N/A</w:t>
            </w:r>
          </w:p>
        </w:tc>
        <w:tc>
          <w:tcPr>
            <w:tcW w:type="dxa" w:w="16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bCs/>
                <w:color w:val="C0392B"/>
                <w:sz w:val="19"/>
                <w:szCs w:val="19"/>
              </w:rPr>
              <w:t xml:space="preserve">Very Poor</w:t>
            </w:r>
          </w:p>
        </w:tc>
      </w:tr>
      <w:tr>
        <w:tc>
          <w:tcPr>
            <w:tcW w:type="dxa" w:w="20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r>
              <w:rPr>
                <w:rFonts w:ascii="Calibri" w:cs="Calibri" w:eastAsia="Calibri" w:hAnsi="Calibri"/>
                <w:b/>
                <w:bCs/>
                <w:color w:val="C0392B"/>
                <w:sz w:val="19"/>
                <w:szCs w:val="19"/>
              </w:rPr>
              <w:t xml:space="preserve">Haryana</w:t>
            </w:r>
          </w:p>
        </w:tc>
        <w:tc>
          <w:tcPr>
            <w:tcW w:type="dxa" w:w="18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val="false"/>
                <w:bCs w:val="false"/>
                <w:color w:val="C0392B"/>
                <w:sz w:val="19"/>
                <w:szCs w:val="19"/>
              </w:rPr>
              <w:t xml:space="preserve">29.9%</w:t>
            </w:r>
          </w:p>
        </w:tc>
        <w:tc>
          <w:tcPr>
            <w:tcW w:type="dxa" w:w="18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val="false"/>
                <w:bCs w:val="false"/>
                <w:color w:val="C0392B"/>
                <w:sz w:val="19"/>
                <w:szCs w:val="19"/>
              </w:rPr>
              <w:t xml:space="preserve">100%</w:t>
            </w:r>
          </w:p>
        </w:tc>
        <w:tc>
          <w:tcPr>
            <w:tcW w:type="dxa" w:w="18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No Coal (Gas Plant)</w:t>
            </w:r>
          </w:p>
        </w:tc>
        <w:tc>
          <w:tcPr>
            <w:tcW w:type="dxa" w:w="16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bCs/>
                <w:color w:val="C0392B"/>
                <w:sz w:val="19"/>
                <w:szCs w:val="19"/>
              </w:rPr>
              <w:t xml:space="preserve">Very Poor</w:t>
            </w:r>
          </w:p>
        </w:tc>
      </w:tr>
      <w:tr>
        <w:tc>
          <w:tcPr>
            <w:tcW w:type="dxa" w:w="20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r>
              <w:rPr>
                <w:rFonts w:ascii="Calibri" w:cs="Calibri" w:eastAsia="Calibri" w:hAnsi="Calibri"/>
                <w:b/>
                <w:bCs/>
                <w:color w:val="D4880E"/>
                <w:sz w:val="19"/>
                <w:szCs w:val="19"/>
              </w:rPr>
              <w:t xml:space="preserve">Gujarat</w:t>
            </w:r>
          </w:p>
        </w:tc>
        <w:tc>
          <w:tcPr>
            <w:tcW w:type="dxa" w:w="18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C0392B"/>
                <w:sz w:val="19"/>
                <w:szCs w:val="19"/>
              </w:rPr>
              <w:t xml:space="preserve">30.7%</w:t>
            </w:r>
          </w:p>
        </w:tc>
        <w:tc>
          <w:tcPr>
            <w:tcW w:type="dxa" w:w="18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C0392B"/>
                <w:sz w:val="19"/>
                <w:szCs w:val="19"/>
              </w:rPr>
              <w:t xml:space="preserve">88%</w:t>
            </w:r>
          </w:p>
        </w:tc>
        <w:tc>
          <w:tcPr>
            <w:tcW w:type="dxa" w:w="18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No Coal (Gas Plant)</w:t>
            </w:r>
          </w:p>
        </w:tc>
        <w:tc>
          <w:tcPr>
            <w:tcW w:type="dxa" w:w="16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bCs/>
                <w:color w:val="D4880E"/>
                <w:sz w:val="19"/>
                <w:szCs w:val="19"/>
              </w:rPr>
              <w:t xml:space="preserve">Poor</w:t>
            </w:r>
          </w:p>
        </w:tc>
      </w:tr>
      <w:tr>
        <w:tc>
          <w:tcPr>
            <w:tcW w:type="dxa" w:w="20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r>
              <w:rPr>
                <w:rFonts w:ascii="Calibri" w:cs="Calibri" w:eastAsia="Calibri" w:hAnsi="Calibri"/>
                <w:b/>
                <w:bCs/>
                <w:color w:val="D4880E"/>
                <w:sz w:val="19"/>
                <w:szCs w:val="19"/>
              </w:rPr>
              <w:t xml:space="preserve">Karnataka</w:t>
            </w:r>
          </w:p>
        </w:tc>
        <w:tc>
          <w:tcPr>
            <w:tcW w:type="dxa" w:w="18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val="false"/>
                <w:bCs w:val="false"/>
                <w:color w:val="D4880E"/>
                <w:sz w:val="19"/>
                <w:szCs w:val="19"/>
              </w:rPr>
              <w:t xml:space="preserve">62.7%</w:t>
            </w:r>
          </w:p>
        </w:tc>
        <w:tc>
          <w:tcPr>
            <w:tcW w:type="dxa" w:w="18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val="false"/>
                <w:bCs w:val="false"/>
                <w:color w:val="D4880E"/>
                <w:sz w:val="19"/>
                <w:szCs w:val="19"/>
              </w:rPr>
              <w:t xml:space="preserve">37%</w:t>
            </w:r>
          </w:p>
        </w:tc>
        <w:tc>
          <w:tcPr>
            <w:tcW w:type="dxa" w:w="18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17.9 days</w:t>
            </w:r>
          </w:p>
        </w:tc>
        <w:tc>
          <w:tcPr>
            <w:tcW w:type="dxa" w:w="16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bCs/>
                <w:color w:val="D4880E"/>
                <w:sz w:val="19"/>
                <w:szCs w:val="19"/>
              </w:rPr>
              <w:t xml:space="preserve">Fair</w:t>
            </w:r>
          </w:p>
        </w:tc>
      </w:tr>
      <w:tr>
        <w:tc>
          <w:tcPr>
            <w:tcW w:type="dxa" w:w="20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r>
              <w:rPr>
                <w:rFonts w:ascii="Calibri" w:cs="Calibri" w:eastAsia="Calibri" w:hAnsi="Calibri"/>
                <w:b/>
                <w:bCs/>
                <w:color w:val="D4880E"/>
                <w:sz w:val="19"/>
                <w:szCs w:val="19"/>
              </w:rPr>
              <w:t xml:space="preserve">Bihar</w:t>
            </w:r>
          </w:p>
        </w:tc>
        <w:tc>
          <w:tcPr>
            <w:tcW w:type="dxa" w:w="18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D4880E"/>
                <w:sz w:val="19"/>
                <w:szCs w:val="19"/>
              </w:rPr>
              <w:t xml:space="preserve">75.8%</w:t>
            </w:r>
          </w:p>
        </w:tc>
        <w:tc>
          <w:tcPr>
            <w:tcW w:type="dxa" w:w="18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D4880E"/>
                <w:sz w:val="19"/>
                <w:szCs w:val="19"/>
              </w:rPr>
              <w:t xml:space="preserve">22%</w:t>
            </w:r>
          </w:p>
        </w:tc>
        <w:tc>
          <w:tcPr>
            <w:tcW w:type="dxa" w:w="18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15.8 days</w:t>
            </w:r>
          </w:p>
        </w:tc>
        <w:tc>
          <w:tcPr>
            <w:tcW w:type="dxa" w:w="16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bCs/>
                <w:color w:val="D4880E"/>
                <w:sz w:val="19"/>
                <w:szCs w:val="19"/>
              </w:rPr>
              <w:t xml:space="preserve">Fair</w:t>
            </w:r>
          </w:p>
        </w:tc>
      </w:tr>
      <w:tr>
        <w:tc>
          <w:tcPr>
            <w:tcW w:type="dxa" w:w="20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r>
              <w:rPr>
                <w:rFonts w:ascii="Calibri" w:cs="Calibri" w:eastAsia="Calibri" w:hAnsi="Calibri"/>
                <w:b/>
                <w:bCs/>
                <w:color w:val="2E9E80"/>
                <w:sz w:val="19"/>
                <w:szCs w:val="19"/>
              </w:rPr>
              <w:t xml:space="preserve">Uttar Pradesh</w:t>
            </w:r>
          </w:p>
        </w:tc>
        <w:tc>
          <w:tcPr>
            <w:tcW w:type="dxa" w:w="18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val="false"/>
                <w:bCs w:val="false"/>
                <w:color w:val="2E9E80"/>
                <w:sz w:val="19"/>
                <w:szCs w:val="19"/>
              </w:rPr>
              <w:t xml:space="preserve">80.5%</w:t>
            </w:r>
          </w:p>
        </w:tc>
        <w:tc>
          <w:tcPr>
            <w:tcW w:type="dxa" w:w="18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20%</w:t>
            </w:r>
          </w:p>
        </w:tc>
        <w:tc>
          <w:tcPr>
            <w:tcW w:type="dxa" w:w="18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20.0 days</w:t>
            </w:r>
          </w:p>
        </w:tc>
        <w:tc>
          <w:tcPr>
            <w:tcW w:type="dxa" w:w="16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bCs/>
                <w:color w:val="2E9E80"/>
                <w:sz w:val="19"/>
                <w:szCs w:val="19"/>
              </w:rPr>
              <w:t xml:space="preserve">Good</w:t>
            </w:r>
          </w:p>
        </w:tc>
      </w:tr>
      <w:tr>
        <w:tc>
          <w:tcPr>
            <w:tcW w:type="dxa" w:w="20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r>
              <w:rPr>
                <w:rFonts w:ascii="Calibri" w:cs="Calibri" w:eastAsia="Calibri" w:hAnsi="Calibri"/>
                <w:b/>
                <w:bCs/>
                <w:color w:val="27AE60"/>
                <w:sz w:val="19"/>
                <w:szCs w:val="19"/>
              </w:rPr>
              <w:t xml:space="preserve">Chhattisgarh</w:t>
            </w:r>
          </w:p>
        </w:tc>
        <w:tc>
          <w:tcPr>
            <w:tcW w:type="dxa" w:w="18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bCs/>
                <w:color w:val="27AE60"/>
                <w:sz w:val="19"/>
                <w:szCs w:val="19"/>
              </w:rPr>
              <w:t xml:space="preserve">90.1%</w:t>
            </w:r>
          </w:p>
        </w:tc>
        <w:tc>
          <w:tcPr>
            <w:tcW w:type="dxa" w:w="18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bCs/>
                <w:color w:val="27AE60"/>
                <w:sz w:val="19"/>
                <w:szCs w:val="19"/>
              </w:rPr>
              <w:t xml:space="preserve">10%</w:t>
            </w:r>
          </w:p>
        </w:tc>
        <w:tc>
          <w:tcPr>
            <w:tcW w:type="dxa" w:w="18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11.1 days</w:t>
            </w:r>
          </w:p>
        </w:tc>
        <w:tc>
          <w:tcPr>
            <w:tcW w:type="dxa" w:w="16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bCs/>
                <w:color w:val="27AE60"/>
                <w:sz w:val="19"/>
                <w:szCs w:val="19"/>
              </w:rPr>
              <w:t xml:space="preserve">Very Good</w:t>
            </w:r>
          </w:p>
        </w:tc>
      </w:tr>
      <w:tr>
        <w:tc>
          <w:tcPr>
            <w:tcW w:type="dxa" w:w="20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r>
              <w:rPr>
                <w:rFonts w:ascii="Calibri" w:cs="Calibri" w:eastAsia="Calibri" w:hAnsi="Calibri"/>
                <w:b/>
                <w:bCs/>
                <w:color w:val="27AE60"/>
                <w:sz w:val="19"/>
                <w:szCs w:val="19"/>
              </w:rPr>
              <w:t xml:space="preserve">Telangana</w:t>
            </w:r>
          </w:p>
        </w:tc>
        <w:tc>
          <w:tcPr>
            <w:tcW w:type="dxa" w:w="18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bCs/>
                <w:color w:val="27AE60"/>
                <w:sz w:val="19"/>
                <w:szCs w:val="19"/>
              </w:rPr>
              <w:t xml:space="preserve">92.0%</w:t>
            </w:r>
          </w:p>
        </w:tc>
        <w:tc>
          <w:tcPr>
            <w:tcW w:type="dxa" w:w="18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bCs/>
                <w:color w:val="27AE60"/>
                <w:sz w:val="19"/>
                <w:szCs w:val="19"/>
              </w:rPr>
              <w:t xml:space="preserve">7%</w:t>
            </w:r>
          </w:p>
        </w:tc>
        <w:tc>
          <w:tcPr>
            <w:tcW w:type="dxa" w:w="18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16.5 days</w:t>
            </w:r>
          </w:p>
        </w:tc>
        <w:tc>
          <w:tcPr>
            <w:tcW w:type="dxa" w:w="16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pPr>
              <w:jc w:val="center"/>
            </w:pPr>
            <w:r>
              <w:rPr>
                <w:rFonts w:ascii="Calibri" w:cs="Calibri" w:eastAsia="Calibri" w:hAnsi="Calibri"/>
                <w:b/>
                <w:bCs/>
                <w:color w:val="27AE60"/>
                <w:sz w:val="19"/>
                <w:szCs w:val="19"/>
              </w:rPr>
              <w:t xml:space="preserve">Excellent</w:t>
            </w:r>
          </w:p>
        </w:tc>
      </w:tr>
      <w:tr>
        <w:tc>
          <w:tcPr>
            <w:tcW w:type="dxa" w:w="20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r>
              <w:rPr>
                <w:rFonts w:ascii="Calibri" w:cs="Calibri" w:eastAsia="Calibri" w:hAnsi="Calibri"/>
                <w:b/>
                <w:bCs/>
                <w:color w:val="27AE60"/>
                <w:sz w:val="19"/>
                <w:szCs w:val="19"/>
              </w:rPr>
              <w:t xml:space="preserve">Jharkhand</w:t>
            </w:r>
          </w:p>
        </w:tc>
        <w:tc>
          <w:tcPr>
            <w:tcW w:type="dxa" w:w="18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bCs/>
                <w:color w:val="27AE60"/>
                <w:sz w:val="19"/>
                <w:szCs w:val="19"/>
              </w:rPr>
              <w:t xml:space="preserve">94.7%</w:t>
            </w:r>
          </w:p>
        </w:tc>
        <w:tc>
          <w:tcPr>
            <w:tcW w:type="dxa" w:w="18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bCs/>
                <w:color w:val="27AE60"/>
                <w:sz w:val="19"/>
                <w:szCs w:val="19"/>
              </w:rPr>
              <w:t xml:space="preserve">2%</w:t>
            </w:r>
          </w:p>
        </w:tc>
        <w:tc>
          <w:tcPr>
            <w:tcW w:type="dxa" w:w="18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C2C2C"/>
                <w:sz w:val="19"/>
                <w:szCs w:val="19"/>
              </w:rPr>
              <w:t xml:space="preserve">19.5 days</w:t>
            </w:r>
          </w:p>
        </w:tc>
        <w:tc>
          <w:tcPr>
            <w:tcW w:type="dxa" w:w="16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pPr>
              <w:jc w:val="center"/>
            </w:pPr>
            <w:r>
              <w:rPr>
                <w:rFonts w:ascii="Calibri" w:cs="Calibri" w:eastAsia="Calibri" w:hAnsi="Calibri"/>
                <w:b/>
                <w:bCs/>
                <w:color w:val="27AE60"/>
                <w:sz w:val="19"/>
                <w:szCs w:val="19"/>
              </w:rPr>
              <w:t xml:space="preserve">Excellent</w:t>
            </w:r>
          </w:p>
        </w:tc>
      </w:tr>
    </w:tbl>
    <w:p>
      <w:pPr>
        <w:spacing w:before="160" w:after="0"/>
      </w:pPr>
      <w:r>
        <w:t xml:space="preserve"/>
      </w:r>
    </w:p>
    <w:p>
      <w:pPr>
        <w:pStyle w:val="Heading2"/>
        <w:spacing w:before="240" w:after="100"/>
      </w:pPr>
      <w:r>
        <w:rPr>
          <w:rFonts w:ascii="Calibri" w:cs="Calibri" w:eastAsia="Calibri" w:hAnsi="Calibri"/>
          <w:b/>
          <w:bCs/>
          <w:color w:val="2E9E80"/>
          <w:sz w:val="26"/>
          <w:szCs w:val="26"/>
        </w:rPr>
        <w:t xml:space="preserve">8.2 Key Geographic Insight</w:t>
      </w:r>
    </w:p>
    <w:p>
      <w:pPr>
        <w:spacing w:before="80" w:after="120"/>
      </w:pPr>
      <w:r>
        <w:rPr>
          <w:rFonts w:ascii="Calibri" w:cs="Calibri" w:eastAsia="Calibri" w:hAnsi="Calibri"/>
          <w:color w:val="2C2C2C"/>
          <w:sz w:val="22"/>
          <w:szCs w:val="22"/>
        </w:rPr>
        <w:t xml:space="preserve">There is a very clear pattern here: states in eastern and central India — like Jharkhand, Telangana, Chhattisgarh, Assam — perform best because they have coal-based power plants that are close to India's coal mining regions. This means they get a steady supply of coal, face fewer outages, and can run at high capacity.</w:t>
      </w:r>
    </w:p>
    <w:p>
      <w:pPr>
        <w:spacing w:before="80" w:after="120"/>
      </w:pPr>
      <w:r>
        <w:rPr>
          <w:rFonts w:ascii="Calibri" w:cs="Calibri" w:eastAsia="Calibri" w:hAnsi="Calibri"/>
          <w:color w:val="2C2C2C"/>
          <w:sz w:val="22"/>
          <w:szCs w:val="22"/>
        </w:rPr>
        <w:t xml:space="preserve">On the other hand, states like Rajasthan, Haryana, and Gujarat perform poorly because their NTPC stations are gas-based CCPPs. These stations aren't struggling because of technical problems — they're struggling because India just doesn't have enough natural gas to run them. This is a policy and infrastructure problem, not an operations problem.</w:t>
      </w:r>
    </w:p>
    <w:p>
      <w:r>
        <w:br w:type="page"/>
      </w:r>
    </w:p>
    <w:p>
      <w:pPr>
        <w:pStyle w:val="Heading1"/>
        <w:pBdr>
          <w:bottom w:val="single" w:color="2E9E80" w:sz="6" w:space="6"/>
        </w:pBdr>
        <w:spacing w:before="360" w:after="140"/>
      </w:pPr>
      <w:r>
        <w:rPr>
          <w:rFonts w:ascii="Calibri" w:cs="Calibri" w:eastAsia="Calibri" w:hAnsi="Calibri"/>
          <w:b/>
          <w:bCs/>
          <w:color w:val="1B6B5A"/>
          <w:sz w:val="34"/>
          <w:szCs w:val="34"/>
        </w:rPr>
        <w:t xml:space="preserve">9. Key Findings</w:t>
      </w:r>
    </w:p>
    <w:p>
      <w:pPr>
        <w:spacing w:before="80" w:after="120"/>
      </w:pPr>
      <w:r>
        <w:rPr>
          <w:rFonts w:ascii="Calibri" w:cs="Calibri" w:eastAsia="Calibri" w:hAnsi="Calibri"/>
          <w:color w:val="2C2C2C"/>
          <w:sz w:val="22"/>
          <w:szCs w:val="22"/>
        </w:rPr>
        <w:t xml:space="preserve">After analyzing all the data, here are the most important things we found:</w:t>
      </w:r>
    </w:p>
    <w:p>
      <w:pPr>
        <w:spacing w:before="100" w:after="0"/>
      </w:pPr>
      <w:r>
        <w:t xml:space="preserve"/>
      </w:r>
    </w:p>
    <w:p>
      <w:pPr>
        <w:pStyle w:val="Heading3"/>
        <w:spacing w:before="200" w:after="80"/>
      </w:pPr>
      <w:r>
        <w:rPr>
          <w:rFonts w:ascii="Calibri" w:cs="Calibri" w:eastAsia="Calibri" w:hAnsi="Calibri"/>
          <w:b/>
          <w:bCs/>
          <w:color w:val="1B6B5A"/>
          <w:sz w:val="22"/>
          <w:szCs w:val="22"/>
        </w:rPr>
        <w:t xml:space="preserve">Finding 1: Gas-Based CCPPs Are the Biggest Problem</w:t>
      </w:r>
    </w:p>
    <w:p>
      <w:pPr>
        <w:spacing w:before="80" w:after="120"/>
      </w:pPr>
      <w:r>
        <w:rPr>
          <w:rFonts w:ascii="Calibri" w:cs="Calibri" w:eastAsia="Calibri" w:hAnsi="Calibri"/>
          <w:color w:val="2C2C2C"/>
          <w:sz w:val="22"/>
          <w:szCs w:val="22"/>
        </w:rPr>
        <w:t xml:space="preserve">Five gas-based power plants — ANTA, AURAIYA, DADRI, KAWAS, and FARIDABAD — are barely functioning, with capacity use below 30% and outage rates of 100%. These plants are not broken — they have no gas to run on. This is the largest single source of inefficiency in the NTPC system and cannot be fixed by NTPC alone; it requires national-level gas supply policy reform.</w:t>
      </w:r>
    </w:p>
    <w:p>
      <w:pPr>
        <w:pStyle w:val="Heading3"/>
        <w:spacing w:before="200" w:after="80"/>
      </w:pPr>
      <w:r>
        <w:rPr>
          <w:rFonts w:ascii="Calibri" w:cs="Calibri" w:eastAsia="Calibri" w:hAnsi="Calibri"/>
          <w:b/>
          <w:bCs/>
          <w:color w:val="1B6B5A"/>
          <w:sz w:val="22"/>
          <w:szCs w:val="22"/>
        </w:rPr>
        <w:t xml:space="preserve">Finding 2: Outages Are the #1 Driver of Poor Performance</w:t>
      </w:r>
    </w:p>
    <w:p>
      <w:pPr>
        <w:spacing w:before="80" w:after="120"/>
      </w:pPr>
      <w:r>
        <w:rPr>
          <w:rFonts w:ascii="Calibri" w:cs="Calibri" w:eastAsia="Calibri" w:hAnsi="Calibri"/>
          <w:color w:val="2C2C2C"/>
          <w:sz w:val="22"/>
          <w:szCs w:val="22"/>
        </w:rPr>
        <w:t xml:space="preserve">Across all coal-based stations, the main reason why a station underperforms is outages — not coal shortage. The statistical correlation between outages and low capacity use is -0.853, which is extremely strong. This means NTPC should invest heavily in preventing and reducing outages through better maintenance practices.</w:t>
      </w:r>
    </w:p>
    <w:p>
      <w:pPr>
        <w:pStyle w:val="Heading3"/>
        <w:spacing w:before="200" w:after="80"/>
      </w:pPr>
      <w:r>
        <w:rPr>
          <w:rFonts w:ascii="Calibri" w:cs="Calibri" w:eastAsia="Calibri" w:hAnsi="Calibri"/>
          <w:b/>
          <w:bCs/>
          <w:color w:val="1B6B5A"/>
          <w:sz w:val="22"/>
          <w:szCs w:val="22"/>
        </w:rPr>
        <w:t xml:space="preserve">Finding 3: Eastern States Are NTPC's Backbone</w:t>
      </w:r>
    </w:p>
    <w:p>
      <w:pPr>
        <w:spacing w:before="80" w:after="120"/>
      </w:pPr>
      <w:r>
        <w:rPr>
          <w:rFonts w:ascii="Calibri" w:cs="Calibri" w:eastAsia="Calibri" w:hAnsi="Calibri"/>
          <w:color w:val="2C2C2C"/>
          <w:sz w:val="22"/>
          <w:szCs w:val="22"/>
        </w:rPr>
        <w:t xml:space="preserve">Jharkhand, Telangana, Chhattisgarh, and Assam consistently show the best performance. Their coal-based stations achieve 90-95% capacity use with very low outage rates. These stations should be used as a benchmark for others to follow.</w:t>
      </w:r>
    </w:p>
    <w:p>
      <w:pPr>
        <w:pStyle w:val="Heading3"/>
        <w:spacing w:before="200" w:after="80"/>
      </w:pPr>
      <w:r>
        <w:rPr>
          <w:rFonts w:ascii="Calibri" w:cs="Calibri" w:eastAsia="Calibri" w:hAnsi="Calibri"/>
          <w:b/>
          <w:bCs/>
          <w:color w:val="1B6B5A"/>
          <w:sz w:val="22"/>
          <w:szCs w:val="22"/>
        </w:rPr>
        <w:t xml:space="preserve">Finding 4: COVID-19 Caused the Worst Year (2020)</w:t>
      </w:r>
    </w:p>
    <w:p>
      <w:pPr>
        <w:spacing w:before="80" w:after="120"/>
      </w:pPr>
      <w:r>
        <w:rPr>
          <w:rFonts w:ascii="Calibri" w:cs="Calibri" w:eastAsia="Calibri" w:hAnsi="Calibri"/>
          <w:color w:val="2C2C2C"/>
          <w:sz w:val="22"/>
          <w:szCs w:val="22"/>
        </w:rPr>
        <w:t xml:space="preserve">The year 2020 was NTPC's worst in the decade — 73% capacity use and 27% outage rate. This was directly caused by COVID-19 disruptions. The coal crisis in 2021 (where stock fell to 12.5 days) was also a knock-on effect of the pandemic. The good news is NTPC has fully recovered from this by 2022.</w:t>
      </w:r>
    </w:p>
    <w:p>
      <w:pPr>
        <w:pStyle w:val="Heading3"/>
        <w:spacing w:before="200" w:after="80"/>
      </w:pPr>
      <w:r>
        <w:rPr>
          <w:rFonts w:ascii="Calibri" w:cs="Calibri" w:eastAsia="Calibri" w:hAnsi="Calibri"/>
          <w:b/>
          <w:bCs/>
          <w:color w:val="1B6B5A"/>
          <w:sz w:val="22"/>
          <w:szCs w:val="22"/>
        </w:rPr>
        <w:t xml:space="preserve">Finding 5: 2026 is the Best Year on Record</w:t>
      </w:r>
    </w:p>
    <w:p>
      <w:pPr>
        <w:spacing w:before="80" w:after="120"/>
      </w:pPr>
      <w:r>
        <w:rPr>
          <w:rFonts w:ascii="Calibri" w:cs="Calibri" w:eastAsia="Calibri" w:hAnsi="Calibri"/>
          <w:color w:val="2C2C2C"/>
          <w:sz w:val="22"/>
          <w:szCs w:val="22"/>
        </w:rPr>
        <w:t xml:space="preserve">Data from January-February 2026 shows 89.3% capacity use and only 11% outage rate — the best figures in the entire dataset. This suggests that NTPC's ongoing modernization and improved operations are starting to show results.</w:t>
      </w:r>
    </w:p>
    <w:p>
      <w:pPr>
        <w:pStyle w:val="Heading3"/>
        <w:spacing w:before="200" w:after="80"/>
      </w:pPr>
      <w:r>
        <w:rPr>
          <w:rFonts w:ascii="Calibri" w:cs="Calibri" w:eastAsia="Calibri" w:hAnsi="Calibri"/>
          <w:b/>
          <w:bCs/>
          <w:color w:val="1B6B5A"/>
          <w:sz w:val="22"/>
          <w:szCs w:val="22"/>
        </w:rPr>
        <w:t xml:space="preserve">Finding 6: BARAUNI TPS Needs Urgent Attention</w:t>
      </w:r>
    </w:p>
    <w:p>
      <w:pPr>
        <w:spacing w:before="80" w:after="120"/>
      </w:pPr>
      <w:r>
        <w:rPr>
          <w:rFonts w:ascii="Calibri" w:cs="Calibri" w:eastAsia="Calibri" w:hAnsi="Calibri"/>
          <w:color w:val="2C2C2C"/>
          <w:sz w:val="22"/>
          <w:szCs w:val="22"/>
        </w:rPr>
        <w:t xml:space="preserve">Among coal-based stations, BARAUNI TPS in Bihar stands out as the most problematic — it has 61% outage incidence across 191 records. Unlike the gas plants, BARAUNI's problems are genuine operational and maintenance issues that NTPC can and should fix directly.</w:t>
      </w:r>
    </w:p>
    <w:p>
      <w:r>
        <w:br w:type="page"/>
      </w:r>
    </w:p>
    <w:p>
      <w:pPr>
        <w:pStyle w:val="Heading1"/>
        <w:pBdr>
          <w:bottom w:val="single" w:color="2E9E80" w:sz="6" w:space="6"/>
        </w:pBdr>
        <w:spacing w:before="360" w:after="140"/>
      </w:pPr>
      <w:r>
        <w:rPr>
          <w:rFonts w:ascii="Calibri" w:cs="Calibri" w:eastAsia="Calibri" w:hAnsi="Calibri"/>
          <w:b/>
          <w:bCs/>
          <w:color w:val="1B6B5A"/>
          <w:sz w:val="34"/>
          <w:szCs w:val="34"/>
        </w:rPr>
        <w:t xml:space="preserve">10. Our Recommendations</w:t>
      </w:r>
    </w:p>
    <w:p>
      <w:pPr>
        <w:spacing w:before="80" w:after="120"/>
      </w:pPr>
      <w:r>
        <w:rPr>
          <w:rFonts w:ascii="Calibri" w:cs="Calibri" w:eastAsia="Calibri" w:hAnsi="Calibri"/>
          <w:color w:val="2C2C2C"/>
          <w:sz w:val="22"/>
          <w:szCs w:val="22"/>
        </w:rPr>
        <w:t xml:space="preserve">Based on our analysis, here are the steps we suggest NTPC and the government should take to improve performance:</w:t>
      </w:r>
    </w:p>
    <w:p>
      <w:pPr>
        <w:spacing w:before="80" w:after="0"/>
      </w:pPr>
      <w:r>
        <w:t xml:space="preserve"/>
      </w:r>
    </w:p>
    <w:p>
      <w:pPr>
        <w:pStyle w:val="Heading2"/>
        <w:spacing w:before="240" w:after="100"/>
      </w:pPr>
      <w:r>
        <w:rPr>
          <w:rFonts w:ascii="Calibri" w:cs="Calibri" w:eastAsia="Calibri" w:hAnsi="Calibri"/>
          <w:b/>
          <w:bCs/>
          <w:color w:val="2E9E80"/>
          <w:sz w:val="26"/>
          <w:szCs w:val="26"/>
        </w:rPr>
        <w:t xml:space="preserve">10.1 Things to Do Right Away (0-6 Months)</w:t>
      </w:r>
    </w:p>
    <w:p>
      <w:pPr>
        <w:pStyle w:val="ListParagraph"/>
        <w:numPr>
          <w:ilvl w:val="0"/>
          <w:numId w:val="3"/>
        </w:numPr>
        <w:spacing w:before="80" w:after="80"/>
      </w:pPr>
      <w:r>
        <w:rPr>
          <w:rFonts w:ascii="Calibri" w:cs="Calibri" w:eastAsia="Calibri" w:hAnsi="Calibri"/>
          <w:b/>
          <w:bCs/>
          <w:color w:val="1B6B5A"/>
          <w:sz w:val="22"/>
          <w:szCs w:val="22"/>
        </w:rPr>
        <w:t xml:space="preserve">Set a Minimum Coal Stock Rule: </w:t>
      </w:r>
      <w:r>
        <w:rPr>
          <w:rFonts w:ascii="Calibri" w:cs="Calibri" w:eastAsia="Calibri" w:hAnsi="Calibri"/>
          <w:color w:val="2C2C2C"/>
          <w:sz w:val="22"/>
          <w:szCs w:val="22"/>
        </w:rPr>
        <w:t xml:space="preserve">Make it mandatory for all coal-based NTPC stations to always keep at least 21 days of coal stock (the CEA's comfortable level). If stock falls below 14 days, send out automated alerts. Below 7 days, start emergency buying.</w:t>
      </w:r>
    </w:p>
    <w:p>
      <w:pPr>
        <w:pStyle w:val="ListParagraph"/>
        <w:numPr>
          <w:ilvl w:val="0"/>
          <w:numId w:val="3"/>
        </w:numPr>
        <w:spacing w:before="80" w:after="80"/>
      </w:pPr>
      <w:r>
        <w:rPr>
          <w:rFonts w:ascii="Calibri" w:cs="Calibri" w:eastAsia="Calibri" w:hAnsi="Calibri"/>
          <w:b/>
          <w:bCs/>
          <w:color w:val="1B6B5A"/>
          <w:sz w:val="22"/>
          <w:szCs w:val="22"/>
        </w:rPr>
        <w:t xml:space="preserve">Build a Live Dashboard for Operations: </w:t>
      </w:r>
      <w:r>
        <w:rPr>
          <w:rFonts w:ascii="Calibri" w:cs="Calibri" w:eastAsia="Calibri" w:hAnsi="Calibri"/>
          <w:color w:val="2C2C2C"/>
          <w:sz w:val="22"/>
          <w:szCs w:val="22"/>
        </w:rPr>
        <w:t xml:space="preserve">Create a real-time screen in each regional operations center showing capacity use, outage status, and coal stock for every station. This will help managers spot problems early before they become serious.</w:t>
      </w:r>
    </w:p>
    <w:p>
      <w:pPr>
        <w:pStyle w:val="ListParagraph"/>
        <w:numPr>
          <w:ilvl w:val="0"/>
          <w:numId w:val="3"/>
        </w:numPr>
        <w:spacing w:before="80" w:after="80"/>
      </w:pPr>
      <w:r>
        <w:rPr>
          <w:rFonts w:ascii="Calibri" w:cs="Calibri" w:eastAsia="Calibri" w:hAnsi="Calibri"/>
          <w:b/>
          <w:bCs/>
          <w:color w:val="1B6B5A"/>
          <w:sz w:val="22"/>
          <w:szCs w:val="22"/>
        </w:rPr>
        <w:t xml:space="preserve">Fix BARAUNI TPS First: </w:t>
      </w:r>
      <w:r>
        <w:rPr>
          <w:rFonts w:ascii="Calibri" w:cs="Calibri" w:eastAsia="Calibri" w:hAnsi="Calibri"/>
          <w:color w:val="2C2C2C"/>
          <w:sz w:val="22"/>
          <w:szCs w:val="22"/>
        </w:rPr>
        <w:t xml:space="preserve">BARAUNI has a 61% outage rate across 191 records — that's the worst among coal-based stations. Start a full maintenance audit there immediately and allocate budget for repairs.</w:t>
      </w:r>
    </w:p>
    <w:p>
      <w:pPr>
        <w:spacing w:before="100" w:after="0"/>
      </w:pPr>
      <w:r>
        <w:t xml:space="preserve"/>
      </w:r>
    </w:p>
    <w:p>
      <w:pPr>
        <w:pStyle w:val="Heading2"/>
        <w:spacing w:before="240" w:after="100"/>
      </w:pPr>
      <w:r>
        <w:rPr>
          <w:rFonts w:ascii="Calibri" w:cs="Calibri" w:eastAsia="Calibri" w:hAnsi="Calibri"/>
          <w:b/>
          <w:bCs/>
          <w:color w:val="2E9E80"/>
          <w:sz w:val="26"/>
          <w:szCs w:val="26"/>
        </w:rPr>
        <w:t xml:space="preserve">10.2 Medium-Term Actions (6-18 Months)</w:t>
      </w:r>
    </w:p>
    <w:p>
      <w:pPr>
        <w:pStyle w:val="ListParagraph"/>
        <w:numPr>
          <w:ilvl w:val="0"/>
          <w:numId w:val="3"/>
        </w:numPr>
        <w:spacing w:before="80" w:after="80"/>
      </w:pPr>
      <w:r>
        <w:rPr>
          <w:rFonts w:ascii="Calibri" w:cs="Calibri" w:eastAsia="Calibri" w:hAnsi="Calibri"/>
          <w:b/>
          <w:bCs/>
          <w:color w:val="1B6B5A"/>
          <w:sz w:val="22"/>
          <w:szCs w:val="22"/>
        </w:rPr>
        <w:t xml:space="preserve">Convert Stranded Gas Plants to Peaking/Renewable Support: </w:t>
      </w:r>
      <w:r>
        <w:rPr>
          <w:rFonts w:ascii="Calibri" w:cs="Calibri" w:eastAsia="Calibri" w:hAnsi="Calibri"/>
          <w:color w:val="2C2C2C"/>
          <w:sz w:val="22"/>
          <w:szCs w:val="22"/>
        </w:rPr>
        <w:t xml:space="preserve">The 5 gas CCPPs (ANTA, AURAIYA, DADRI, KAWAS, FARIDABAD) have huge installed capacity sitting idle. Consider repurposing them as backup/peaking plants that kick in when solar and wind energy is not available. This way, the infrastructure investment is not wasted.</w:t>
      </w:r>
    </w:p>
    <w:p>
      <w:pPr>
        <w:pStyle w:val="ListParagraph"/>
        <w:numPr>
          <w:ilvl w:val="0"/>
          <w:numId w:val="3"/>
        </w:numPr>
        <w:spacing w:before="80" w:after="80"/>
      </w:pPr>
      <w:r>
        <w:rPr>
          <w:rFonts w:ascii="Calibri" w:cs="Calibri" w:eastAsia="Calibri" w:hAnsi="Calibri"/>
          <w:b/>
          <w:bCs/>
          <w:color w:val="1B6B5A"/>
          <w:sz w:val="22"/>
          <w:szCs w:val="22"/>
        </w:rPr>
        <w:t xml:space="preserve">Use Predictive Maintenance at High-Outage Stations: </w:t>
      </w:r>
      <w:r>
        <w:rPr>
          <w:rFonts w:ascii="Calibri" w:cs="Calibri" w:eastAsia="Calibri" w:hAnsi="Calibri"/>
          <w:color w:val="2C2C2C"/>
          <w:sz w:val="22"/>
          <w:szCs w:val="22"/>
        </w:rPr>
        <w:t xml:space="preserve">For stations with 20-60% outage rates (like KUDGI, TANDA, BARAUNI), use sensors and machine learning to predict equipment failure before it happens. This can reduce unplanned outages by up to 30-40%.</w:t>
      </w:r>
    </w:p>
    <w:p>
      <w:pPr>
        <w:pStyle w:val="ListParagraph"/>
        <w:numPr>
          <w:ilvl w:val="0"/>
          <w:numId w:val="3"/>
        </w:numPr>
        <w:spacing w:before="80" w:after="80"/>
      </w:pPr>
      <w:r>
        <w:rPr>
          <w:rFonts w:ascii="Calibri" w:cs="Calibri" w:eastAsia="Calibri" w:hAnsi="Calibri"/>
          <w:b/>
          <w:bCs/>
          <w:color w:val="1B6B5A"/>
          <w:sz w:val="22"/>
          <w:szCs w:val="22"/>
        </w:rPr>
        <w:t xml:space="preserve">Improve Coal Forecasting: </w:t>
      </w:r>
      <w:r>
        <w:rPr>
          <w:rFonts w:ascii="Calibri" w:cs="Calibri" w:eastAsia="Calibri" w:hAnsi="Calibri"/>
          <w:color w:val="2C2C2C"/>
          <w:sz w:val="22"/>
          <w:szCs w:val="22"/>
        </w:rPr>
        <w:t xml:space="preserve">Connect NTPC's planning systems with Coal India's dispatch data and railway tracking so that each station can predict coal arrivals 7-14 days in advance. This removes uncertainty in coal stock management.</w:t>
      </w:r>
    </w:p>
    <w:p>
      <w:pPr>
        <w:spacing w:before="100" w:after="0"/>
      </w:pPr>
      <w:r>
        <w:t xml:space="preserve"/>
      </w:r>
    </w:p>
    <w:p>
      <w:pPr>
        <w:pStyle w:val="Heading2"/>
        <w:spacing w:before="240" w:after="100"/>
      </w:pPr>
      <w:r>
        <w:rPr>
          <w:rFonts w:ascii="Calibri" w:cs="Calibri" w:eastAsia="Calibri" w:hAnsi="Calibri"/>
          <w:b/>
          <w:bCs/>
          <w:color w:val="2E9E80"/>
          <w:sz w:val="26"/>
          <w:szCs w:val="26"/>
        </w:rPr>
        <w:t xml:space="preserve">10.3 Long-Term Strategic Actions (18+ Months)</w:t>
      </w:r>
    </w:p>
    <w:p>
      <w:pPr>
        <w:pStyle w:val="ListParagraph"/>
        <w:numPr>
          <w:ilvl w:val="0"/>
          <w:numId w:val="3"/>
        </w:numPr>
        <w:spacing w:before="80" w:after="80"/>
      </w:pPr>
      <w:r>
        <w:rPr>
          <w:rFonts w:ascii="Calibri" w:cs="Calibri" w:eastAsia="Calibri" w:hAnsi="Calibri"/>
          <w:b/>
          <w:bCs/>
          <w:color w:val="1B6B5A"/>
          <w:sz w:val="22"/>
          <w:szCs w:val="22"/>
        </w:rPr>
        <w:t xml:space="preserve">Make the Inefficiency Score a Regular KPI: </w:t>
      </w:r>
      <w:r>
        <w:rPr>
          <w:rFonts w:ascii="Calibri" w:cs="Calibri" w:eastAsia="Calibri" w:hAnsi="Calibri"/>
          <w:color w:val="2C2C2C"/>
          <w:sz w:val="22"/>
          <w:szCs w:val="22"/>
        </w:rPr>
        <w:t xml:space="preserve">Use the composite Inefficiency Score developed in this project as an official quarterly review metric. Tie it to station management accountability and capital allocation decisions.</w:t>
      </w:r>
    </w:p>
    <w:p>
      <w:pPr>
        <w:pStyle w:val="ListParagraph"/>
        <w:numPr>
          <w:ilvl w:val="0"/>
          <w:numId w:val="3"/>
        </w:numPr>
        <w:spacing w:before="80" w:after="80"/>
      </w:pPr>
      <w:r>
        <w:rPr>
          <w:rFonts w:ascii="Calibri" w:cs="Calibri" w:eastAsia="Calibri" w:hAnsi="Calibri"/>
          <w:b/>
          <w:bCs/>
          <w:color w:val="1B6B5A"/>
          <w:sz w:val="22"/>
          <w:szCs w:val="22"/>
        </w:rPr>
        <w:t xml:space="preserve">Retire the Oldest Inefficient Stations: </w:t>
      </w:r>
      <w:r>
        <w:rPr>
          <w:rFonts w:ascii="Calibri" w:cs="Calibri" w:eastAsia="Calibri" w:hAnsi="Calibri"/>
          <w:color w:val="2C2C2C"/>
          <w:sz w:val="22"/>
          <w:szCs w:val="22"/>
        </w:rPr>
        <w:t xml:space="preserve">Stations like BADARPUR TPS (already retired) and aging units elsewhere with scores above 40 should be evaluated for early retirement. The money saved can be reinvested in modern, ultra-efficient plants.</w:t>
      </w:r>
    </w:p>
    <w:p>
      <w:pPr>
        <w:pStyle w:val="ListParagraph"/>
        <w:numPr>
          <w:ilvl w:val="0"/>
          <w:numId w:val="3"/>
        </w:numPr>
        <w:spacing w:before="80" w:after="80"/>
      </w:pPr>
      <w:r>
        <w:rPr>
          <w:rFonts w:ascii="Calibri" w:cs="Calibri" w:eastAsia="Calibri" w:hAnsi="Calibri"/>
          <w:b/>
          <w:bCs/>
          <w:color w:val="1B6B5A"/>
          <w:sz w:val="22"/>
          <w:szCs w:val="22"/>
        </w:rPr>
        <w:t xml:space="preserve">Lobby for Gas Supply Infrastructure: </w:t>
      </w:r>
      <w:r>
        <w:rPr>
          <w:rFonts w:ascii="Calibri" w:cs="Calibri" w:eastAsia="Calibri" w:hAnsi="Calibri"/>
          <w:color w:val="2C2C2C"/>
          <w:sz w:val="22"/>
          <w:szCs w:val="22"/>
        </w:rPr>
        <w:t xml:space="preserve">NTPC should work with the Ministry of Power and Gas to push for more LNG import terminals or gas pipeline expansion. Without a reliable gas supply, the CCPP stations will never be efficient regardless of how well they are managed.</w:t>
      </w:r>
    </w:p>
    <w:p>
      <w:r>
        <w:br w:type="page"/>
      </w:r>
    </w:p>
    <w:p>
      <w:pPr>
        <w:pStyle w:val="Heading1"/>
        <w:pBdr>
          <w:bottom w:val="single" w:color="2E9E80" w:sz="6" w:space="6"/>
        </w:pBdr>
        <w:spacing w:before="360" w:after="140"/>
      </w:pPr>
      <w:r>
        <w:rPr>
          <w:rFonts w:ascii="Calibri" w:cs="Calibri" w:eastAsia="Calibri" w:hAnsi="Calibri"/>
          <w:b/>
          <w:bCs/>
          <w:color w:val="1B6B5A"/>
          <w:sz w:val="34"/>
          <w:szCs w:val="34"/>
        </w:rPr>
        <w:t xml:space="preserve">11. Conclusion</w:t>
      </w:r>
    </w:p>
    <w:p>
      <w:pPr>
        <w:spacing w:before="80" w:after="120"/>
      </w:pPr>
      <w:r>
        <w:rPr>
          <w:rFonts w:ascii="Calibri" w:cs="Calibri" w:eastAsia="Calibri" w:hAnsi="Calibri"/>
          <w:color w:val="2C2C2C"/>
          <w:sz w:val="22"/>
          <w:szCs w:val="22"/>
        </w:rPr>
        <w:t xml:space="preserve">This project set out to find which NTPC power stations are struggling the most with operational inefficiency — and why. After analyzing 7,500 records covering 41 stations across 10 years, we now have a very clear picture.</w:t>
      </w:r>
    </w:p>
    <w:p>
      <w:pPr>
        <w:spacing w:before="80" w:after="120"/>
      </w:pPr>
      <w:r>
        <w:rPr>
          <w:rFonts w:ascii="Calibri" w:cs="Calibri" w:eastAsia="Calibri" w:hAnsi="Calibri"/>
          <w:color w:val="2C2C2C"/>
          <w:sz w:val="22"/>
          <w:szCs w:val="22"/>
        </w:rPr>
        <w:t xml:space="preserve">The most important finding is that NTPC has two very different kinds of operational problems. First, there is the gas plant problem — five CCPPs in northern and western India are barely running because India does not have enough natural gas to supply them. This is not something NTPC can fix on its own; it requires government-level policy changes. Second, there is the coal plant challenge — most coal-based stations are doing well, but a few older stations like BARAUNI TPS have persistent maintenance problems that drive high outage rates.</w:t>
      </w:r>
    </w:p>
    <w:p>
      <w:pPr>
        <w:spacing w:before="80" w:after="120"/>
      </w:pPr>
      <w:r>
        <w:rPr>
          <w:rFonts w:ascii="Calibri" w:cs="Calibri" w:eastAsia="Calibri" w:hAnsi="Calibri"/>
          <w:color w:val="2C2C2C"/>
          <w:sz w:val="22"/>
          <w:szCs w:val="22"/>
        </w:rPr>
        <w:t xml:space="preserve">Across the board, outages are the biggest enemy of efficiency. When a unit goes offline — whether for planned maintenance or an unexpected breakdown — it has a massive impact on how much power the station can generate. This is confirmed by a very strong statistical correlation of -0.853. The lesson here is clear: if NTPC wants to improve, it needs to reduce outage frequency above everything else.</w:t>
      </w:r>
    </w:p>
    <w:p>
      <w:pPr>
        <w:spacing w:before="80" w:after="120"/>
      </w:pPr>
      <w:r>
        <w:rPr>
          <w:rFonts w:ascii="Calibri" w:cs="Calibri" w:eastAsia="Calibri" w:hAnsi="Calibri"/>
          <w:color w:val="2C2C2C"/>
          <w:sz w:val="22"/>
          <w:szCs w:val="22"/>
        </w:rPr>
        <w:t xml:space="preserve">The good news is that NTPC is heading in the right direction. The 2026 data is the best in 10 years, with 89.3% capacity use and only 11% outage rate. If NTPC follows through on modernization, better maintenance, and coal supply chain improvements, it has a real chance of consistently hitting 90%+ efficiency across its coal fleet — which would be a major achievement for India's energy security.</w:t>
      </w:r>
    </w:p>
    <w:p>
      <w:pPr>
        <w:spacing w:before="80" w:after="120"/>
      </w:pPr>
      <w:r>
        <w:rPr>
          <w:rFonts w:ascii="Calibri" w:cs="Calibri" w:eastAsia="Calibri" w:hAnsi="Calibri"/>
          <w:color w:val="2C2C2C"/>
          <w:sz w:val="22"/>
          <w:szCs w:val="22"/>
        </w:rPr>
        <w:t xml:space="preserve">This capstone project has given us valuable practice in real-world data analysis — from cleaning and exploring a large dataset to building a composite scoring model and drawing actionable insights. We hope these findings are useful for understanding how data can drive better decisions in the energy sector.</w:t>
      </w:r>
    </w:p>
    <w:p>
      <w:pPr>
        <w:spacing w:before="200" w:after="0"/>
      </w:pPr>
      <w:r>
        <w:t xml:space="preserve"/>
      </w:r>
    </w:p>
    <w:p>
      <w:pPr>
        <w:pBdr>
          <w:top w:val="single" w:color="2E9E80" w:sz="4" w:space="6"/>
        </w:pBdr>
        <w:spacing w:before="100" w:after="100"/>
        <w:jc w:val="center"/>
      </w:pPr>
      <w:r>
        <w:rPr>
          <w:rFonts w:ascii="Calibri" w:cs="Calibri" w:eastAsia="Calibri" w:hAnsi="Calibri"/>
          <w:sz w:val="22"/>
          <w:szCs w:val="22"/>
        </w:rPr>
        <w:t xml:space="preserve"> </w:t>
      </w:r>
    </w:p>
    <w:p>
      <w:pPr>
        <w:spacing w:before="60" w:after="0"/>
      </w:pPr>
      <w:r>
        <w:t xml:space="preserve"/>
      </w:r>
    </w:p>
    <w:p>
      <w:pPr>
        <w:jc w:val="center"/>
      </w:pPr>
      <w:r>
        <w:rPr>
          <w:rFonts w:ascii="Calibri" w:cs="Calibri" w:eastAsia="Calibri" w:hAnsi="Calibri"/>
          <w:b/>
          <w:bCs/>
          <w:color w:val="1B6B5A"/>
          <w:sz w:val="22"/>
          <w:szCs w:val="22"/>
        </w:rPr>
        <w:t xml:space="preserve">End of Report</w:t>
      </w:r>
    </w:p>
    <w:p>
      <w:pPr>
        <w:spacing w:before="60"/>
        <w:jc w:val="center"/>
      </w:pPr>
      <w:r>
        <w:rPr>
          <w:rFonts w:ascii="Calibri" w:cs="Calibri" w:eastAsia="Calibri" w:hAnsi="Calibri"/>
          <w:color w:val="555555"/>
          <w:sz w:val="18"/>
          <w:szCs w:val="18"/>
        </w:rPr>
        <w:t xml:space="preserve">DVA Capstone  |  NTPC Operational Efficiency Analysis  |  Data: 2017–2026</w:t>
      </w:r>
    </w:p>
    <w:p>
      <w:r>
        <w:br w:type="page"/>
      </w:r>
    </w:p>
    <w:p>
      <w:pPr>
        <w:pStyle w:val="Heading1"/>
        <w:pBdr>
          <w:bottom w:val="single" w:color="2E9E80" w:sz="6" w:space="6"/>
        </w:pBdr>
        <w:spacing w:before="360" w:after="140"/>
      </w:pPr>
      <w:r>
        <w:rPr>
          <w:rFonts w:ascii="Calibri" w:cs="Calibri" w:eastAsia="Calibri" w:hAnsi="Calibri"/>
          <w:b/>
          <w:bCs/>
          <w:color w:val="1B6B5A"/>
          <w:sz w:val="34"/>
          <w:szCs w:val="34"/>
        </w:rPr>
        <w:t xml:space="preserve">Appendix: Glossary of Terms</w:t>
      </w:r>
    </w:p>
    <w:p>
      <w:pPr>
        <w:spacing w:before="80" w:after="120"/>
      </w:pPr>
      <w:r>
        <w:rPr>
          <w:rFonts w:ascii="Calibri" w:cs="Calibri" w:eastAsia="Calibri" w:hAnsi="Calibri"/>
          <w:color w:val="2C2C2C"/>
          <w:sz w:val="22"/>
          <w:szCs w:val="22"/>
        </w:rPr>
        <w:t xml:space="preserve">Here is a quick reference guide for terms used in this report:</w:t>
      </w:r>
    </w:p>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tcBorders>
              <w:top w:val="single" w:color="1B6B5A" w:sz="1"/>
              <w:left w:val="single" w:color="1B6B5A" w:sz="1"/>
              <w:bottom w:val="single" w:color="1B6B5A" w:sz="1"/>
              <w:right w:val="single" w:color="1B6B5A" w:sz="1"/>
            </w:tcBorders>
            <w:shd w:fill="1B6B5A" w:val="clear"/>
            <w:tcMar>
              <w:top w:type="dxa" w:w="90"/>
              <w:left w:type="dxa" w:w="130"/>
              <w:bottom w:type="dxa" w:w="90"/>
              <w:right w:type="dxa" w:w="130"/>
            </w:tcMar>
            <w:vAlign w:val="center"/>
          </w:tcPr>
          <w:p>
            <w:pPr>
              <w:jc w:val="center"/>
            </w:pPr>
            <w:r>
              <w:rPr>
                <w:rFonts w:ascii="Calibri" w:cs="Calibri" w:eastAsia="Calibri" w:hAnsi="Calibri"/>
                <w:b/>
                <w:bCs/>
                <w:color w:val="FFFFFF"/>
                <w:sz w:val="20"/>
                <w:szCs w:val="20"/>
              </w:rPr>
              <w:t xml:space="preserve">Term</w:t>
            </w:r>
          </w:p>
        </w:tc>
        <w:tc>
          <w:tcPr>
            <w:tcW w:type="dxa" w:w="6600"/>
            <w:tcBorders>
              <w:top w:val="single" w:color="1B6B5A" w:sz="1"/>
              <w:left w:val="single" w:color="1B6B5A" w:sz="1"/>
              <w:bottom w:val="single" w:color="1B6B5A" w:sz="1"/>
              <w:right w:val="single" w:color="1B6B5A" w:sz="1"/>
            </w:tcBorders>
            <w:shd w:fill="1B6B5A" w:val="clear"/>
            <w:tcMar>
              <w:top w:type="dxa" w:w="90"/>
              <w:left w:type="dxa" w:w="130"/>
              <w:bottom w:type="dxa" w:w="90"/>
              <w:right w:type="dxa" w:w="130"/>
            </w:tcMar>
            <w:vAlign w:val="center"/>
          </w:tcPr>
          <w:p>
            <w:pPr>
              <w:jc w:val="center"/>
            </w:pPr>
            <w:r>
              <w:rPr>
                <w:rFonts w:ascii="Calibri" w:cs="Calibri" w:eastAsia="Calibri" w:hAnsi="Calibri"/>
                <w:b/>
                <w:bCs/>
                <w:color w:val="FFFFFF"/>
                <w:sz w:val="20"/>
                <w:szCs w:val="20"/>
              </w:rPr>
              <w:t xml:space="preserve">What It Means</w:t>
            </w:r>
          </w:p>
        </w:tc>
      </w:tr>
      <w:tr>
        <w:tc>
          <w:tcPr>
            <w:tcW w:type="dxa" w:w="24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r>
              <w:rPr>
                <w:rFonts w:ascii="Calibri" w:cs="Calibri" w:eastAsia="Calibri" w:hAnsi="Calibri"/>
                <w:b/>
                <w:bCs/>
                <w:color w:val="1B6B5A"/>
                <w:sz w:val="19"/>
                <w:szCs w:val="19"/>
              </w:rPr>
              <w:t xml:space="preserve">NTPC</w:t>
            </w:r>
          </w:p>
        </w:tc>
        <w:tc>
          <w:tcPr>
            <w:tcW w:type="dxa" w:w="66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r>
              <w:rPr>
                <w:rFonts w:ascii="Calibri" w:cs="Calibri" w:eastAsia="Calibri" w:hAnsi="Calibri"/>
                <w:b w:val="false"/>
                <w:bCs w:val="false"/>
                <w:color w:val="2C2C2C"/>
                <w:sz w:val="19"/>
                <w:szCs w:val="19"/>
              </w:rPr>
              <w:t xml:space="preserve">National Thermal Power Corporation — India's largest power generation company, owned by the central government.</w:t>
            </w:r>
          </w:p>
        </w:tc>
      </w:tr>
      <w:tr>
        <w:tc>
          <w:tcPr>
            <w:tcW w:type="dxa" w:w="24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r>
              <w:rPr>
                <w:rFonts w:ascii="Calibri" w:cs="Calibri" w:eastAsia="Calibri" w:hAnsi="Calibri"/>
                <w:b/>
                <w:bCs/>
                <w:color w:val="1B6B5A"/>
                <w:sz w:val="19"/>
                <w:szCs w:val="19"/>
              </w:rPr>
              <w:t xml:space="preserve">MW (Megawatt)</w:t>
            </w:r>
          </w:p>
        </w:tc>
        <w:tc>
          <w:tcPr>
            <w:tcW w:type="dxa" w:w="66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r>
              <w:rPr>
                <w:rFonts w:ascii="Calibri" w:cs="Calibri" w:eastAsia="Calibri" w:hAnsi="Calibri"/>
                <w:b w:val="false"/>
                <w:bCs w:val="false"/>
                <w:color w:val="2C2C2C"/>
                <w:sz w:val="19"/>
                <w:szCs w:val="19"/>
              </w:rPr>
              <w:t xml:space="preserve">A unit of power capacity. 1 MW can power about 800-1,000 homes. Most NTPC units range from 200 MW to 800 MW.</w:t>
            </w:r>
          </w:p>
        </w:tc>
      </w:tr>
      <w:tr>
        <w:tc>
          <w:tcPr>
            <w:tcW w:type="dxa" w:w="24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r>
              <w:rPr>
                <w:rFonts w:ascii="Calibri" w:cs="Calibri" w:eastAsia="Calibri" w:hAnsi="Calibri"/>
                <w:b/>
                <w:bCs/>
                <w:color w:val="1B6B5A"/>
                <w:sz w:val="19"/>
                <w:szCs w:val="19"/>
              </w:rPr>
              <w:t xml:space="preserve">MU (Million Units)</w:t>
            </w:r>
          </w:p>
        </w:tc>
        <w:tc>
          <w:tcPr>
            <w:tcW w:type="dxa" w:w="66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r>
              <w:rPr>
                <w:rFonts w:ascii="Calibri" w:cs="Calibri" w:eastAsia="Calibri" w:hAnsi="Calibri"/>
                <w:b w:val="false"/>
                <w:bCs w:val="false"/>
                <w:color w:val="2C2C2C"/>
                <w:sz w:val="19"/>
                <w:szCs w:val="19"/>
              </w:rPr>
              <w:t xml:space="preserve">A unit of electricity generation equal to 1,000 Megawatt-hours (MWh). This is what gets reported as actual daily generation.</w:t>
            </w:r>
          </w:p>
        </w:tc>
      </w:tr>
      <w:tr>
        <w:tc>
          <w:tcPr>
            <w:tcW w:type="dxa" w:w="24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r>
              <w:rPr>
                <w:rFonts w:ascii="Calibri" w:cs="Calibri" w:eastAsia="Calibri" w:hAnsi="Calibri"/>
                <w:b/>
                <w:bCs/>
                <w:color w:val="1B6B5A"/>
                <w:sz w:val="19"/>
                <w:szCs w:val="19"/>
              </w:rPr>
              <w:t xml:space="preserve">Capacity Utilization (%)</w:t>
            </w:r>
          </w:p>
        </w:tc>
        <w:tc>
          <w:tcPr>
            <w:tcW w:type="dxa" w:w="66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r>
              <w:rPr>
                <w:rFonts w:ascii="Calibri" w:cs="Calibri" w:eastAsia="Calibri" w:hAnsi="Calibri"/>
                <w:b w:val="false"/>
                <w:bCs w:val="false"/>
                <w:color w:val="2C2C2C"/>
                <w:sz w:val="19"/>
                <w:szCs w:val="19"/>
              </w:rPr>
              <w:t xml:space="preserve">Percentage of a station's total capacity that is actually available and working on a given day. Higher is better.</w:t>
            </w:r>
          </w:p>
        </w:tc>
      </w:tr>
      <w:tr>
        <w:tc>
          <w:tcPr>
            <w:tcW w:type="dxa" w:w="24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r>
              <w:rPr>
                <w:rFonts w:ascii="Calibri" w:cs="Calibri" w:eastAsia="Calibri" w:hAnsi="Calibri"/>
                <w:b/>
                <w:bCs/>
                <w:color w:val="1B6B5A"/>
                <w:sz w:val="19"/>
                <w:szCs w:val="19"/>
              </w:rPr>
              <w:t xml:space="preserve">CCPP</w:t>
            </w:r>
          </w:p>
        </w:tc>
        <w:tc>
          <w:tcPr>
            <w:tcW w:type="dxa" w:w="66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r>
              <w:rPr>
                <w:rFonts w:ascii="Calibri" w:cs="Calibri" w:eastAsia="Calibri" w:hAnsi="Calibri"/>
                <w:b w:val="false"/>
                <w:bCs w:val="false"/>
                <w:color w:val="2C2C2C"/>
                <w:sz w:val="19"/>
                <w:szCs w:val="19"/>
              </w:rPr>
              <w:t xml:space="preserve">Combined Cycle Power Plant — a gas-based plant that uses both gas and steam turbines. More efficient in theory, but dependent on gas supply.</w:t>
            </w:r>
          </w:p>
        </w:tc>
      </w:tr>
      <w:tr>
        <w:tc>
          <w:tcPr>
            <w:tcW w:type="dxa" w:w="24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r>
              <w:rPr>
                <w:rFonts w:ascii="Calibri" w:cs="Calibri" w:eastAsia="Calibri" w:hAnsi="Calibri"/>
                <w:b/>
                <w:bCs/>
                <w:color w:val="1B6B5A"/>
                <w:sz w:val="19"/>
                <w:szCs w:val="19"/>
              </w:rPr>
              <w:t xml:space="preserve">STPS</w:t>
            </w:r>
          </w:p>
        </w:tc>
        <w:tc>
          <w:tcPr>
            <w:tcW w:type="dxa" w:w="66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r>
              <w:rPr>
                <w:rFonts w:ascii="Calibri" w:cs="Calibri" w:eastAsia="Calibri" w:hAnsi="Calibri"/>
                <w:b w:val="false"/>
                <w:bCs w:val="false"/>
                <w:color w:val="2C2C2C"/>
                <w:sz w:val="19"/>
                <w:szCs w:val="19"/>
              </w:rPr>
              <w:t xml:space="preserve">Super Thermal Power Station — NTPC's name for its largest coal power plants (usually above 1,000 MW total capacity).</w:t>
            </w:r>
          </w:p>
        </w:tc>
      </w:tr>
      <w:tr>
        <w:tc>
          <w:tcPr>
            <w:tcW w:type="dxa" w:w="24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r>
              <w:rPr>
                <w:rFonts w:ascii="Calibri" w:cs="Calibri" w:eastAsia="Calibri" w:hAnsi="Calibri"/>
                <w:b/>
                <w:bCs/>
                <w:color w:val="1B6B5A"/>
                <w:sz w:val="19"/>
                <w:szCs w:val="19"/>
              </w:rPr>
              <w:t xml:space="preserve">Outage</w:t>
            </w:r>
          </w:p>
        </w:tc>
        <w:tc>
          <w:tcPr>
            <w:tcW w:type="dxa" w:w="66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r>
              <w:rPr>
                <w:rFonts w:ascii="Calibri" w:cs="Calibri" w:eastAsia="Calibri" w:hAnsi="Calibri"/>
                <w:b w:val="false"/>
                <w:bCs w:val="false"/>
                <w:color w:val="2C2C2C"/>
                <w:sz w:val="19"/>
                <w:szCs w:val="19"/>
              </w:rPr>
              <w:t xml:space="preserve">When part or all of a power plant unit is offline and not generating electricity, either due to breakdown or scheduled maintenance.</w:t>
            </w:r>
          </w:p>
        </w:tc>
      </w:tr>
      <w:tr>
        <w:tc>
          <w:tcPr>
            <w:tcW w:type="dxa" w:w="24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r>
              <w:rPr>
                <w:rFonts w:ascii="Calibri" w:cs="Calibri" w:eastAsia="Calibri" w:hAnsi="Calibri"/>
                <w:b/>
                <w:bCs/>
                <w:color w:val="1B6B5A"/>
                <w:sz w:val="19"/>
                <w:szCs w:val="19"/>
              </w:rPr>
              <w:t xml:space="preserve">Super Critical Stock</w:t>
            </w:r>
          </w:p>
        </w:tc>
        <w:tc>
          <w:tcPr>
            <w:tcW w:type="dxa" w:w="66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r>
              <w:rPr>
                <w:rFonts w:ascii="Calibri" w:cs="Calibri" w:eastAsia="Calibri" w:hAnsi="Calibri"/>
                <w:b w:val="false"/>
                <w:bCs w:val="false"/>
                <w:color w:val="2C2C2C"/>
                <w:sz w:val="19"/>
                <w:szCs w:val="19"/>
              </w:rPr>
              <w:t xml:space="preserve">When a station has less than 7 days of coal left. The CEA classifies this as an emergency level.</w:t>
            </w:r>
          </w:p>
        </w:tc>
      </w:tr>
      <w:tr>
        <w:tc>
          <w:tcPr>
            <w:tcW w:type="dxa" w:w="24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r>
              <w:rPr>
                <w:rFonts w:ascii="Calibri" w:cs="Calibri" w:eastAsia="Calibri" w:hAnsi="Calibri"/>
                <w:b/>
                <w:bCs/>
                <w:color w:val="1B6B5A"/>
                <w:sz w:val="19"/>
                <w:szCs w:val="19"/>
              </w:rPr>
              <w:t xml:space="preserve">Inefficiency Score</w:t>
            </w:r>
          </w:p>
        </w:tc>
        <w:tc>
          <w:tcPr>
            <w:tcW w:type="dxa" w:w="66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r>
              <w:rPr>
                <w:rFonts w:ascii="Calibri" w:cs="Calibri" w:eastAsia="Calibri" w:hAnsi="Calibri"/>
                <w:b w:val="false"/>
                <w:bCs w:val="false"/>
                <w:color w:val="2C2C2C"/>
                <w:sz w:val="19"/>
                <w:szCs w:val="19"/>
              </w:rPr>
              <w:t xml:space="preserve">A score created for this project that combines capacity underuse, outage frequency, and low coal stock into a single number. Higher score = more inefficient.</w:t>
            </w:r>
          </w:p>
        </w:tc>
      </w:tr>
      <w:tr>
        <w:tc>
          <w:tcPr>
            <w:tcW w:type="dxa" w:w="24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r>
              <w:rPr>
                <w:rFonts w:ascii="Calibri" w:cs="Calibri" w:eastAsia="Calibri" w:hAnsi="Calibri"/>
                <w:b/>
                <w:bCs/>
                <w:color w:val="1B6B5A"/>
                <w:sz w:val="19"/>
                <w:szCs w:val="19"/>
              </w:rPr>
              <w:t xml:space="preserve">Pearson Correlation (r)</w:t>
            </w:r>
          </w:p>
        </w:tc>
        <w:tc>
          <w:tcPr>
            <w:tcW w:type="dxa" w:w="66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r>
              <w:rPr>
                <w:rFonts w:ascii="Calibri" w:cs="Calibri" w:eastAsia="Calibri" w:hAnsi="Calibri"/>
                <w:b w:val="false"/>
                <w:bCs w:val="false"/>
                <w:color w:val="2C2C2C"/>
                <w:sz w:val="19"/>
                <w:szCs w:val="19"/>
              </w:rPr>
              <w:t xml:space="preserve">A statistical measure of how strongly two things are related. Values close to -1 or +1 mean a very strong relationship. Close to 0 means weak relationship.</w:t>
            </w:r>
          </w:p>
        </w:tc>
      </w:tr>
      <w:tr>
        <w:tc>
          <w:tcPr>
            <w:tcW w:type="dxa" w:w="24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r>
              <w:rPr>
                <w:rFonts w:ascii="Calibri" w:cs="Calibri" w:eastAsia="Calibri" w:hAnsi="Calibri"/>
                <w:b/>
                <w:bCs/>
                <w:color w:val="1B6B5A"/>
                <w:sz w:val="19"/>
                <w:szCs w:val="19"/>
              </w:rPr>
              <w:t xml:space="preserve">CEA</w:t>
            </w:r>
          </w:p>
        </w:tc>
        <w:tc>
          <w:tcPr>
            <w:tcW w:type="dxa" w:w="6600"/>
            <w:tcBorders>
              <w:top w:val="single" w:color="A8D5C8" w:sz="1"/>
              <w:left w:val="single" w:color="A8D5C8" w:sz="1"/>
              <w:bottom w:val="single" w:color="A8D5C8" w:sz="1"/>
              <w:right w:val="single" w:color="A8D5C8" w:sz="1"/>
            </w:tcBorders>
            <w:shd w:fill="F0F4F3" w:val="clear"/>
            <w:tcMar>
              <w:top w:type="dxa" w:w="90"/>
              <w:left w:type="dxa" w:w="130"/>
              <w:bottom w:type="dxa" w:w="90"/>
              <w:right w:type="dxa" w:w="130"/>
            </w:tcMar>
            <w:vAlign w:val="center"/>
          </w:tcPr>
          <w:p>
            <w:r>
              <w:rPr>
                <w:rFonts w:ascii="Calibri" w:cs="Calibri" w:eastAsia="Calibri" w:hAnsi="Calibri"/>
                <w:b w:val="false"/>
                <w:bCs w:val="false"/>
                <w:color w:val="2C2C2C"/>
                <w:sz w:val="19"/>
                <w:szCs w:val="19"/>
              </w:rPr>
              <w:t xml:space="preserve">Central Electricity Authority — the government body in India that sets guidelines and standards for the power sector, including minimum coal stock levels.</w:t>
            </w:r>
          </w:p>
        </w:tc>
      </w:tr>
      <w:tr>
        <w:tc>
          <w:tcPr>
            <w:tcW w:type="dxa" w:w="24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r>
              <w:rPr>
                <w:rFonts w:ascii="Calibri" w:cs="Calibri" w:eastAsia="Calibri" w:hAnsi="Calibri"/>
                <w:b/>
                <w:bCs/>
                <w:color w:val="1B6B5A"/>
                <w:sz w:val="19"/>
                <w:szCs w:val="19"/>
              </w:rPr>
              <w:t xml:space="preserve">Stranded Asset</w:t>
            </w:r>
          </w:p>
        </w:tc>
        <w:tc>
          <w:tcPr>
            <w:tcW w:type="dxa" w:w="6600"/>
            <w:tcBorders>
              <w:top w:val="single" w:color="A8D5C8" w:sz="1"/>
              <w:left w:val="single" w:color="A8D5C8" w:sz="1"/>
              <w:bottom w:val="single" w:color="A8D5C8" w:sz="1"/>
              <w:right w:val="single" w:color="A8D5C8" w:sz="1"/>
            </w:tcBorders>
            <w:shd w:fill="FFFFFF" w:val="clear"/>
            <w:tcMar>
              <w:top w:type="dxa" w:w="90"/>
              <w:left w:type="dxa" w:w="130"/>
              <w:bottom w:type="dxa" w:w="90"/>
              <w:right w:type="dxa" w:w="130"/>
            </w:tcMar>
            <w:vAlign w:val="center"/>
          </w:tcPr>
          <w:p>
            <w:r>
              <w:rPr>
                <w:rFonts w:ascii="Calibri" w:cs="Calibri" w:eastAsia="Calibri" w:hAnsi="Calibri"/>
                <w:b w:val="false"/>
                <w:bCs w:val="false"/>
                <w:color w:val="2C2C2C"/>
                <w:sz w:val="19"/>
                <w:szCs w:val="19"/>
              </w:rPr>
              <w:t xml:space="preserve">A power plant that has been built and paid for but cannot be run because the fuel it needs is not available. Most NTPC CCPPs are stranded assets.</w:t>
            </w:r>
          </w:p>
        </w:tc>
      </w:tr>
    </w:tbl>
    <w:sectPr>
      <w:headerReference w:type="default" r:id="rId6"/>
      <w:footerReference w:type="default" r:id="rId7"/>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9E80" w:sz="4" w:space="4"/>
      </w:pBdr>
      <w:tabs>
        <w:tab w:val="right" w:pos="9026"/>
      </w:tabs>
      <w:spacing w:before="80" w:after="0"/>
    </w:pPr>
    <w:r>
      <w:rPr>
        <w:rFonts w:ascii="Calibri" w:cs="Calibri" w:eastAsia="Calibri" w:hAnsi="Calibri"/>
        <w:color w:val="555555"/>
        <w:sz w:val="16"/>
        <w:szCs w:val="16"/>
      </w:rPr>
      <w:t xml:space="preserve">B.Tech / MBA Capstone  |  Data Visualization &amp; Analysis</w:t>
    </w:r>
    <w:r>
      <w:rPr>
        <w:rFonts w:ascii="Calibri" w:cs="Calibri" w:eastAsia="Calibri" w:hAnsi="Calibri"/>
        <w:color w:val="555555"/>
        <w:sz w:val="16"/>
        <w:szCs w:val="16"/>
      </w:rPr>
      <w:t xml:space="preserve">	Submitted for Academic Evaluation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9E80" w:sz="4" w:space="4"/>
      </w:pBdr>
      <w:tabs>
        <w:tab w:val="right" w:pos="9026"/>
      </w:tabs>
      <w:spacing w:before="0" w:after="80"/>
    </w:pPr>
    <w:r>
      <w:rPr>
        <w:rFonts w:ascii="Calibri" w:cs="Calibri" w:eastAsia="Calibri" w:hAnsi="Calibri"/>
        <w:color w:val="2E9E80"/>
        <w:sz w:val="18"/>
        <w:szCs w:val="18"/>
      </w:rPr>
      <w:t xml:space="preserve">DVA Capstone Project  |  NTPC Operational Efficiency Study</w:t>
    </w:r>
    <w:r>
      <w:rPr>
        <w:rFonts w:ascii="Calibri" w:cs="Calibri" w:eastAsia="Calibri" w:hAnsi="Calibri"/>
        <w:color w:val="555555"/>
        <w:sz w:val="18"/>
        <w:szCs w:val="18"/>
      </w:rPr>
      <w:t xml:space="preserve">	2017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40"/>
      <w:outlineLvl w:val="0"/>
    </w:pPr>
    <w:rPr>
      <w:rFonts w:ascii="Calibri" w:cs="Calibri" w:eastAsia="Calibri" w:hAnsi="Calibri"/>
      <w:b/>
      <w:bCs/>
      <w:color w:val="1B6B5A"/>
      <w:sz w:val="34"/>
      <w:szCs w:val="34"/>
    </w:rPr>
  </w:style>
  <w:style w:type="paragraph" w:styleId="Heading2">
    <w:name w:val="Heading 2"/>
    <w:basedOn w:val="Normal"/>
    <w:next w:val="Normal"/>
    <w:qFormat/>
    <w:pPr>
      <w:spacing w:before="240" w:after="100"/>
      <w:outlineLvl w:val="1"/>
    </w:pPr>
    <w:rPr>
      <w:rFonts w:ascii="Calibri" w:cs="Calibri" w:eastAsia="Calibri" w:hAnsi="Calibri"/>
      <w:b/>
      <w:bCs/>
      <w:color w:val="2E9E80"/>
      <w:sz w:val="26"/>
      <w:szCs w:val="26"/>
    </w:rPr>
  </w:style>
  <w:style w:type="paragraph" w:styleId="Heading3">
    <w:name w:val="Heading 3"/>
    <w:basedOn w:val="Normal"/>
    <w:next w:val="Normal"/>
    <w:qFormat/>
    <w:pPr>
      <w:spacing w:before="200" w:after="80"/>
      <w:outlineLvl w:val="2"/>
    </w:pPr>
    <w:rPr>
      <w:rFonts w:ascii="Calibri" w:cs="Calibri" w:eastAsia="Calibri" w:hAnsi="Calibri"/>
      <w:b/>
      <w:bCs/>
      <w:color w:val="1B6B5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2026-02-17T09:14:34.586Z</dcterms:created>
  <dcterms:modified xsi:type="dcterms:W3CDTF">2026-02-17T09:14:34.587Z</dcterms:modified>
</cp:coreProperties>
</file>

<file path=docProps/custom.xml><?xml version="1.0" encoding="utf-8"?>
<Properties xmlns="http://schemas.openxmlformats.org/officeDocument/2006/custom-properties" xmlns:vt="http://schemas.openxmlformats.org/officeDocument/2006/docPropsVTypes"/>
</file>