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RESIDENTIAL LEASE AGREEMENT</w:t>
      </w:r>
    </w:p>
    <w:p>
      <w:r>
        <w:br/>
        <w:t>This Residential Lease Agreement (“Agreement”) is made and executed on this 1st day of April 2026 at Jaipur, Rajasthan.</w:t>
        <w:br/>
        <w:br/>
        <w:t>BETWEEN</w:t>
        <w:br/>
        <w:br/>
        <w:t>Mr. Rajesh Sharma, son of Late Mohan Sharma, residing at 45 Civil Lines, Jaipur, Rajasthan, hereinafter referred to as the “Landlord” (which expression shall include his heirs, successors, and assigns);</w:t>
        <w:br/>
        <w:br/>
        <w:t>AND</w:t>
        <w:br/>
        <w:br/>
        <w:t>Mr. Aman Verma, son of Rakesh Verma, currently residing at 12 Green Park Apartments, Jaipur, Rajasthan, hereinafter referred to as the “Tenant”.</w:t>
        <w:br/>
        <w:br/>
        <w:t>The Landlord hereby agrees to lease the residential premises situated at:</w:t>
        <w:br/>
        <w:br/>
        <w:t>Flat No. 302, Sunrise Residency, Vaishali Nagar, Jaipur, Rajasthan</w:t>
        <w:br/>
        <w:br/>
        <w:t>to the Tenant under the following terms and conditions:</w:t>
        <w:br/>
        <w:br/>
        <w:t>1. LEASE TERM</w:t>
        <w:br/>
        <w:t>The lease shall commence on 1 April 2026 and remain valid for a period of 11 months, ending on 28 February 2027, unless terminated earlier in accordance with this Agreement.</w:t>
        <w:br/>
        <w:br/>
        <w:t>2. MONTHLY RENT</w:t>
        <w:br/>
        <w:t>The Tenant shall pay a monthly rent of ₹28,000 (Rupees Twenty-Eight Thousand only), payable on or before the 5th day of every month.</w:t>
        <w:br/>
        <w:br/>
        <w:t>3. ANNUAL RENT INCREASE</w:t>
        <w:br/>
        <w:t>Upon renewal of the lease, the monthly rent shall automatically increase by 18% per year over the previous year’s rent.</w:t>
        <w:br/>
        <w:br/>
        <w:t>4. SECURITY DEPOSIT</w:t>
        <w:br/>
        <w:t>The Tenant shall pay a refundable security deposit of ₹84,000 equivalent to three months’ rent.</w:t>
        <w:br/>
        <w:br/>
        <w:t>The security deposit shall be refunded within 60 days after vacating the premises, subject to deductions for damages, unpaid dues, or repairs.</w:t>
        <w:br/>
        <w:br/>
        <w:t>5. MAINTENANCE &amp; UTILITIES</w:t>
        <w:br/>
        <w:t>- Electricity, water, internet, and gas charges shall be borne by the Tenant.</w:t>
        <w:br/>
        <w:t>- Society maintenance charges shall be paid by the Tenant.</w:t>
        <w:br/>
        <w:t>- Any structural repairs shall be the responsibility of the Landlord.</w:t>
        <w:br/>
        <w:br/>
        <w:t>6. USE OF PREMISES</w:t>
        <w:br/>
        <w:t>The premises shall be used strictly for residential purposes only.</w:t>
        <w:br/>
        <w:br/>
        <w:t>The Tenant shall not:</w:t>
        <w:br/>
        <w:t>- Use the premises for commercial activities;</w:t>
        <w:br/>
        <w:t>- Create nuisance or disturbance to neighbors;</w:t>
        <w:br/>
        <w:t>- Keep pets without prior written permission from the Landlord.</w:t>
        <w:br/>
        <w:br/>
        <w:t>7. TERMINATION</w:t>
        <w:br/>
        <w:t>Either party may terminate this Agreement by giving 30 days’ written notice to the other party.</w:t>
        <w:br/>
        <w:br/>
        <w:t>If the Tenant vacates the premises before completion of the lock-in period of 6 months, the security deposit may be forfeited partially or fully at the Landlord’s discretion.</w:t>
        <w:br/>
        <w:br/>
        <w:t>8. ENTRY BY LANDLORD</w:t>
        <w:br/>
        <w:t>The Landlord may enter the premises for inspection, repairs, or maintenance by giving at least 24 hours prior notice to the Tenant.</w:t>
        <w:br/>
        <w:br/>
        <w:t>9. SUBLETTING</w:t>
        <w:br/>
        <w:t>The Tenant shall not sublet or assign the premises to any other person without prior written consent of the Landlord.</w:t>
        <w:br/>
        <w:br/>
        <w:t>10. GOVERNING LAW</w:t>
        <w:br/>
        <w:t>This Agreement shall be governed by and interpreted in accordance with the laws of India and subject to the jurisdiction of the courts in Jaipur, Rajasthan.</w:t>
        <w:br/>
        <w:br/>
        <w:t>LANDLORD</w:t>
        <w:br/>
        <w:br/>
        <w:t>Signature: ___________________</w:t>
        <w:br/>
        <w:br/>
        <w:t>Name: Rajesh Sharma</w:t>
        <w:br/>
        <w:br/>
        <w:t>TENANT</w:t>
        <w:br/>
        <w:br/>
        <w:t>Signature: ___________________</w:t>
        <w:br/>
        <w:br/>
        <w:t>Name: Aman Verma</w:t>
        <w:br/>
        <w:br/>
        <w:t>WITNESSES</w:t>
        <w:br/>
        <w:br/>
        <w:t>1. ___________________</w:t>
        <w:br/>
        <w:br/>
        <w:t>2. 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