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Alternative Embedding Approaches &amp; Trade-offs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Summary of Approach</w:t>
            </w:r>
          </w:p>
        </w:tc>
        <w:tc>
          <w:tcPr>
            <w:tcW w:type="dxa" w:w="2160"/>
          </w:tcPr>
          <w:p>
            <w:r>
              <w:t>Strengths</w:t>
            </w:r>
          </w:p>
        </w:tc>
        <w:tc>
          <w:tcPr>
            <w:tcW w:type="dxa" w:w="2160"/>
          </w:tcPr>
          <w:p>
            <w:r>
              <w:t>Trade-offs / Limitations</w:t>
            </w:r>
          </w:p>
        </w:tc>
      </w:tr>
      <w:tr>
        <w:tc>
          <w:tcPr>
            <w:tcW w:type="dxa" w:w="2160"/>
          </w:tcPr>
          <w:p>
            <w:r>
              <w:t>Current Approach (Chosen)</w:t>
            </w:r>
          </w:p>
        </w:tc>
        <w:tc>
          <w:tcPr>
            <w:tcW w:type="dxa" w:w="2160"/>
          </w:tcPr>
          <w:p>
            <w:r>
              <w:t>ME2Vec utilization embeddings → attention refinement → multi-tower combination.</w:t>
            </w:r>
          </w:p>
        </w:tc>
        <w:tc>
          <w:tcPr>
            <w:tcW w:type="dxa" w:w="2160"/>
          </w:tcPr>
          <w:p>
            <w:r>
              <w:t>Stable, scalable, simpler to operationalize; grounded in utilization patterns.</w:t>
            </w:r>
          </w:p>
        </w:tc>
        <w:tc>
          <w:tcPr>
            <w:tcW w:type="dxa" w:w="2160"/>
          </w:tcPr>
          <w:p>
            <w:r>
              <w:t>Less expressive than deep generative models; no temporal dynamics.</w:t>
            </w:r>
          </w:p>
        </w:tc>
      </w:tr>
      <w:tr>
        <w:tc>
          <w:tcPr>
            <w:tcW w:type="dxa" w:w="2160"/>
          </w:tcPr>
          <w:p>
            <w:r>
              <w:t>JMVAE Family</w:t>
            </w:r>
          </w:p>
        </w:tc>
        <w:tc>
          <w:tcPr>
            <w:tcW w:type="dxa" w:w="2160"/>
          </w:tcPr>
          <w:p>
            <w:r>
              <w:t>Multi-modal VAEs with 2–3 input types and multiple losses.</w:t>
            </w:r>
          </w:p>
        </w:tc>
        <w:tc>
          <w:tcPr>
            <w:tcW w:type="dxa" w:w="2160"/>
          </w:tcPr>
          <w:p>
            <w:r>
              <w:t>Rich fusion; good for supervised/semi-supervised learning.</w:t>
            </w:r>
          </w:p>
        </w:tc>
        <w:tc>
          <w:tcPr>
            <w:tcW w:type="dxa" w:w="2160"/>
          </w:tcPr>
          <w:p>
            <w:r>
              <w:t>Complex; heavy compute; harder to tune.</w:t>
            </w:r>
          </w:p>
        </w:tc>
      </w:tr>
      <w:tr>
        <w:tc>
          <w:tcPr>
            <w:tcW w:type="dxa" w:w="2160"/>
          </w:tcPr>
          <w:p>
            <w:r>
              <w:t>Hierarchical / Multi-Tower VAE</w:t>
            </w:r>
          </w:p>
        </w:tc>
        <w:tc>
          <w:tcPr>
            <w:tcW w:type="dxa" w:w="2160"/>
          </w:tcPr>
          <w:p>
            <w:r>
              <w:t>Separate VAEs for procedures &amp; diagnoses + structured towers.</w:t>
            </w:r>
          </w:p>
        </w:tc>
        <w:tc>
          <w:tcPr>
            <w:tcW w:type="dxa" w:w="2160"/>
          </w:tcPr>
          <w:p>
            <w:r>
              <w:t>Modular; strong compression.</w:t>
            </w:r>
          </w:p>
        </w:tc>
        <w:tc>
          <w:tcPr>
            <w:tcW w:type="dxa" w:w="2160"/>
          </w:tcPr>
          <w:p>
            <w:r>
              <w:t>Most complex; highest engineering overhead.</w:t>
            </w:r>
          </w:p>
        </w:tc>
      </w:tr>
      <w:tr>
        <w:tc>
          <w:tcPr>
            <w:tcW w:type="dxa" w:w="2160"/>
          </w:tcPr>
          <w:p>
            <w:r>
              <w:t>Graph Autoencoders (GAE / VGAE)</w:t>
            </w:r>
          </w:p>
        </w:tc>
        <w:tc>
          <w:tcPr>
            <w:tcW w:type="dxa" w:w="2160"/>
          </w:tcPr>
          <w:p>
            <w:r>
              <w:t>Provider–code bipartite graph modeling with message passing.</w:t>
            </w:r>
          </w:p>
        </w:tc>
        <w:tc>
          <w:tcPr>
            <w:tcW w:type="dxa" w:w="2160"/>
          </w:tcPr>
          <w:p>
            <w:r>
              <w:t>Strong relational modeling.</w:t>
            </w:r>
          </w:p>
        </w:tc>
        <w:tc>
          <w:tcPr>
            <w:tcW w:type="dxa" w:w="2160"/>
          </w:tcPr>
          <w:p>
            <w:r>
              <w:t>Requires graph infrastructure; less general-purpose.</w:t>
            </w:r>
          </w:p>
        </w:tc>
      </w:tr>
      <w:tr>
        <w:tc>
          <w:tcPr>
            <w:tcW w:type="dxa" w:w="2160"/>
          </w:tcPr>
          <w:p>
            <w:r>
              <w:t>Treatment GNN</w:t>
            </w:r>
          </w:p>
        </w:tc>
        <w:tc>
          <w:tcPr>
            <w:tcW w:type="dxa" w:w="2160"/>
          </w:tcPr>
          <w:p>
            <w:r>
              <w:t>Deep GNN with link prediction + hard negatives.</w:t>
            </w:r>
          </w:p>
        </w:tc>
        <w:tc>
          <w:tcPr>
            <w:tcW w:type="dxa" w:w="2160"/>
          </w:tcPr>
          <w:p>
            <w:r>
              <w:t>Expressive; strong for relational substitution.</w:t>
            </w:r>
          </w:p>
        </w:tc>
        <w:tc>
          <w:tcPr>
            <w:tcW w:type="dxa" w:w="2160"/>
          </w:tcPr>
          <w:p>
            <w:r>
              <w:t>Heavy compute; niche use.</w:t>
            </w:r>
          </w:p>
        </w:tc>
      </w:tr>
      <w:tr>
        <w:tc>
          <w:tcPr>
            <w:tcW w:type="dxa" w:w="2160"/>
          </w:tcPr>
          <w:p>
            <w:r>
              <w:t>Compression Networks / Metric Learning</w:t>
            </w:r>
          </w:p>
        </w:tc>
        <w:tc>
          <w:tcPr>
            <w:tcW w:type="dxa" w:w="2160"/>
          </w:tcPr>
          <w:p>
            <w:r>
              <w:t>Triplet/contrastive/prototype models for refinement.</w:t>
            </w:r>
          </w:p>
        </w:tc>
        <w:tc>
          <w:tcPr>
            <w:tcW w:type="dxa" w:w="2160"/>
          </w:tcPr>
          <w:p>
            <w:r>
              <w:t>Compact, separable latent vectors.</w:t>
            </w:r>
          </w:p>
        </w:tc>
        <w:tc>
          <w:tcPr>
            <w:tcW w:type="dxa" w:w="2160"/>
          </w:tcPr>
          <w:p>
            <w:r>
              <w:t>Needs labeled specialties; extra training stage.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