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18"/>
      </w:tblGrid>
      <w:tr>
        <w:trPr>
          <w:trHeight w:val="5200" w:hRule="atLeast"/>
        </w:trPr>
        <w:tc>
          <w:tcPr>
            <w:tcW w:type="dxa" w:w="10318"/>
            <w:tcBorders>
              <w:top w:val="none" w:color="FFFFFF" w:sz="0"/>
              <w:left w:val="none" w:color="FFFFFF" w:sz="0"/>
              <w:bottom w:val="none" w:color="FFFFFF" w:sz="0"/>
              <w:right w:val="none" w:color="FFFFFF" w:sz="0"/>
            </w:tcBorders>
            <w:shd w:fill="1F3A5F" w:color="auto" w:val="clear"/>
            <w:tcMar>
              <w:top w:type="dxa" w:w="400"/>
              <w:left w:type="dxa" w:w="110"/>
              <w:bottom w:type="dxa" w:w="400"/>
              <w:right w:type="dxa" w:w="110"/>
            </w:tcMar>
            <w:vAlign w:val="top"/>
          </w:tcPr>
          <w:p>
            <w:pPr>
              <w:spacing w:after="300" w:before="400" w:line="252"/>
            </w:pPr>
            <w:r>
              <w:rPr>
                <w:rFonts w:ascii="Arial" w:cs="Arial" w:eastAsia="Arial" w:hAnsi="Arial"/>
                <w:b/>
                <w:bCs/>
                <w:color w:val="F6C27A"/>
                <w:sz w:val="20"/>
                <w:szCs w:val="20"/>
              </w:rPr>
              <w:t xml:space="preserve">PROPOSAL FOR DISCUSSION</w:t>
            </w:r>
          </w:p>
          <w:p>
            <w:pPr>
              <w:spacing w:after="120" w:before="0" w:line="300"/>
            </w:pPr>
            <w:r>
              <w:rPr>
                <w:rFonts w:ascii="Arial" w:cs="Arial" w:eastAsia="Arial" w:hAnsi="Arial"/>
                <w:b/>
                <w:bCs/>
                <w:color w:val="FFFFFF"/>
                <w:sz w:val="56"/>
                <w:szCs w:val="56"/>
              </w:rPr>
              <w:t xml:space="preserve">Shilpa Shakti Digital Stack</w:t>
            </w:r>
          </w:p>
          <w:p>
            <w:pPr>
              <w:spacing w:after="360" w:before="0" w:line="320"/>
            </w:pPr>
            <w:r>
              <w:rPr>
                <w:rFonts w:ascii="Arial" w:cs="Arial" w:eastAsia="Arial" w:hAnsi="Arial"/>
                <w:color w:val="DCE6F2"/>
                <w:sz w:val="28"/>
                <w:szCs w:val="28"/>
              </w:rPr>
              <w:t xml:space="preserve">Six technology initiatives to speed up investment, jobs and ease of doing business in West Bengal</w:t>
            </w:r>
          </w:p>
          <w:p>
            <w:pPr>
              <w:spacing w:after="80" w:before="0" w:line="252"/>
            </w:pPr>
            <w:r>
              <w:rPr>
                <w:rFonts w:ascii="Arial" w:cs="Arial" w:eastAsia="Arial" w:hAnsi="Arial"/>
                <w:color w:val="B8C7DA"/>
                <w:sz w:val="21"/>
                <w:szCs w:val="21"/>
              </w:rPr>
              <w:t xml:space="preserve">Prepared for: </w:t>
            </w:r>
            <w:r>
              <w:rPr>
                <w:rFonts w:ascii="Arial" w:cs="Arial" w:eastAsia="Arial" w:hAnsi="Arial"/>
                <w:b/>
                <w:bCs/>
                <w:color w:val="FFFFFF"/>
                <w:sz w:val="21"/>
                <w:szCs w:val="21"/>
              </w:rPr>
              <w:t xml:space="preserve">Department of Industry, Commerce &amp; Enterprises, Government of West Bengal</w:t>
            </w:r>
          </w:p>
          <w:p>
            <w:pPr>
              <w:spacing w:after="300" w:before="0" w:line="252"/>
            </w:pPr>
            <w:r>
              <w:rPr>
                <w:rFonts w:ascii="Arial" w:cs="Arial" w:eastAsia="Arial" w:hAnsi="Arial"/>
                <w:color w:val="B8C7DA"/>
                <w:sz w:val="21"/>
                <w:szCs w:val="21"/>
              </w:rPr>
              <w:t xml:space="preserve">Prepared by: </w:t>
            </w:r>
            <w:r>
              <w:rPr>
                <w:rFonts w:ascii="Arial" w:cs="Arial" w:eastAsia="Arial" w:hAnsi="Arial"/>
                <w:b/>
                <w:bCs/>
                <w:color w:val="FFFFFF"/>
                <w:sz w:val="21"/>
                <w:szCs w:val="21"/>
              </w:rPr>
              <w:t xml:space="preserve">[Company Name]</w:t>
            </w:r>
            <w:r>
              <w:rPr>
                <w:rFonts w:ascii="Arial" w:cs="Arial" w:eastAsia="Arial" w:hAnsi="Arial"/>
                <w:color w:val="B8C7DA"/>
                <w:sz w:val="21"/>
                <w:szCs w:val="21"/>
              </w:rPr>
              <w:t xml:space="preserve">  ·  Kolkata  ·  September 2026</w:t>
            </w:r>
          </w:p>
        </w:tc>
      </w:tr>
    </w:tbl>
    <w:p>
      <w:pPr>
        <w:spacing w:after="240" w:before="0" w:line="252"/>
      </w:pPr>
      <w:r>
        <w:rPr>
          <w:rFonts w:ascii="Arial" w:cs="Arial" w:eastAsia="Arial" w:hAnsi="Arial"/>
          <w:color w:val="1F2937"/>
          <w:sz w:val="19"/>
          <w:szCs w:val="19"/>
        </w:rPr>
        <w:t xml:space="preserve"/>
      </w:r>
    </w:p>
    <w:p>
      <w:pPr>
        <w:spacing w:after="120" w:before="0" w:line="252"/>
      </w:pPr>
      <w:r>
        <w:rPr>
          <w:rFonts w:ascii="Arial" w:cs="Arial" w:eastAsia="Arial" w:hAnsi="Arial"/>
          <w:b/>
          <w:bCs/>
          <w:color w:val="B45309"/>
          <w:sz w:val="20"/>
          <w:szCs w:val="20"/>
        </w:rPr>
        <w:t xml:space="preserve">THE SIX INITIATIVES</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9418"/>
      </w:tblGrid>
      <w:tr>
        <w:tc>
          <w:tcPr>
            <w:tcW w:type="dxa" w:w="900"/>
            <w:tcBorders>
              <w:top w:val="none" w:color="FFFFFF" w:sz="0"/>
              <w:left w:val="none" w:color="FFFFFF" w:sz="0"/>
              <w:bottom w:val="single" w:color="CBD5E1" w:sz="4"/>
              <w:right w:val="none" w:color="FFFFFF" w:sz="0"/>
            </w:tcBorders>
            <w:tcMar>
              <w:top w:type="dxa" w:w="70"/>
              <w:left w:type="dxa" w:w="110"/>
              <w:bottom w:type="dxa" w:w="70"/>
              <w:right w:type="dxa" w:w="110"/>
            </w:tcMar>
            <w:vAlign w:val="center"/>
          </w:tcPr>
          <w:p>
            <w:pPr>
              <w:spacing w:after="0" w:before="0" w:line="252"/>
            </w:pPr>
            <w:r>
              <w:rPr>
                <w:rFonts w:ascii="Arial" w:cs="Arial" w:eastAsia="Arial" w:hAnsi="Arial"/>
                <w:b/>
                <w:bCs/>
                <w:color w:val="B45309"/>
                <w:sz w:val="30"/>
                <w:szCs w:val="30"/>
              </w:rPr>
              <w:t xml:space="preserve">01</w:t>
            </w:r>
          </w:p>
        </w:tc>
        <w:tc>
          <w:tcPr>
            <w:tcW w:type="dxa" w:w="9418"/>
            <w:tcBorders>
              <w:top w:val="none" w:color="FFFFFF" w:sz="0"/>
              <w:left w:val="none" w:color="FFFFFF" w:sz="0"/>
              <w:bottom w:val="single" w:color="CBD5E1" w:sz="4"/>
              <w:right w:val="none" w:color="FFFFFF" w:sz="0"/>
            </w:tcBorders>
            <w:tcMar>
              <w:top w:type="dxa" w:w="70"/>
              <w:left w:type="dxa" w:w="110"/>
              <w:bottom w:type="dxa" w:w="70"/>
              <w:right w:type="dxa" w:w="110"/>
            </w:tcMar>
            <w:vAlign w:val="top"/>
          </w:tcPr>
          <w:p>
            <w:pPr>
              <w:spacing w:after="20" w:before="0" w:line="252"/>
            </w:pPr>
            <w:r>
              <w:rPr>
                <w:rFonts w:ascii="Arial" w:cs="Arial" w:eastAsia="Arial" w:hAnsi="Arial"/>
                <w:b/>
                <w:bCs/>
                <w:color w:val="1F3A5F"/>
                <w:sz w:val="23"/>
                <w:szCs w:val="23"/>
              </w:rPr>
              <w:t xml:space="preserve">Nivesh Setu</w:t>
            </w:r>
            <w:r>
              <w:rPr>
                <w:rFonts w:ascii="Arial" w:cs="Arial" w:eastAsia="Arial" w:hAnsi="Arial"/>
                <w:color w:val="5B6472"/>
                <w:sz w:val="19"/>
                <w:szCs w:val="19"/>
              </w:rPr>
              <w:t xml:space="preserve">  ·  Investor Lifecycle &amp; MoU-to-Ground Tracker</w:t>
            </w:r>
          </w:p>
          <w:p>
            <w:pPr>
              <w:spacing w:after="0" w:before="0" w:line="252"/>
            </w:pPr>
            <w:r>
              <w:rPr>
                <w:rFonts w:ascii="Arial" w:cs="Arial" w:eastAsia="Arial" w:hAnsi="Arial"/>
                <w:i/>
                <w:iCs/>
                <w:color w:val="1F2937"/>
                <w:sz w:val="18"/>
                <w:szCs w:val="18"/>
              </w:rPr>
              <w:t xml:space="preserve">Every rupee promised to Bengal, tracked until it becomes a factory and a payroll.</w:t>
            </w:r>
          </w:p>
        </w:tc>
      </w:tr>
      <w:tr>
        <w:tc>
          <w:tcPr>
            <w:tcW w:type="dxa" w:w="900"/>
            <w:tcBorders>
              <w:top w:val="none" w:color="FFFFFF" w:sz="0"/>
              <w:left w:val="none" w:color="FFFFFF" w:sz="0"/>
              <w:bottom w:val="single" w:color="CBD5E1" w:sz="4"/>
              <w:right w:val="none" w:color="FFFFFF" w:sz="0"/>
            </w:tcBorders>
            <w:tcMar>
              <w:top w:type="dxa" w:w="70"/>
              <w:left w:type="dxa" w:w="110"/>
              <w:bottom w:type="dxa" w:w="70"/>
              <w:right w:type="dxa" w:w="110"/>
            </w:tcMar>
            <w:vAlign w:val="center"/>
          </w:tcPr>
          <w:p>
            <w:pPr>
              <w:spacing w:after="0" w:before="0" w:line="252"/>
            </w:pPr>
            <w:r>
              <w:rPr>
                <w:rFonts w:ascii="Arial" w:cs="Arial" w:eastAsia="Arial" w:hAnsi="Arial"/>
                <w:b/>
                <w:bCs/>
                <w:color w:val="B45309"/>
                <w:sz w:val="30"/>
                <w:szCs w:val="30"/>
              </w:rPr>
              <w:t xml:space="preserve">02</w:t>
            </w:r>
          </w:p>
        </w:tc>
        <w:tc>
          <w:tcPr>
            <w:tcW w:type="dxa" w:w="9418"/>
            <w:tcBorders>
              <w:top w:val="none" w:color="FFFFFF" w:sz="0"/>
              <w:left w:val="none" w:color="FFFFFF" w:sz="0"/>
              <w:bottom w:val="single" w:color="CBD5E1" w:sz="4"/>
              <w:right w:val="none" w:color="FFFFFF" w:sz="0"/>
            </w:tcBorders>
            <w:tcMar>
              <w:top w:type="dxa" w:w="70"/>
              <w:left w:type="dxa" w:w="110"/>
              <w:bottom w:type="dxa" w:w="70"/>
              <w:right w:type="dxa" w:w="110"/>
            </w:tcMar>
            <w:vAlign w:val="top"/>
          </w:tcPr>
          <w:p>
            <w:pPr>
              <w:spacing w:after="20" w:before="0" w:line="252"/>
            </w:pPr>
            <w:r>
              <w:rPr>
                <w:rFonts w:ascii="Arial" w:cs="Arial" w:eastAsia="Arial" w:hAnsi="Arial"/>
                <w:b/>
                <w:bCs/>
                <w:color w:val="1F3A5F"/>
                <w:sz w:val="23"/>
                <w:szCs w:val="23"/>
              </w:rPr>
              <w:t xml:space="preserve">Shilpa Bhumi</w:t>
            </w:r>
            <w:r>
              <w:rPr>
                <w:rFonts w:ascii="Arial" w:cs="Arial" w:eastAsia="Arial" w:hAnsi="Arial"/>
                <w:color w:val="5B6472"/>
                <w:sz w:val="19"/>
                <w:szCs w:val="19"/>
              </w:rPr>
              <w:t xml:space="preserve">  ·  Industrial Land Intelligence &amp; Closed-Factory Revival Grid</w:t>
            </w:r>
          </w:p>
          <w:p>
            <w:pPr>
              <w:spacing w:after="0" w:before="0" w:line="252"/>
            </w:pPr>
            <w:r>
              <w:rPr>
                <w:rFonts w:ascii="Arial" w:cs="Arial" w:eastAsia="Arial" w:hAnsi="Arial"/>
                <w:i/>
                <w:iCs/>
                <w:color w:val="1F2937"/>
                <w:sz w:val="18"/>
                <w:szCs w:val="18"/>
              </w:rPr>
              <w:t xml:space="preserve">Know every industrial acre: who owns it, whether it is clean, and whether it is being used.</w:t>
            </w:r>
          </w:p>
        </w:tc>
      </w:tr>
      <w:tr>
        <w:tc>
          <w:tcPr>
            <w:tcW w:type="dxa" w:w="900"/>
            <w:tcBorders>
              <w:top w:val="none" w:color="FFFFFF" w:sz="0"/>
              <w:left w:val="none" w:color="FFFFFF" w:sz="0"/>
              <w:bottom w:val="single" w:color="CBD5E1" w:sz="4"/>
              <w:right w:val="none" w:color="FFFFFF" w:sz="0"/>
            </w:tcBorders>
            <w:tcMar>
              <w:top w:type="dxa" w:w="70"/>
              <w:left w:type="dxa" w:w="110"/>
              <w:bottom w:type="dxa" w:w="70"/>
              <w:right w:type="dxa" w:w="110"/>
            </w:tcMar>
            <w:vAlign w:val="center"/>
          </w:tcPr>
          <w:p>
            <w:pPr>
              <w:spacing w:after="0" w:before="0" w:line="252"/>
            </w:pPr>
            <w:r>
              <w:rPr>
                <w:rFonts w:ascii="Arial" w:cs="Arial" w:eastAsia="Arial" w:hAnsi="Arial"/>
                <w:b/>
                <w:bCs/>
                <w:color w:val="B45309"/>
                <w:sz w:val="30"/>
                <w:szCs w:val="30"/>
              </w:rPr>
              <w:t xml:space="preserve">03</w:t>
            </w:r>
          </w:p>
        </w:tc>
        <w:tc>
          <w:tcPr>
            <w:tcW w:type="dxa" w:w="9418"/>
            <w:tcBorders>
              <w:top w:val="none" w:color="FFFFFF" w:sz="0"/>
              <w:left w:val="none" w:color="FFFFFF" w:sz="0"/>
              <w:bottom w:val="single" w:color="CBD5E1" w:sz="4"/>
              <w:right w:val="none" w:color="FFFFFF" w:sz="0"/>
            </w:tcBorders>
            <w:tcMar>
              <w:top w:type="dxa" w:w="70"/>
              <w:left w:type="dxa" w:w="110"/>
              <w:bottom w:type="dxa" w:w="70"/>
              <w:right w:type="dxa" w:w="110"/>
            </w:tcMar>
            <w:vAlign w:val="top"/>
          </w:tcPr>
          <w:p>
            <w:pPr>
              <w:spacing w:after="20" w:before="0" w:line="252"/>
            </w:pPr>
            <w:r>
              <w:rPr>
                <w:rFonts w:ascii="Arial" w:cs="Arial" w:eastAsia="Arial" w:hAnsi="Arial"/>
                <w:b/>
                <w:bCs/>
                <w:color w:val="1F3A5F"/>
                <w:sz w:val="23"/>
                <w:szCs w:val="23"/>
              </w:rPr>
              <w:t xml:space="preserve">Silpa Sathi 2.0</w:t>
            </w:r>
            <w:r>
              <w:rPr>
                <w:rFonts w:ascii="Arial" w:cs="Arial" w:eastAsia="Arial" w:hAnsi="Arial"/>
                <w:color w:val="5B6472"/>
                <w:sz w:val="19"/>
                <w:szCs w:val="19"/>
              </w:rPr>
              <w:t xml:space="preserve">  ·  Smart Clearance Engine: Rules-as-Code + Deemed-Approval Clock</w:t>
            </w:r>
          </w:p>
          <w:p>
            <w:pPr>
              <w:spacing w:after="0" w:before="0" w:line="252"/>
            </w:pPr>
            <w:r>
              <w:rPr>
                <w:rFonts w:ascii="Arial" w:cs="Arial" w:eastAsia="Arial" w:hAnsi="Arial"/>
                <w:i/>
                <w:iCs/>
                <w:color w:val="1F2937"/>
                <w:sz w:val="18"/>
                <w:szCs w:val="18"/>
              </w:rPr>
              <w:t xml:space="preserve">Approvals in days, not months, with every decision explainable and every officer protected.</w:t>
            </w:r>
          </w:p>
        </w:tc>
      </w:tr>
      <w:tr>
        <w:tc>
          <w:tcPr>
            <w:tcW w:type="dxa" w:w="900"/>
            <w:tcBorders>
              <w:top w:val="none" w:color="FFFFFF" w:sz="0"/>
              <w:left w:val="none" w:color="FFFFFF" w:sz="0"/>
              <w:bottom w:val="single" w:color="CBD5E1" w:sz="4"/>
              <w:right w:val="none" w:color="FFFFFF" w:sz="0"/>
            </w:tcBorders>
            <w:tcMar>
              <w:top w:type="dxa" w:w="70"/>
              <w:left w:type="dxa" w:w="110"/>
              <w:bottom w:type="dxa" w:w="70"/>
              <w:right w:type="dxa" w:w="110"/>
            </w:tcMar>
            <w:vAlign w:val="center"/>
          </w:tcPr>
          <w:p>
            <w:pPr>
              <w:spacing w:after="0" w:before="0" w:line="252"/>
            </w:pPr>
            <w:r>
              <w:rPr>
                <w:rFonts w:ascii="Arial" w:cs="Arial" w:eastAsia="Arial" w:hAnsi="Arial"/>
                <w:b/>
                <w:bCs/>
                <w:color w:val="B45309"/>
                <w:sz w:val="30"/>
                <w:szCs w:val="30"/>
              </w:rPr>
              <w:t xml:space="preserve">04</w:t>
            </w:r>
          </w:p>
        </w:tc>
        <w:tc>
          <w:tcPr>
            <w:tcW w:type="dxa" w:w="9418"/>
            <w:tcBorders>
              <w:top w:val="none" w:color="FFFFFF" w:sz="0"/>
              <w:left w:val="none" w:color="FFFFFF" w:sz="0"/>
              <w:bottom w:val="single" w:color="CBD5E1" w:sz="4"/>
              <w:right w:val="none" w:color="FFFFFF" w:sz="0"/>
            </w:tcBorders>
            <w:tcMar>
              <w:top w:type="dxa" w:w="70"/>
              <w:left w:type="dxa" w:w="110"/>
              <w:bottom w:type="dxa" w:w="70"/>
              <w:right w:type="dxa" w:w="110"/>
            </w:tcMar>
            <w:vAlign w:val="top"/>
          </w:tcPr>
          <w:p>
            <w:pPr>
              <w:spacing w:after="20" w:before="0" w:line="252"/>
            </w:pPr>
            <w:r>
              <w:rPr>
                <w:rFonts w:ascii="Arial" w:cs="Arial" w:eastAsia="Arial" w:hAnsi="Arial"/>
                <w:b/>
                <w:bCs/>
                <w:color w:val="1F3A5F"/>
                <w:sz w:val="23"/>
                <w:szCs w:val="23"/>
              </w:rPr>
              <w:t xml:space="preserve">Karma Praman</w:t>
            </w:r>
            <w:r>
              <w:rPr>
                <w:rFonts w:ascii="Arial" w:cs="Arial" w:eastAsia="Arial" w:hAnsi="Arial"/>
                <w:color w:val="5B6472"/>
                <w:sz w:val="19"/>
                <w:szCs w:val="19"/>
              </w:rPr>
              <w:t xml:space="preserve">  ·  Jobs-Linked Incentive Verification &amp; Disbursal Engine</w:t>
            </w:r>
          </w:p>
          <w:p>
            <w:pPr>
              <w:spacing w:after="0" w:before="0" w:line="252"/>
            </w:pPr>
            <w:r>
              <w:rPr>
                <w:rFonts w:ascii="Arial" w:cs="Arial" w:eastAsia="Arial" w:hAnsi="Arial"/>
                <w:i/>
                <w:iCs/>
                <w:color w:val="1F2937"/>
                <w:sz w:val="18"/>
                <w:szCs w:val="18"/>
              </w:rPr>
              <w:t xml:space="preserve">Pay incentives only for real jobs: verified, automatic and leak-proof.</w:t>
            </w:r>
          </w:p>
        </w:tc>
      </w:tr>
      <w:tr>
        <w:tc>
          <w:tcPr>
            <w:tcW w:type="dxa" w:w="900"/>
            <w:tcBorders>
              <w:top w:val="none" w:color="FFFFFF" w:sz="0"/>
              <w:left w:val="none" w:color="FFFFFF" w:sz="0"/>
              <w:bottom w:val="single" w:color="CBD5E1" w:sz="4"/>
              <w:right w:val="none" w:color="FFFFFF" w:sz="0"/>
            </w:tcBorders>
            <w:tcMar>
              <w:top w:type="dxa" w:w="70"/>
              <w:left w:type="dxa" w:w="110"/>
              <w:bottom w:type="dxa" w:w="70"/>
              <w:right w:type="dxa" w:w="110"/>
            </w:tcMar>
            <w:vAlign w:val="center"/>
          </w:tcPr>
          <w:p>
            <w:pPr>
              <w:spacing w:after="0" w:before="0" w:line="252"/>
            </w:pPr>
            <w:r>
              <w:rPr>
                <w:rFonts w:ascii="Arial" w:cs="Arial" w:eastAsia="Arial" w:hAnsi="Arial"/>
                <w:b/>
                <w:bCs/>
                <w:color w:val="B45309"/>
                <w:sz w:val="30"/>
                <w:szCs w:val="30"/>
              </w:rPr>
              <w:t xml:space="preserve">05</w:t>
            </w:r>
          </w:p>
        </w:tc>
        <w:tc>
          <w:tcPr>
            <w:tcW w:type="dxa" w:w="9418"/>
            <w:tcBorders>
              <w:top w:val="none" w:color="FFFFFF" w:sz="0"/>
              <w:left w:val="none" w:color="FFFFFF" w:sz="0"/>
              <w:bottom w:val="single" w:color="CBD5E1" w:sz="4"/>
              <w:right w:val="none" w:color="FFFFFF" w:sz="0"/>
            </w:tcBorders>
            <w:tcMar>
              <w:top w:type="dxa" w:w="70"/>
              <w:left w:type="dxa" w:w="110"/>
              <w:bottom w:type="dxa" w:w="70"/>
              <w:right w:type="dxa" w:w="110"/>
            </w:tcMar>
            <w:vAlign w:val="top"/>
          </w:tcPr>
          <w:p>
            <w:pPr>
              <w:spacing w:after="20" w:before="0" w:line="252"/>
            </w:pPr>
            <w:r>
              <w:rPr>
                <w:rFonts w:ascii="Arial" w:cs="Arial" w:eastAsia="Arial" w:hAnsi="Arial"/>
                <w:b/>
                <w:bCs/>
                <w:color w:val="1F3A5F"/>
                <w:sz w:val="23"/>
                <w:szCs w:val="23"/>
              </w:rPr>
              <w:t xml:space="preserve">Bangla Cluster Connect</w:t>
            </w:r>
            <w:r>
              <w:rPr>
                <w:rFonts w:ascii="Arial" w:cs="Arial" w:eastAsia="Arial" w:hAnsi="Arial"/>
                <w:color w:val="5B6472"/>
                <w:sz w:val="19"/>
                <w:szCs w:val="19"/>
              </w:rPr>
              <w:t xml:space="preserve">  ·  MSME Cluster Commerce &amp; Proof-of-Origin Network</w:t>
            </w:r>
          </w:p>
          <w:p>
            <w:pPr>
              <w:spacing w:after="0" w:before="0" w:line="252"/>
            </w:pPr>
            <w:r>
              <w:rPr>
                <w:rFonts w:ascii="Arial" w:cs="Arial" w:eastAsia="Arial" w:hAnsi="Arial"/>
                <w:i/>
                <w:iCs/>
                <w:color w:val="1F2937"/>
                <w:sz w:val="18"/>
                <w:szCs w:val="18"/>
              </w:rPr>
              <w:t xml:space="preserve">From Bengal's looms, tea gardens and tanneries straight to buyers, with proof of origin.</w:t>
            </w:r>
          </w:p>
        </w:tc>
      </w:tr>
      <w:tr>
        <w:tc>
          <w:tcPr>
            <w:tcW w:type="dxa" w:w="900"/>
            <w:tcBorders>
              <w:top w:val="none" w:color="FFFFFF" w:sz="0"/>
              <w:left w:val="none" w:color="FFFFFF" w:sz="0"/>
              <w:bottom w:val="single" w:color="CBD5E1" w:sz="4"/>
              <w:right w:val="none" w:color="FFFFFF" w:sz="0"/>
            </w:tcBorders>
            <w:tcMar>
              <w:top w:type="dxa" w:w="70"/>
              <w:left w:type="dxa" w:w="110"/>
              <w:bottom w:type="dxa" w:w="70"/>
              <w:right w:type="dxa" w:w="110"/>
            </w:tcMar>
            <w:vAlign w:val="center"/>
          </w:tcPr>
          <w:p>
            <w:pPr>
              <w:spacing w:after="0" w:before="0" w:line="252"/>
            </w:pPr>
            <w:r>
              <w:rPr>
                <w:rFonts w:ascii="Arial" w:cs="Arial" w:eastAsia="Arial" w:hAnsi="Arial"/>
                <w:b/>
                <w:bCs/>
                <w:color w:val="B45309"/>
                <w:sz w:val="30"/>
                <w:szCs w:val="30"/>
              </w:rPr>
              <w:t xml:space="preserve">06</w:t>
            </w:r>
          </w:p>
        </w:tc>
        <w:tc>
          <w:tcPr>
            <w:tcW w:type="dxa" w:w="9418"/>
            <w:tcBorders>
              <w:top w:val="none" w:color="FFFFFF" w:sz="0"/>
              <w:left w:val="none" w:color="FFFFFF" w:sz="0"/>
              <w:bottom w:val="single" w:color="CBD5E1" w:sz="4"/>
              <w:right w:val="none" w:color="FFFFFF" w:sz="0"/>
            </w:tcBorders>
            <w:tcMar>
              <w:top w:type="dxa" w:w="70"/>
              <w:left w:type="dxa" w:w="110"/>
              <w:bottom w:type="dxa" w:w="70"/>
              <w:right w:type="dxa" w:w="110"/>
            </w:tcMar>
            <w:vAlign w:val="top"/>
          </w:tcPr>
          <w:p>
            <w:pPr>
              <w:spacing w:after="20" w:before="0" w:line="252"/>
            </w:pPr>
            <w:r>
              <w:rPr>
                <w:rFonts w:ascii="Arial" w:cs="Arial" w:eastAsia="Arial" w:hAnsi="Arial"/>
                <w:b/>
                <w:bCs/>
                <w:color w:val="1F3A5F"/>
                <w:sz w:val="23"/>
                <w:szCs w:val="23"/>
              </w:rPr>
              <w:t xml:space="preserve">Sabuj Shilpa</w:t>
            </w:r>
            <w:r>
              <w:rPr>
                <w:rFonts w:ascii="Arial" w:cs="Arial" w:eastAsia="Arial" w:hAnsi="Arial"/>
                <w:color w:val="5B6472"/>
                <w:sz w:val="19"/>
                <w:szCs w:val="19"/>
              </w:rPr>
              <w:t xml:space="preserve">  ·  Green Industry DMRV &amp; Carbon-Readiness Platform</w:t>
            </w:r>
          </w:p>
          <w:p>
            <w:pPr>
              <w:spacing w:after="0" w:before="0" w:line="252"/>
            </w:pPr>
            <w:r>
              <w:rPr>
                <w:rFonts w:ascii="Arial" w:cs="Arial" w:eastAsia="Arial" w:hAnsi="Arial"/>
                <w:i/>
                <w:iCs/>
                <w:color w:val="1F2937"/>
                <w:sz w:val="18"/>
                <w:szCs w:val="18"/>
              </w:rPr>
              <w:t xml:space="preserve">Keep Bengal's industry compliant and export-ready, and let it earn from going green.</w:t>
            </w:r>
          </w:p>
        </w:tc>
      </w:tr>
    </w:tbl>
    <w:p>
      <w:pPr>
        <w:spacing w:after="200" w:before="0" w:line="252"/>
      </w:pPr>
      <w:r>
        <w:rPr>
          <w:rFonts w:ascii="Arial" w:cs="Arial" w:eastAsia="Arial" w:hAnsi="Arial"/>
          <w:color w:val="1F2937"/>
          <w:sz w:val="19"/>
          <w:szCs w:val="19"/>
        </w:rPr>
        <w:t xml:space="preserve"/>
      </w:r>
    </w:p>
    <w:p>
      <w:pPr>
        <w:spacing w:after="60" w:before="0" w:line="252"/>
      </w:pPr>
      <w:r>
        <w:rPr>
          <w:rFonts w:ascii="Arial" w:cs="Arial" w:eastAsia="Arial" w:hAnsi="Arial"/>
          <w:i/>
          <w:iCs/>
          <w:color w:val="5B6472"/>
          <w:sz w:val="17"/>
          <w:szCs w:val="17"/>
        </w:rPr>
        <w:t xml:space="preserve">Each initiative is set out on two pages: problem, solution, approach, benefits and indicative cost. All figures are indicative and subject to detailed scoping with the Department.</w:t>
      </w:r>
    </w:p>
    <w:p>
      <w:r>
        <w:br w:type="page"/>
      </w:r>
    </w:p>
    <w:p>
      <w:pPr>
        <w:spacing w:after="80" w:before="0" w:line="252"/>
      </w:pPr>
      <w:r>
        <w:rPr>
          <w:rFonts w:ascii="Arial" w:cs="Arial" w:eastAsia="Arial" w:hAnsi="Arial"/>
          <w:b/>
          <w:bCs/>
          <w:color w:val="1F3A5F"/>
          <w:sz w:val="36"/>
          <w:szCs w:val="36"/>
        </w:rPr>
        <w:t xml:space="preserve">Portfolio at a glance</w:t>
      </w:r>
    </w:p>
    <w:p>
      <w:pPr>
        <w:spacing w:after="140" w:before="0" w:line="252"/>
      </w:pPr>
      <w:r>
        <w:rPr>
          <w:rFonts w:ascii="Arial" w:cs="Arial" w:eastAsia="Arial" w:hAnsi="Arial"/>
          <w:color w:val="1F2937"/>
          <w:sz w:val="19"/>
          <w:szCs w:val="19"/>
        </w:rPr>
        <w:t xml:space="preserve">West Bengal's new government has made industrial revival its first economic priority. Its plans include a jobs-linked incentive pool of ₹5,000 crore, a new land policy, an overhaul of Silpa Sathi, revival of closed-factory land, and a ₹1,000 crore programme to rejuvenate legacy clusters. Each of these commitments now needs a digital backbone that makes it fast, verifiable and visible to investors. The six initiatives below were chosen because they either do not exist yet or exist only as static portals, and because each one directly supports a commitment the government has already announced.</w:t>
      </w:r>
    </w:p>
    <w:tbl>
      <w:tblPr>
        <w:tblW w:type="dxa" w:w="10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1850"/>
        <w:gridCol w:w="3000"/>
        <w:gridCol w:w="2050"/>
        <w:gridCol w:w="1450"/>
        <w:gridCol w:w="1506"/>
      </w:tblGrid>
      <w:tr>
        <w:trPr>
          <w:tblHeader/>
        </w:trPr>
        <w:tc>
          <w:tcPr>
            <w:tcW w:type="dxa" w:w="45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7"/>
                <w:szCs w:val="17"/>
              </w:rPr>
              <w:t xml:space="preserve">#</w:t>
            </w:r>
          </w:p>
        </w:tc>
        <w:tc>
          <w:tcPr>
            <w:tcW w:type="dxa" w:w="185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7"/>
                <w:szCs w:val="17"/>
              </w:rPr>
              <w:t xml:space="preserve">Initiative</w:t>
            </w:r>
          </w:p>
        </w:tc>
        <w:tc>
          <w:tcPr>
            <w:tcW w:type="dxa" w:w="30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7"/>
                <w:szCs w:val="17"/>
              </w:rPr>
              <w:t xml:space="preserve">What it solves</w:t>
            </w:r>
          </w:p>
        </w:tc>
        <w:tc>
          <w:tcPr>
            <w:tcW w:type="dxa" w:w="205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7"/>
                <w:szCs w:val="17"/>
              </w:rPr>
              <w:t xml:space="preserve">Status today</w:t>
            </w:r>
          </w:p>
        </w:tc>
        <w:tc>
          <w:tcPr>
            <w:tcW w:type="dxa" w:w="145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7"/>
                <w:szCs w:val="17"/>
              </w:rPr>
              <w:t xml:space="preserve">One-time</w:t>
            </w:r>
          </w:p>
        </w:tc>
        <w:tc>
          <w:tcPr>
            <w:tcW w:type="dxa" w:w="1506"/>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7"/>
                <w:szCs w:val="17"/>
              </w:rPr>
              <w:t xml:space="preserve">Recurring / yr</w:t>
            </w:r>
          </w:p>
        </w:tc>
      </w:tr>
      <w:tr>
        <w:tc>
          <w:tcPr>
            <w:tcW w:type="dxa" w:w="450"/>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b/>
                <w:bCs/>
                <w:color w:val="B45309"/>
                <w:sz w:val="18"/>
                <w:szCs w:val="18"/>
              </w:rPr>
              <w:t xml:space="preserve">01</w:t>
            </w:r>
          </w:p>
        </w:tc>
        <w:tc>
          <w:tcPr>
            <w:tcW w:type="dxa" w:w="1850"/>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8"/>
                <w:szCs w:val="18"/>
              </w:rPr>
              <w:t xml:space="preserve">Nivesh Setu</w:t>
            </w:r>
          </w:p>
          <w:p>
            <w:pPr>
              <w:spacing w:after="0" w:before="0" w:line="220"/>
            </w:pPr>
            <w:r>
              <w:rPr>
                <w:rFonts w:ascii="Arial" w:cs="Arial" w:eastAsia="Arial" w:hAnsi="Arial"/>
                <w:color w:val="5B6472"/>
                <w:sz w:val="15"/>
                <w:szCs w:val="15"/>
              </w:rPr>
              <w:t xml:space="preserve">Investor Lifecycle &amp; MoU-to-Ground Tracker</w:t>
            </w:r>
          </w:p>
        </w:tc>
        <w:tc>
          <w:tcPr>
            <w:tcW w:type="dxa" w:w="3000"/>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30"/>
            </w:pPr>
            <w:r>
              <w:rPr>
                <w:rFonts w:ascii="Arial" w:cs="Arial" w:eastAsia="Arial" w:hAnsi="Arial"/>
                <w:color w:val="1F2937"/>
                <w:sz w:val="17"/>
                <w:szCs w:val="17"/>
              </w:rPr>
              <w:t xml:space="preserve">MoUs that never become factories; no single view of stuck projects</w:t>
            </w:r>
          </w:p>
        </w:tc>
        <w:tc>
          <w:tcPr>
            <w:tcW w:type="dxa" w:w="2050"/>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30"/>
            </w:pPr>
            <w:r>
              <w:rPr>
                <w:rFonts w:ascii="Arial" w:cs="Arial" w:eastAsia="Arial" w:hAnsi="Arial"/>
                <w:color w:val="1F2937"/>
                <w:sz w:val="17"/>
                <w:szCs w:val="17"/>
              </w:rPr>
              <w:t xml:space="preserve">Not started as an integrated system</w:t>
            </w:r>
          </w:p>
        </w:tc>
        <w:tc>
          <w:tcPr>
            <w:tcW w:type="dxa" w:w="1450"/>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b/>
                <w:bCs/>
                <w:color w:val="1F2937"/>
                <w:sz w:val="17"/>
                <w:szCs w:val="17"/>
              </w:rPr>
              <w:t xml:space="preserve">₹1.15–1.9 cr</w:t>
            </w:r>
          </w:p>
        </w:tc>
        <w:tc>
          <w:tcPr>
            <w:tcW w:type="dxa" w:w="1506"/>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color w:val="1F2937"/>
                <w:sz w:val="17"/>
                <w:szCs w:val="17"/>
              </w:rPr>
              <w:t xml:space="preserve">₹35–60 lakh</w:t>
            </w:r>
          </w:p>
        </w:tc>
      </w:tr>
      <w:tr>
        <w:tc>
          <w:tcPr>
            <w:tcW w:type="dxa" w:w="4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b/>
                <w:bCs/>
                <w:color w:val="B45309"/>
                <w:sz w:val="18"/>
                <w:szCs w:val="18"/>
              </w:rPr>
              <w:t xml:space="preserve">02</w:t>
            </w:r>
          </w:p>
        </w:tc>
        <w:tc>
          <w:tcPr>
            <w:tcW w:type="dxa" w:w="18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8"/>
                <w:szCs w:val="18"/>
              </w:rPr>
              <w:t xml:space="preserve">Shilpa Bhumi</w:t>
            </w:r>
          </w:p>
          <w:p>
            <w:pPr>
              <w:spacing w:after="0" w:before="0" w:line="220"/>
            </w:pPr>
            <w:r>
              <w:rPr>
                <w:rFonts w:ascii="Arial" w:cs="Arial" w:eastAsia="Arial" w:hAnsi="Arial"/>
                <w:color w:val="5B6472"/>
                <w:sz w:val="15"/>
                <w:szCs w:val="15"/>
              </w:rPr>
              <w:t xml:space="preserve">Industrial Land Intelligence &amp; Closed-Factory Revival Grid</w:t>
            </w:r>
          </w:p>
        </w:tc>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30"/>
            </w:pPr>
            <w:r>
              <w:rPr>
                <w:rFonts w:ascii="Arial" w:cs="Arial" w:eastAsia="Arial" w:hAnsi="Arial"/>
                <w:color w:val="1F2937"/>
                <w:sz w:val="17"/>
                <w:szCs w:val="17"/>
              </w:rPr>
              <w:t xml:space="preserve">Scarce, opaque and idle industrial land; closed-factory tracts</w:t>
            </w:r>
          </w:p>
        </w:tc>
        <w:tc>
          <w:tcPr>
            <w:tcW w:type="dxa" w:w="20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30"/>
            </w:pPr>
            <w:r>
              <w:rPr>
                <w:rFonts w:ascii="Arial" w:cs="Arial" w:eastAsia="Arial" w:hAnsi="Arial"/>
                <w:color w:val="1F2937"/>
                <w:sz w:val="17"/>
                <w:szCs w:val="17"/>
              </w:rPr>
              <w:t xml:space="preserve">Partially started (static data only)</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b/>
                <w:bCs/>
                <w:color w:val="1F2937"/>
                <w:sz w:val="17"/>
                <w:szCs w:val="17"/>
              </w:rPr>
              <w:t xml:space="preserve">₹2.15–3.55 cr</w:t>
            </w:r>
          </w:p>
        </w:tc>
        <w:tc>
          <w:tcPr>
            <w:tcW w:type="dxa" w:w="150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color w:val="1F2937"/>
                <w:sz w:val="17"/>
                <w:szCs w:val="17"/>
              </w:rPr>
              <w:t xml:space="preserve">₹75 lakh–1.3 cr</w:t>
            </w:r>
          </w:p>
        </w:tc>
      </w:tr>
      <w:tr>
        <w:tc>
          <w:tcPr>
            <w:tcW w:type="dxa" w:w="450"/>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b/>
                <w:bCs/>
                <w:color w:val="B45309"/>
                <w:sz w:val="18"/>
                <w:szCs w:val="18"/>
              </w:rPr>
              <w:t xml:space="preserve">03</w:t>
            </w:r>
          </w:p>
        </w:tc>
        <w:tc>
          <w:tcPr>
            <w:tcW w:type="dxa" w:w="1850"/>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8"/>
                <w:szCs w:val="18"/>
              </w:rPr>
              <w:t xml:space="preserve">Silpa Sathi 2.0</w:t>
            </w:r>
          </w:p>
          <w:p>
            <w:pPr>
              <w:spacing w:after="0" w:before="0" w:line="220"/>
            </w:pPr>
            <w:r>
              <w:rPr>
                <w:rFonts w:ascii="Arial" w:cs="Arial" w:eastAsia="Arial" w:hAnsi="Arial"/>
                <w:color w:val="5B6472"/>
                <w:sz w:val="15"/>
                <w:szCs w:val="15"/>
              </w:rPr>
              <w:t xml:space="preserve">Smart Clearance Engine: Rules-as-Code + Deemed-Approval Clock</w:t>
            </w:r>
          </w:p>
        </w:tc>
        <w:tc>
          <w:tcPr>
            <w:tcW w:type="dxa" w:w="3000"/>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30"/>
            </w:pPr>
            <w:r>
              <w:rPr>
                <w:rFonts w:ascii="Arial" w:cs="Arial" w:eastAsia="Arial" w:hAnsi="Arial"/>
                <w:color w:val="1F2937"/>
                <w:sz w:val="17"/>
                <w:szCs w:val="17"/>
              </w:rPr>
              <w:t xml:space="preserve">Desk-to-desk approvals; 'deemed approval' with no enforcement</w:t>
            </w:r>
          </w:p>
        </w:tc>
        <w:tc>
          <w:tcPr>
            <w:tcW w:type="dxa" w:w="2050"/>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30"/>
            </w:pPr>
            <w:r>
              <w:rPr>
                <w:rFonts w:ascii="Arial" w:cs="Arial" w:eastAsia="Arial" w:hAnsi="Arial"/>
                <w:color w:val="1F2937"/>
                <w:sz w:val="17"/>
                <w:szCs w:val="17"/>
              </w:rPr>
              <w:t xml:space="preserve">Partially started: overhaul underway</w:t>
            </w:r>
          </w:p>
        </w:tc>
        <w:tc>
          <w:tcPr>
            <w:tcW w:type="dxa" w:w="1450"/>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b/>
                <w:bCs/>
                <w:color w:val="1F2937"/>
                <w:sz w:val="17"/>
                <w:szCs w:val="17"/>
              </w:rPr>
              <w:t xml:space="preserve">₹2.45–3.9 cr</w:t>
            </w:r>
          </w:p>
        </w:tc>
        <w:tc>
          <w:tcPr>
            <w:tcW w:type="dxa" w:w="1506"/>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color w:val="1F2937"/>
                <w:sz w:val="17"/>
                <w:szCs w:val="17"/>
              </w:rPr>
              <w:t xml:space="preserve">₹75 lakh–1.2 cr</w:t>
            </w:r>
          </w:p>
        </w:tc>
      </w:tr>
      <w:tr>
        <w:tc>
          <w:tcPr>
            <w:tcW w:type="dxa" w:w="4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b/>
                <w:bCs/>
                <w:color w:val="B45309"/>
                <w:sz w:val="18"/>
                <w:szCs w:val="18"/>
              </w:rPr>
              <w:t xml:space="preserve">04</w:t>
            </w:r>
          </w:p>
        </w:tc>
        <w:tc>
          <w:tcPr>
            <w:tcW w:type="dxa" w:w="18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8"/>
                <w:szCs w:val="18"/>
              </w:rPr>
              <w:t xml:space="preserve">Karma Praman</w:t>
            </w:r>
          </w:p>
          <w:p>
            <w:pPr>
              <w:spacing w:after="0" w:before="0" w:line="220"/>
            </w:pPr>
            <w:r>
              <w:rPr>
                <w:rFonts w:ascii="Arial" w:cs="Arial" w:eastAsia="Arial" w:hAnsi="Arial"/>
                <w:color w:val="5B6472"/>
                <w:sz w:val="15"/>
                <w:szCs w:val="15"/>
              </w:rPr>
              <w:t xml:space="preserve">Jobs-Linked Incentive Verification &amp; Disbursal Engine</w:t>
            </w:r>
          </w:p>
        </w:tc>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30"/>
            </w:pPr>
            <w:r>
              <w:rPr>
                <w:rFonts w:ascii="Arial" w:cs="Arial" w:eastAsia="Arial" w:hAnsi="Arial"/>
                <w:color w:val="1F2937"/>
                <w:sz w:val="17"/>
                <w:szCs w:val="17"/>
              </w:rPr>
              <w:t xml:space="preserve">Jobs-linked incentives that are easy to inflate; legacy-claim disputes</w:t>
            </w:r>
          </w:p>
        </w:tc>
        <w:tc>
          <w:tcPr>
            <w:tcW w:type="dxa" w:w="20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30"/>
            </w:pPr>
            <w:r>
              <w:rPr>
                <w:rFonts w:ascii="Arial" w:cs="Arial" w:eastAsia="Arial" w:hAnsi="Arial"/>
                <w:color w:val="1F2937"/>
                <w:sz w:val="17"/>
                <w:szCs w:val="17"/>
              </w:rPr>
              <w:t xml:space="preserve">Not started: greenfield</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b/>
                <w:bCs/>
                <w:color w:val="1F2937"/>
                <w:sz w:val="17"/>
                <w:szCs w:val="17"/>
              </w:rPr>
              <w:t xml:space="preserve">₹1.8–2.75 cr</w:t>
            </w:r>
          </w:p>
        </w:tc>
        <w:tc>
          <w:tcPr>
            <w:tcW w:type="dxa" w:w="150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color w:val="1F2937"/>
                <w:sz w:val="17"/>
                <w:szCs w:val="17"/>
              </w:rPr>
              <w:t xml:space="preserve">₹50–85 lakh</w:t>
            </w:r>
          </w:p>
        </w:tc>
      </w:tr>
      <w:tr>
        <w:tc>
          <w:tcPr>
            <w:tcW w:type="dxa" w:w="450"/>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b/>
                <w:bCs/>
                <w:color w:val="B45309"/>
                <w:sz w:val="18"/>
                <w:szCs w:val="18"/>
              </w:rPr>
              <w:t xml:space="preserve">05</w:t>
            </w:r>
          </w:p>
        </w:tc>
        <w:tc>
          <w:tcPr>
            <w:tcW w:type="dxa" w:w="1850"/>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8"/>
                <w:szCs w:val="18"/>
              </w:rPr>
              <w:t xml:space="preserve">Bangla Cluster Connect</w:t>
            </w:r>
          </w:p>
          <w:p>
            <w:pPr>
              <w:spacing w:after="0" w:before="0" w:line="220"/>
            </w:pPr>
            <w:r>
              <w:rPr>
                <w:rFonts w:ascii="Arial" w:cs="Arial" w:eastAsia="Arial" w:hAnsi="Arial"/>
                <w:color w:val="5B6472"/>
                <w:sz w:val="15"/>
                <w:szCs w:val="15"/>
              </w:rPr>
              <w:t xml:space="preserve">MSME Cluster Commerce &amp; Proof-of-Origin Network</w:t>
            </w:r>
          </w:p>
        </w:tc>
        <w:tc>
          <w:tcPr>
            <w:tcW w:type="dxa" w:w="3000"/>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30"/>
            </w:pPr>
            <w:r>
              <w:rPr>
                <w:rFonts w:ascii="Arial" w:cs="Arial" w:eastAsia="Arial" w:hAnsi="Arial"/>
                <w:color w:val="1F2937"/>
                <w:sz w:val="17"/>
                <w:szCs w:val="17"/>
              </w:rPr>
              <w:t xml:space="preserve">Middlemen, brand dilution and siloed ONDC pilots across 570 clusters</w:t>
            </w:r>
          </w:p>
        </w:tc>
        <w:tc>
          <w:tcPr>
            <w:tcW w:type="dxa" w:w="2050"/>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30"/>
            </w:pPr>
            <w:r>
              <w:rPr>
                <w:rFonts w:ascii="Arial" w:cs="Arial" w:eastAsia="Arial" w:hAnsi="Arial"/>
                <w:color w:val="1F2937"/>
                <w:sz w:val="17"/>
                <w:szCs w:val="17"/>
              </w:rPr>
              <w:t xml:space="preserve">Siloed pilots</w:t>
            </w:r>
          </w:p>
        </w:tc>
        <w:tc>
          <w:tcPr>
            <w:tcW w:type="dxa" w:w="1450"/>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b/>
                <w:bCs/>
                <w:color w:val="1F2937"/>
                <w:sz w:val="17"/>
                <w:szCs w:val="17"/>
              </w:rPr>
              <w:t xml:space="preserve">₹2.55–4.15 cr</w:t>
            </w:r>
          </w:p>
        </w:tc>
        <w:tc>
          <w:tcPr>
            <w:tcW w:type="dxa" w:w="1506"/>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color w:val="1F2937"/>
                <w:sz w:val="17"/>
                <w:szCs w:val="17"/>
              </w:rPr>
              <w:t xml:space="preserve">₹50–85 lakh</w:t>
            </w:r>
          </w:p>
        </w:tc>
      </w:tr>
      <w:tr>
        <w:tc>
          <w:tcPr>
            <w:tcW w:type="dxa" w:w="4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b/>
                <w:bCs/>
                <w:color w:val="B45309"/>
                <w:sz w:val="18"/>
                <w:szCs w:val="18"/>
              </w:rPr>
              <w:t xml:space="preserve">06</w:t>
            </w:r>
          </w:p>
        </w:tc>
        <w:tc>
          <w:tcPr>
            <w:tcW w:type="dxa" w:w="18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8"/>
                <w:szCs w:val="18"/>
              </w:rPr>
              <w:t xml:space="preserve">Sabuj Shilpa</w:t>
            </w:r>
          </w:p>
          <w:p>
            <w:pPr>
              <w:spacing w:after="0" w:before="0" w:line="220"/>
            </w:pPr>
            <w:r>
              <w:rPr>
                <w:rFonts w:ascii="Arial" w:cs="Arial" w:eastAsia="Arial" w:hAnsi="Arial"/>
                <w:color w:val="5B6472"/>
                <w:sz w:val="15"/>
                <w:szCs w:val="15"/>
              </w:rPr>
              <w:t xml:space="preserve">Green Industry DMRV &amp; Carbon-Readiness Platform</w:t>
            </w:r>
          </w:p>
        </w:tc>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30"/>
            </w:pPr>
            <w:r>
              <w:rPr>
                <w:rFonts w:ascii="Arial" w:cs="Arial" w:eastAsia="Arial" w:hAnsi="Arial"/>
                <w:color w:val="1F2937"/>
                <w:sz w:val="17"/>
                <w:szCs w:val="17"/>
              </w:rPr>
              <w:t xml:space="preserve">CCTS carbon targets and EU CBAM threatening jobs in heavy industry and exports</w:t>
            </w:r>
          </w:p>
        </w:tc>
        <w:tc>
          <w:tcPr>
            <w:tcW w:type="dxa" w:w="20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30"/>
            </w:pPr>
            <w:r>
              <w:rPr>
                <w:rFonts w:ascii="Arial" w:cs="Arial" w:eastAsia="Arial" w:hAnsi="Arial"/>
                <w:color w:val="1F2937"/>
                <w:sz w:val="17"/>
                <w:szCs w:val="17"/>
              </w:rPr>
              <w:t xml:space="preserve">Not started at state level; our prototype is ready</w:t>
            </w:r>
          </w:p>
        </w:tc>
        <w:tc>
          <w:tcPr>
            <w:tcW w:type="dxa" w:w="14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b/>
                <w:bCs/>
                <w:color w:val="1F2937"/>
                <w:sz w:val="17"/>
                <w:szCs w:val="17"/>
              </w:rPr>
              <w:t xml:space="preserve">₹1.25–2.0 cr</w:t>
            </w:r>
          </w:p>
        </w:tc>
        <w:tc>
          <w:tcPr>
            <w:tcW w:type="dxa" w:w="150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color w:val="1F2937"/>
                <w:sz w:val="17"/>
                <w:szCs w:val="17"/>
              </w:rPr>
              <w:t xml:space="preserve">₹45–75 lakh</w:t>
            </w:r>
          </w:p>
        </w:tc>
      </w:tr>
      <w:tr>
        <w:tc>
          <w:tcPr>
            <w:tcW w:type="dxa" w:w="7350"/>
            <w:gridSpan w:val="4"/>
            <w:tcBorders>
              <w:top w:val="single" w:color="CBD5E1" w:sz="4"/>
              <w:left w:val="single" w:color="CBD5E1" w:sz="4"/>
              <w:bottom w:val="single" w:color="CBD5E1" w:sz="4"/>
              <w:right w:val="single" w:color="CBD5E1" w:sz="4"/>
            </w:tcBorders>
            <w:shd w:fill="EAF0F7"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8"/>
                <w:szCs w:val="18"/>
              </w:rPr>
              <w:t xml:space="preserve">Whole portfolio</w:t>
            </w:r>
          </w:p>
        </w:tc>
        <w:tc>
          <w:tcPr>
            <w:tcW w:type="dxa" w:w="1450"/>
            <w:tcBorders>
              <w:top w:val="single" w:color="CBD5E1" w:sz="4"/>
              <w:left w:val="single" w:color="CBD5E1" w:sz="4"/>
              <w:bottom w:val="single" w:color="CBD5E1" w:sz="4"/>
              <w:right w:val="single" w:color="CBD5E1" w:sz="4"/>
            </w:tcBorders>
            <w:shd w:fill="EAF0F7"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7"/>
                <w:szCs w:val="17"/>
              </w:rPr>
              <w:t xml:space="preserve">₹11.35–18.25 cr</w:t>
            </w:r>
          </w:p>
        </w:tc>
        <w:tc>
          <w:tcPr>
            <w:tcW w:type="dxa" w:w="1506"/>
            <w:tcBorders>
              <w:top w:val="single" w:color="CBD5E1" w:sz="4"/>
              <w:left w:val="single" w:color="CBD5E1" w:sz="4"/>
              <w:bottom w:val="single" w:color="CBD5E1" w:sz="4"/>
              <w:right w:val="single" w:color="CBD5E1" w:sz="4"/>
            </w:tcBorders>
            <w:shd w:fill="EAF0F7"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7"/>
                <w:szCs w:val="17"/>
              </w:rPr>
              <w:t xml:space="preserve">₹3.3–5.55 cr</w:t>
            </w:r>
          </w:p>
        </w:tc>
      </w:tr>
    </w:tbl>
    <w:p>
      <w:pPr>
        <w:spacing w:after="120" w:before="60" w:line="252"/>
      </w:pPr>
      <w:r>
        <w:rPr>
          <w:rFonts w:ascii="Arial" w:cs="Arial" w:eastAsia="Arial" w:hAnsi="Arial"/>
          <w:i/>
          <w:iCs/>
          <w:color w:val="5B6472"/>
          <w:sz w:val="17"/>
          <w:szCs w:val="17"/>
        </w:rPr>
        <w:t xml:space="preserve">For scale: the whole portfolio costs about 0.2–0.3% of the ₹6,000 crore (incentive pool plus cluster programme) it would help the state spend well.</w:t>
      </w:r>
    </w:p>
    <w:p>
      <w:pPr>
        <w:keepNext/>
        <w:pBdr>
          <w:bottom w:val="single" w:color="1F3A5F" w:sz="6" w:space="2"/>
        </w:pBdr>
        <w:spacing w:after="70" w:before="150"/>
      </w:pPr>
      <w:r>
        <w:rPr>
          <w:rFonts w:ascii="Arial" w:cs="Arial" w:eastAsia="Arial" w:hAnsi="Arial"/>
          <w:b/>
          <w:bCs/>
          <w:color w:val="B45309"/>
          <w:sz w:val="23"/>
          <w:szCs w:val="23"/>
        </w:rPr>
        <w:t xml:space="preserve">→  </w:t>
      </w:r>
      <w:r>
        <w:rPr>
          <w:rFonts w:ascii="Arial" w:cs="Arial" w:eastAsia="Arial" w:hAnsi="Arial"/>
          <w:b/>
          <w:bCs/>
          <w:color w:val="1F3A5F"/>
          <w:sz w:val="21"/>
          <w:szCs w:val="21"/>
        </w:rPr>
        <w:t xml:space="preserve">HOW THE SIX FIT TOGETHER</w:t>
      </w:r>
    </w:p>
    <w:p>
      <w:pPr>
        <w:spacing w:after="100" w:before="0" w:line="252"/>
      </w:pPr>
      <w:r>
        <w:rPr>
          <w:rFonts w:ascii="Arial" w:cs="Arial" w:eastAsia="Arial" w:hAnsi="Arial"/>
          <w:b/>
          <w:bCs/>
          <w:color w:val="1F2937"/>
          <w:sz w:val="19"/>
          <w:szCs w:val="19"/>
        </w:rPr>
        <w:t xml:space="preserve">One investor, one ID, one journey. </w:t>
      </w:r>
      <w:r>
        <w:rPr>
          <w:rFonts w:ascii="Arial" w:cs="Arial" w:eastAsia="Arial" w:hAnsi="Arial"/>
          <w:color w:val="1F2937"/>
          <w:sz w:val="19"/>
          <w:szCs w:val="19"/>
        </w:rPr>
        <w:t xml:space="preserve">Nivesh Setu (01) tracks the investor from MoU to production. Shilpa Bhumi (02) finds and clears the land. Silpa Sathi 2.0 (03) issues approvals on a clock. Karma Praman (04) pays incentives against verified jobs. Bangla Cluster Connect (05) carries the same approach to MSME clusters, and Sabuj Shilpa (06) keeps heavy industry and exporters carbon-compliant. Each can be built on its own, but they share a common investor record, sign-on and dashboard, so every one added makes the others more useful.</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18"/>
      </w:tblGrid>
      <w:tr>
        <w:tc>
          <w:tcPr>
            <w:tcW w:type="dxa" w:w="10318"/>
            <w:tcBorders>
              <w:top w:val="none" w:color="FFFFFF" w:sz="0"/>
              <w:left w:val="single" w:color="B45309" w:sz="24"/>
              <w:bottom w:val="none" w:color="FFFFFF" w:sz="0"/>
              <w:right w:val="none" w:color="FFFFFF" w:sz="0"/>
            </w:tcBorders>
            <w:shd w:fill="FDF3E4" w:color="auto" w:val="clear"/>
            <w:tcMar>
              <w:top w:type="dxa" w:w="120"/>
              <w:left w:type="dxa" w:w="110"/>
              <w:bottom w:type="dxa" w:w="120"/>
              <w:right w:type="dxa" w:w="110"/>
            </w:tcMar>
            <w:vAlign w:val="top"/>
          </w:tcPr>
          <w:p>
            <w:pPr>
              <w:spacing w:after="60" w:before="0" w:line="252"/>
            </w:pPr>
            <w:r>
              <w:rPr>
                <w:rFonts w:ascii="Arial" w:cs="Arial" w:eastAsia="Arial" w:hAnsi="Arial"/>
                <w:b/>
                <w:bCs/>
                <w:color w:val="B45309"/>
                <w:sz w:val="18"/>
                <w:szCs w:val="18"/>
              </w:rPr>
              <w:t xml:space="preserve">RECOMMENDED STARTING POINTS</w:t>
            </w:r>
          </w:p>
          <w:p>
            <w:pPr>
              <w:pStyle w:val="ListParagraph"/>
              <w:keepLines/>
              <w:numPr>
                <w:ilvl w:val="0"/>
                <w:numId w:val="2"/>
              </w:numPr>
              <w:spacing w:after="40" w:line="246"/>
            </w:pPr>
            <w:r>
              <w:rPr>
                <w:rFonts w:ascii="Arial" w:cs="Arial" w:eastAsia="Arial" w:hAnsi="Arial"/>
                <w:b/>
                <w:bCs/>
                <w:color w:val="1F2937"/>
                <w:sz w:val="19"/>
                <w:szCs w:val="19"/>
              </w:rPr>
              <w:t xml:space="preserve">04 Karma Praman: </w:t>
            </w:r>
            <w:r>
              <w:rPr>
                <w:rFonts w:ascii="Arial" w:cs="Arial" w:eastAsia="Arial" w:hAnsi="Arial"/>
                <w:color w:val="1F2937"/>
                <w:sz w:val="19"/>
                <w:szCs w:val="19"/>
              </w:rPr>
              <w:t xml:space="preserve">the most time-critical. The ₹5,000 crore jobs-linked policy is expected around October 2026, and building the verification engine alongside the policy means claims can be checked from the first payout.</w:t>
            </w:r>
          </w:p>
          <w:p>
            <w:pPr>
              <w:pStyle w:val="ListParagraph"/>
              <w:keepLines/>
              <w:numPr>
                <w:ilvl w:val="0"/>
                <w:numId w:val="2"/>
              </w:numPr>
              <w:spacing w:after="40" w:line="246"/>
            </w:pPr>
            <w:r>
              <w:rPr>
                <w:rFonts w:ascii="Arial" w:cs="Arial" w:eastAsia="Arial" w:hAnsi="Arial"/>
                <w:b/>
                <w:bCs/>
                <w:color w:val="1F2937"/>
                <w:sz w:val="19"/>
                <w:szCs w:val="19"/>
              </w:rPr>
              <w:t xml:space="preserve">06 Sabuj Shilpa: </w:t>
            </w:r>
            <w:r>
              <w:rPr>
                <w:rFonts w:ascii="Arial" w:cs="Arial" w:eastAsia="Arial" w:hAnsi="Arial"/>
                <w:color w:val="1F2937"/>
                <w:sz w:val="19"/>
                <w:szCs w:val="19"/>
              </w:rPr>
              <w:t xml:space="preserve">fastest to show. Our DMRV prototype already works end to end, so a 20-unit pilot can go live in 8–10 weeks.</w:t>
            </w:r>
          </w:p>
          <w:p>
            <w:pPr>
              <w:pStyle w:val="ListParagraph"/>
              <w:keepLines/>
              <w:numPr>
                <w:ilvl w:val="0"/>
                <w:numId w:val="2"/>
              </w:numPr>
              <w:spacing w:after="0" w:line="246"/>
            </w:pPr>
            <w:r>
              <w:rPr>
                <w:rFonts w:ascii="Arial" w:cs="Arial" w:eastAsia="Arial" w:hAnsi="Arial"/>
                <w:b/>
                <w:bCs/>
                <w:color w:val="1F2937"/>
                <w:sz w:val="19"/>
                <w:szCs w:val="19"/>
              </w:rPr>
              <w:t xml:space="preserve">01 Nivesh Setu: </w:t>
            </w:r>
            <w:r>
              <w:rPr>
                <w:rFonts w:ascii="Arial" w:cs="Arial" w:eastAsia="Arial" w:hAnsi="Arial"/>
                <w:color w:val="1F2937"/>
                <w:sz w:val="19"/>
                <w:szCs w:val="19"/>
              </w:rPr>
              <w:t xml:space="preserve">the shared backbone. A war-room for the top 100 projects gives the CM and Minister immediate visibility and links all the later modules.</w:t>
            </w:r>
          </w:p>
        </w:tc>
      </w:tr>
    </w:tbl>
    <w:p>
      <w:r>
        <w:br w:type="pag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18"/>
      </w:tblGrid>
      <w:tr>
        <w:tc>
          <w:tcPr>
            <w:tcW w:type="dxa" w:w="10318"/>
            <w:tcBorders>
              <w:top w:val="none" w:color="FFFFFF" w:sz="0"/>
              <w:left w:val="none" w:color="FFFFFF" w:sz="0"/>
              <w:bottom w:val="none" w:color="FFFFFF" w:sz="0"/>
              <w:right w:val="none" w:color="FFFFFF" w:sz="0"/>
            </w:tcBorders>
            <w:shd w:fill="1F3A5F" w:color="auto" w:val="clear"/>
            <w:tcMar>
              <w:top w:type="dxa" w:w="150"/>
              <w:left w:type="dxa" w:w="110"/>
              <w:bottom w:type="dxa" w:w="150"/>
              <w:right w:type="dxa" w:w="110"/>
            </w:tcMar>
            <w:vAlign w:val="top"/>
          </w:tcPr>
          <w:p>
            <w:pPr>
              <w:spacing w:after="80" w:before="0" w:line="252"/>
            </w:pPr>
            <w:r>
              <w:rPr>
                <w:rFonts w:ascii="Arial" w:cs="Arial" w:eastAsia="Arial" w:hAnsi="Arial"/>
                <w:b/>
                <w:bCs/>
                <w:color w:val="F6C27A"/>
                <w:sz w:val="17"/>
                <w:szCs w:val="17"/>
              </w:rPr>
              <w:t xml:space="preserve">INITIATIVE 01</w:t>
            </w:r>
          </w:p>
          <w:p>
            <w:pPr>
              <w:spacing w:after="60" w:before="0" w:line="276"/>
            </w:pPr>
            <w:r>
              <w:rPr>
                <w:rFonts w:ascii="Arial" w:cs="Arial" w:eastAsia="Arial" w:hAnsi="Arial"/>
                <w:b/>
                <w:bCs/>
                <w:color w:val="FFFFFF"/>
                <w:sz w:val="38"/>
                <w:szCs w:val="38"/>
              </w:rPr>
              <w:t xml:space="preserve">Nivesh Setu</w:t>
            </w:r>
            <w:r>
              <w:rPr>
                <w:rFonts w:ascii="Arial" w:cs="Arial" w:eastAsia="Arial" w:hAnsi="Arial"/>
                <w:color w:val="DCE6F2"/>
                <w:sz w:val="22"/>
                <w:szCs w:val="22"/>
              </w:rPr>
              <w:t xml:space="preserve">   Investor Lifecycle &amp; MoU-to-Ground Tracker</w:t>
            </w:r>
          </w:p>
          <w:p>
            <w:pPr>
              <w:spacing w:after="0" w:before="0" w:line="252"/>
            </w:pPr>
            <w:r>
              <w:rPr>
                <w:rFonts w:ascii="Arial" w:cs="Arial" w:eastAsia="Arial" w:hAnsi="Arial"/>
                <w:i/>
                <w:iCs/>
                <w:color w:val="DCE6F2"/>
                <w:sz w:val="19"/>
                <w:szCs w:val="19"/>
              </w:rPr>
              <w:t xml:space="preserve">Every rupee promised to Bengal, tracked until it becomes a factory and a payroll.</w:t>
            </w:r>
          </w:p>
        </w:tc>
      </w:tr>
    </w:tbl>
    <w:p>
      <w:pPr>
        <w:spacing w:after="60" w:before="0" w:line="252"/>
      </w:pPr>
      <w:r>
        <w:rPr>
          <w:rFonts w:ascii="Arial" w:cs="Arial" w:eastAsia="Arial" w:hAnsi="Arial"/>
          <w:color w:val="1F2937"/>
          <w:sz w:val="19"/>
          <w:szCs w:val="19"/>
        </w:rPr>
        <w:t xml:space="preserv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9"/>
        <w:gridCol w:w="5159"/>
      </w:tblGrid>
      <w:tr>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OWNER &amp; PARTNER DEPARTMENTS</w:t>
            </w:r>
          </w:p>
          <w:p>
            <w:pPr>
              <w:spacing w:after="0" w:before="0" w:line="230"/>
            </w:pPr>
            <w:r>
              <w:rPr>
                <w:rFonts w:ascii="Arial" w:cs="Arial" w:eastAsia="Arial" w:hAnsi="Arial"/>
                <w:color w:val="1F2937"/>
                <w:sz w:val="17"/>
                <w:szCs w:val="17"/>
              </w:rPr>
              <w:t xml:space="preserve">ICE Department / WBIDC (nodal); CM's Office review cell; Land, Finance and Police (grievance helplines)</w:t>
            </w:r>
          </w:p>
        </w:tc>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STATUS TODAY</w:t>
            </w:r>
          </w:p>
          <w:p>
            <w:pPr>
              <w:spacing w:after="0" w:before="0" w:line="230"/>
            </w:pPr>
            <w:r>
              <w:rPr>
                <w:rFonts w:ascii="Arial" w:cs="Arial" w:eastAsia="Arial" w:hAnsi="Arial"/>
                <w:b/>
                <w:bCs/>
                <w:color w:val="1F2937"/>
                <w:sz w:val="17"/>
                <w:szCs w:val="17"/>
              </w:rPr>
              <w:t xml:space="preserve">Not started as an integrated system. </w:t>
            </w:r>
            <w:r>
              <w:rPr>
                <w:rFonts w:ascii="Arial" w:cs="Arial" w:eastAsia="Arial" w:hAnsi="Arial"/>
                <w:color w:val="1F2937"/>
                <w:sz w:val="17"/>
                <w:szCs w:val="17"/>
              </w:rPr>
              <w:t xml:space="preserve">Summit MoUs and the 33 newly cleared investments are tracked in separate lists; the police-run helplines (155334 / 155335) are not linked to investor files.</w:t>
            </w:r>
          </w:p>
        </w:tc>
      </w:tr>
      <w:tr>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TIMELINE</w:t>
            </w:r>
          </w:p>
          <w:p>
            <w:pPr>
              <w:spacing w:after="0" w:before="0" w:line="252"/>
            </w:pPr>
            <w:r>
              <w:rPr>
                <w:rFonts w:ascii="Arial" w:cs="Arial" w:eastAsia="Arial" w:hAnsi="Arial"/>
                <w:color w:val="1F2937"/>
                <w:sz w:val="17"/>
                <w:szCs w:val="17"/>
              </w:rPr>
              <w:t xml:space="preserve">Pilot 10–12 weeks · Full rollout 6–8 months</w:t>
            </w:r>
          </w:p>
        </w:tc>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INDICATIVE COST</w:t>
            </w:r>
          </w:p>
          <w:p>
            <w:pPr>
              <w:spacing w:after="0" w:before="0" w:line="252"/>
            </w:pPr>
            <w:r>
              <w:rPr>
                <w:rFonts w:ascii="Arial" w:cs="Arial" w:eastAsia="Arial" w:hAnsi="Arial"/>
                <w:b/>
                <w:bCs/>
                <w:color w:val="1F2937"/>
                <w:sz w:val="17"/>
                <w:szCs w:val="17"/>
              </w:rPr>
              <w:t xml:space="preserve">One-time ₹1.15–1.9 cr</w:t>
            </w:r>
            <w:r>
              <w:rPr>
                <w:rFonts w:ascii="Arial" w:cs="Arial" w:eastAsia="Arial" w:hAnsi="Arial"/>
                <w:color w:val="1F2937"/>
                <w:sz w:val="17"/>
                <w:szCs w:val="17"/>
              </w:rPr>
              <w:t xml:space="preserve">  ·  Recurring ₹35–60 lakh / yr</w:t>
            </w:r>
          </w:p>
        </w:tc>
      </w:tr>
    </w:tbl>
    <w:p>
      <w:pPr>
        <w:keepNext/>
        <w:pBdr>
          <w:bottom w:val="single" w:color="1F3A5F" w:sz="6" w:space="2"/>
        </w:pBdr>
        <w:spacing w:after="70" w:before="150"/>
      </w:pPr>
      <w:r>
        <w:rPr>
          <w:rFonts w:ascii="Arial" w:cs="Arial" w:eastAsia="Arial" w:hAnsi="Arial"/>
          <w:b/>
          <w:bCs/>
          <w:color w:val="B45309"/>
          <w:sz w:val="23"/>
          <w:szCs w:val="23"/>
        </w:rPr>
        <w:t xml:space="preserve">1  </w:t>
      </w:r>
      <w:r>
        <w:rPr>
          <w:rFonts w:ascii="Arial" w:cs="Arial" w:eastAsia="Arial" w:hAnsi="Arial"/>
          <w:b/>
          <w:bCs/>
          <w:color w:val="1F3A5F"/>
          <w:sz w:val="21"/>
          <w:szCs w:val="21"/>
        </w:rPr>
        <w:t xml:space="preserve">PROBLEM STATEMENT</w:t>
      </w:r>
    </w:p>
    <w:p>
      <w:pPr>
        <w:pStyle w:val="ListParagraph"/>
        <w:keepLines/>
        <w:numPr>
          <w:ilvl w:val="0"/>
          <w:numId w:val="2"/>
        </w:numPr>
        <w:spacing w:after="40" w:line="246"/>
      </w:pPr>
      <w:r>
        <w:rPr>
          <w:rFonts w:ascii="Arial" w:cs="Arial" w:eastAsia="Arial" w:hAnsi="Arial"/>
          <w:color w:val="1F2937"/>
          <w:sz w:val="19"/>
          <w:szCs w:val="19"/>
        </w:rPr>
        <w:t xml:space="preserve">From 2015 to 2019 Bengal's business summits announced ₹2.2–2.85 lakh crore of MoUs every year, but how many were actually built was never published. Critics and one central estimate put the conversion rate in single digits.</w:t>
      </w:r>
    </w:p>
    <w:p>
      <w:pPr>
        <w:pStyle w:val="ListParagraph"/>
        <w:keepLines/>
        <w:numPr>
          <w:ilvl w:val="0"/>
          <w:numId w:val="2"/>
        </w:numPr>
        <w:spacing w:after="40" w:line="246"/>
      </w:pPr>
      <w:r>
        <w:rPr>
          <w:rFonts w:ascii="Arial" w:cs="Arial" w:eastAsia="Arial" w:hAnsi="Arial"/>
          <w:color w:val="1F2937"/>
          <w:sz w:val="19"/>
          <w:szCs w:val="19"/>
        </w:rPr>
        <w:t xml:space="preserve">The new government has cleared 33 fresh investments and promises time-bound approvals and investor handholding. But no single system shows, project by project, where each one is stuck and with whom.</w:t>
      </w:r>
    </w:p>
    <w:p>
      <w:pPr>
        <w:pStyle w:val="ListParagraph"/>
        <w:keepLines/>
        <w:numPr>
          <w:ilvl w:val="0"/>
          <w:numId w:val="2"/>
        </w:numPr>
        <w:spacing w:after="40" w:line="246"/>
      </w:pPr>
      <w:r>
        <w:rPr>
          <w:rFonts w:ascii="Arial" w:cs="Arial" w:eastAsia="Arial" w:hAnsi="Arial"/>
          <w:color w:val="1F2937"/>
          <w:sz w:val="19"/>
          <w:szCs w:val="19"/>
        </w:rPr>
        <w:t xml:space="preserve">Complaints of extortion, syndicates and 'cut money' now go to police helplines (155334 / 155335). These tickets are not linked to the investor's project, so the ICE Department cannot see which investments are at risk.</w:t>
      </w:r>
    </w:p>
    <w:p>
      <w:pPr>
        <w:pStyle w:val="ListParagraph"/>
        <w:keepLines/>
        <w:numPr>
          <w:ilvl w:val="0"/>
          <w:numId w:val="2"/>
        </w:numPr>
        <w:spacing w:after="40" w:line="246"/>
      </w:pPr>
      <w:r>
        <w:rPr>
          <w:rFonts w:ascii="Arial" w:cs="Arial" w:eastAsia="Arial" w:hAnsi="Arial"/>
          <w:color w:val="1F2937"/>
          <w:sz w:val="19"/>
          <w:szCs w:val="19"/>
        </w:rPr>
        <w:t xml:space="preserve">Data sits in Excel sheets across WBIDC, district offices and line departments. The CM's and Minister's review meetings depend on reports compiled by hand.</w:t>
      </w:r>
    </w:p>
    <w:p>
      <w:pPr>
        <w:keepNext/>
        <w:pBdr>
          <w:bottom w:val="single" w:color="1F3A5F" w:sz="6" w:space="2"/>
        </w:pBdr>
        <w:spacing w:after="70" w:before="150"/>
      </w:pPr>
      <w:r>
        <w:rPr>
          <w:rFonts w:ascii="Arial" w:cs="Arial" w:eastAsia="Arial" w:hAnsi="Arial"/>
          <w:b/>
          <w:bCs/>
          <w:color w:val="B45309"/>
          <w:sz w:val="23"/>
          <w:szCs w:val="23"/>
        </w:rPr>
        <w:t xml:space="preserve">2  </w:t>
      </w:r>
      <w:r>
        <w:rPr>
          <w:rFonts w:ascii="Arial" w:cs="Arial" w:eastAsia="Arial" w:hAnsi="Arial"/>
          <w:b/>
          <w:bCs/>
          <w:color w:val="1F3A5F"/>
          <w:sz w:val="21"/>
          <w:szCs w:val="21"/>
        </w:rPr>
        <w:t xml:space="preserve">PROPOSED SOLUTION</w:t>
      </w:r>
    </w:p>
    <w:p>
      <w:pPr>
        <w:keepNext/>
        <w:spacing w:after="60" w:before="0" w:line="252"/>
      </w:pPr>
      <w:r>
        <w:rPr>
          <w:rFonts w:ascii="Arial" w:cs="Arial" w:eastAsia="Arial" w:hAnsi="Arial"/>
          <w:color w:val="1F2937"/>
          <w:sz w:val="19"/>
          <w:szCs w:val="19"/>
        </w:rPr>
        <w:t xml:space="preserve">A government-grade investor CRM that gives every investor one Investor ID and tracks each project through nine stages: Lead → MoU → Land identified → Land allotted → Clearances → Construction → Trial run → Commercial production → Jobs verified.</w:t>
      </w:r>
    </w:p>
    <w:p>
      <w:pPr>
        <w:pStyle w:val="ListParagraph"/>
        <w:keepLines/>
        <w:numPr>
          <w:ilvl w:val="0"/>
          <w:numId w:val="2"/>
        </w:numPr>
        <w:spacing w:after="40" w:line="246"/>
      </w:pPr>
      <w:r>
        <w:rPr>
          <w:rFonts w:ascii="Arial" w:cs="Arial" w:eastAsia="Arial" w:hAnsi="Arial"/>
          <w:b/>
          <w:bCs/>
          <w:color w:val="1F3A5F"/>
          <w:sz w:val="19"/>
          <w:szCs w:val="19"/>
        </w:rPr>
        <w:t xml:space="preserve">Udyog Mitra desk: </w:t>
      </w:r>
      <w:r>
        <w:rPr>
          <w:rFonts w:ascii="Arial" w:cs="Arial" w:eastAsia="Arial" w:hAnsi="Arial"/>
          <w:color w:val="1F2937"/>
          <w:sz w:val="19"/>
          <w:szCs w:val="19"/>
        </w:rPr>
        <w:t xml:space="preserve">Every project above ₹50 crore gets a named relationship officer. The officer works to service-level timers, and handovers are logged.</w:t>
      </w:r>
    </w:p>
    <w:p>
      <w:pPr>
        <w:pStyle w:val="ListParagraph"/>
        <w:keepLines/>
        <w:numPr>
          <w:ilvl w:val="0"/>
          <w:numId w:val="2"/>
        </w:numPr>
        <w:spacing w:after="40" w:line="246"/>
      </w:pPr>
      <w:r>
        <w:rPr>
          <w:rFonts w:ascii="Arial" w:cs="Arial" w:eastAsia="Arial" w:hAnsi="Arial"/>
          <w:b/>
          <w:bCs/>
          <w:color w:val="1F3A5F"/>
          <w:sz w:val="19"/>
          <w:szCs w:val="19"/>
        </w:rPr>
        <w:t xml:space="preserve">Stage-gate tracker: </w:t>
      </w:r>
      <w:r>
        <w:rPr>
          <w:rFonts w:ascii="Arial" w:cs="Arial" w:eastAsia="Arial" w:hAnsi="Arial"/>
          <w:color w:val="1F2937"/>
          <w:sz w:val="19"/>
          <w:szCs w:val="19"/>
        </w:rPr>
        <w:t xml:space="preserve">Automatic red / amber / green flags when any stage runs past its benchmark days, with escalation to the Secretary and then the Minister.</w:t>
      </w:r>
    </w:p>
    <w:p>
      <w:pPr>
        <w:pStyle w:val="ListParagraph"/>
        <w:keepLines/>
        <w:numPr>
          <w:ilvl w:val="0"/>
          <w:numId w:val="2"/>
        </w:numPr>
        <w:spacing w:after="40" w:line="246"/>
      </w:pPr>
      <w:r>
        <w:rPr>
          <w:rFonts w:ascii="Arial" w:cs="Arial" w:eastAsia="Arial" w:hAnsi="Arial"/>
          <w:b/>
          <w:bCs/>
          <w:color w:val="1F3A5F"/>
          <w:sz w:val="19"/>
          <w:szCs w:val="19"/>
        </w:rPr>
        <w:t xml:space="preserve">Grievance bridge: </w:t>
      </w:r>
      <w:r>
        <w:rPr>
          <w:rFonts w:ascii="Arial" w:cs="Arial" w:eastAsia="Arial" w:hAnsi="Arial"/>
          <w:color w:val="1F2937"/>
          <w:sz w:val="19"/>
          <w:szCs w:val="19"/>
        </w:rPr>
        <w:t xml:space="preserve">Helpline tickets that involve an investor show up in that project's file (with privacy controls) and are tracked to closure.</w:t>
      </w:r>
    </w:p>
    <w:p>
      <w:pPr>
        <w:pStyle w:val="ListParagraph"/>
        <w:keepLines/>
        <w:numPr>
          <w:ilvl w:val="0"/>
          <w:numId w:val="2"/>
        </w:numPr>
        <w:spacing w:after="40" w:line="246"/>
      </w:pPr>
      <w:r>
        <w:rPr>
          <w:rFonts w:ascii="Arial" w:cs="Arial" w:eastAsia="Arial" w:hAnsi="Arial"/>
          <w:b/>
          <w:bCs/>
          <w:color w:val="1F3A5F"/>
          <w:sz w:val="19"/>
          <w:szCs w:val="19"/>
        </w:rPr>
        <w:t xml:space="preserve">War-room dashboard: </w:t>
      </w:r>
      <w:r>
        <w:rPr>
          <w:rFonts w:ascii="Arial" w:cs="Arial" w:eastAsia="Arial" w:hAnsi="Arial"/>
          <w:color w:val="1F2937"/>
          <w:sz w:val="19"/>
          <w:szCs w:val="19"/>
        </w:rPr>
        <w:t xml:space="preserve">A live pipeline view for the CM and Minister, plus an auto-generated weekly review pack in Bengali and English.</w:t>
      </w:r>
    </w:p>
    <w:p>
      <w:pPr>
        <w:pStyle w:val="ListParagraph"/>
        <w:keepLines/>
        <w:numPr>
          <w:ilvl w:val="0"/>
          <w:numId w:val="2"/>
        </w:numPr>
        <w:spacing w:after="40" w:line="246"/>
      </w:pPr>
      <w:r>
        <w:rPr>
          <w:rFonts w:ascii="Arial" w:cs="Arial" w:eastAsia="Arial" w:hAnsi="Arial"/>
          <w:b/>
          <w:bCs/>
          <w:color w:val="1F3A5F"/>
          <w:sz w:val="19"/>
          <w:szCs w:val="19"/>
        </w:rPr>
        <w:t xml:space="preserve">Public 'Investment Realised' board: </w:t>
      </w:r>
      <w:r>
        <w:rPr>
          <w:rFonts w:ascii="Arial" w:cs="Arial" w:eastAsia="Arial" w:hAnsi="Arial"/>
          <w:color w:val="1F2937"/>
          <w:sz w:val="19"/>
          <w:szCs w:val="19"/>
        </w:rPr>
        <w:t xml:space="preserve">MoU value against money actually invested on the ground and verified jobs, by district and by sector.</w:t>
      </w:r>
    </w:p>
    <w:p>
      <w:pPr>
        <w:spacing w:after="40" w:before="0" w:line="252"/>
      </w:pPr>
      <w:r>
        <w:rPr>
          <w:rFonts w:ascii="Arial" w:cs="Arial" w:eastAsia="Arial" w:hAnsi="Arial"/>
          <w:color w:val="1F2937"/>
          <w:sz w:val="19"/>
          <w:szCs w:val="19"/>
        </w:rPr>
        <w:t xml:space="preserv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18"/>
      </w:tblGrid>
      <w:tr>
        <w:trPr>
          <w:cantSplit/>
        </w:trPr>
        <w:tc>
          <w:tcPr>
            <w:tcW w:type="dxa" w:w="10318"/>
            <w:tcBorders>
              <w:top w:val="none" w:color="FFFFFF" w:sz="0"/>
              <w:left w:val="single" w:color="B45309" w:sz="24"/>
              <w:bottom w:val="none" w:color="FFFFFF" w:sz="0"/>
              <w:right w:val="none" w:color="FFFFFF" w:sz="0"/>
            </w:tcBorders>
            <w:shd w:fill="FDF3E4" w:color="auto" w:val="clear"/>
            <w:tcMar>
              <w:top w:type="dxa" w:w="100"/>
              <w:left w:type="dxa" w:w="110"/>
              <w:bottom w:type="dxa" w:w="100"/>
              <w:right w:type="dxa" w:w="110"/>
            </w:tcMar>
            <w:vAlign w:val="top"/>
          </w:tcPr>
          <w:p>
            <w:pPr>
              <w:spacing w:after="30" w:before="0" w:line="252"/>
            </w:pPr>
            <w:r>
              <w:rPr>
                <w:rFonts w:ascii="Arial" w:cs="Arial" w:eastAsia="Arial" w:hAnsi="Arial"/>
                <w:b/>
                <w:bCs/>
                <w:color w:val="B45309"/>
                <w:sz w:val="17"/>
                <w:szCs w:val="17"/>
              </w:rPr>
              <w:t xml:space="preserve">UNIQUE DIFFERENTIATOR</w:t>
            </w:r>
          </w:p>
          <w:p>
            <w:pPr>
              <w:spacing w:after="0" w:before="0" w:line="252"/>
            </w:pPr>
            <w:r>
              <w:rPr>
                <w:rFonts w:ascii="Arial" w:cs="Arial" w:eastAsia="Arial" w:hAnsi="Arial"/>
                <w:color w:val="1F2937"/>
                <w:sz w:val="19"/>
                <w:szCs w:val="19"/>
              </w:rPr>
              <w:t xml:space="preserve">Most states track MoUs. Few, if any, publicly track them all the way to verified jobs. Nivesh Setu closes that loop with EPFO/ESIC-verified job data from Project 04, so the state can show 'MoU → factory → payroll'. It is also the shared backbone for all six projects: one Investor ID across land, approvals, incentives and grievances.</w:t>
            </w:r>
          </w:p>
        </w:tc>
      </w:tr>
    </w:tbl>
    <w:p>
      <w:pPr>
        <w:keepNext/>
        <w:pBdr>
          <w:bottom w:val="single" w:color="1F3A5F" w:sz="6" w:space="2"/>
        </w:pBdr>
        <w:spacing w:after="70" w:before="150"/>
      </w:pPr>
      <w:r>
        <w:rPr>
          <w:rFonts w:ascii="Arial" w:cs="Arial" w:eastAsia="Arial" w:hAnsi="Arial"/>
          <w:b/>
          <w:bCs/>
          <w:color w:val="B45309"/>
          <w:sz w:val="23"/>
          <w:szCs w:val="23"/>
        </w:rPr>
        <w:t xml:space="preserve">3  </w:t>
      </w:r>
      <w:r>
        <w:rPr>
          <w:rFonts w:ascii="Arial" w:cs="Arial" w:eastAsia="Arial" w:hAnsi="Arial"/>
          <w:b/>
          <w:bCs/>
          <w:color w:val="1F3A5F"/>
          <w:sz w:val="21"/>
          <w:szCs w:val="21"/>
        </w:rPr>
        <w:t xml:space="preserve">APPROACH &amp; METHODOLOGY</w:t>
      </w:r>
    </w:p>
    <w:tbl>
      <w:tblPr>
        <w:tblW w:type="dxa" w:w="10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00"/>
        <w:gridCol w:w="5406"/>
        <w:gridCol w:w="2300"/>
      </w:tblGrid>
      <w:tr>
        <w:trPr>
          <w:cantSplit/>
          <w:tblHeader/>
        </w:trPr>
        <w:tc>
          <w:tcPr>
            <w:tcW w:type="dxa" w:w="15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Phase</w:t>
            </w:r>
          </w:p>
        </w:tc>
        <w:tc>
          <w:tcPr>
            <w:tcW w:type="dxa" w:w="11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Duration</w:t>
            </w:r>
          </w:p>
        </w:tc>
        <w:tc>
          <w:tcPr>
            <w:tcW w:type="dxa" w:w="5406"/>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What we do</w:t>
            </w:r>
          </w:p>
        </w:tc>
        <w:tc>
          <w:tcPr>
            <w:tcW w:type="dxa" w:w="23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Output</w:t>
            </w:r>
          </w:p>
        </w:tc>
      </w:tr>
      <w:tr>
        <w:trPr>
          <w:cantSplit/>
        </w:trPr>
        <w:tc>
          <w:tcPr>
            <w:tcW w:type="dxa" w:w="15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0. Discovery</w:t>
            </w:r>
          </w:p>
        </w:tc>
        <w:tc>
          <w:tcPr>
            <w:tcW w:type="dxa" w:w="11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3 weeks</w:t>
            </w:r>
          </w:p>
        </w:tc>
        <w:tc>
          <w:tcPr>
            <w:tcW w:type="dxa" w:w="5406"/>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Map the current trackers, the 2026 MoU list and the 33 cleared projects. Agree the stages and service-level timelines with ICE and WBIDC.</w:t>
            </w:r>
          </w:p>
        </w:tc>
        <w:tc>
          <w:tcPr>
            <w:tcW w:type="dxa" w:w="23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Stage model and baseline</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1. Pilot</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8–10 weeks</w:t>
            </w:r>
          </w:p>
        </w:tc>
        <w:tc>
          <w:tcPr>
            <w:tcW w:type="dxa" w:w="5406"/>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War-room for the top 100 projects, the relationship-officer desk and the weekly review pack.</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Live war-room</w:t>
            </w:r>
          </w:p>
        </w:tc>
      </w:tr>
      <w:tr>
        <w:trPr>
          <w:cantSplit/>
        </w:trPr>
        <w:tc>
          <w:tcPr>
            <w:tcW w:type="dxa" w:w="15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2. Rollout</w:t>
            </w:r>
          </w:p>
        </w:tc>
        <w:tc>
          <w:tcPr>
            <w:tcW w:type="dxa" w:w="11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4–5 months</w:t>
            </w:r>
          </w:p>
        </w:tc>
        <w:tc>
          <w:tcPr>
            <w:tcW w:type="dxa" w:w="5406"/>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All projects above ₹10 crore; grievance bridge; links to Silpa Sathi, Shilpa Bhumi and Karma Praman; public board.</w:t>
            </w:r>
          </w:p>
        </w:tc>
        <w:tc>
          <w:tcPr>
            <w:tcW w:type="dxa" w:w="23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State-wide tracker</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3. Run</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Ongoing</w:t>
            </w:r>
          </w:p>
        </w:tc>
        <w:tc>
          <w:tcPr>
            <w:tcW w:type="dxa" w:w="5406"/>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Operations and maintenance, quarterly improvements, and delay analytics (which step and which office delays most).</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Monthly insights</w:t>
            </w:r>
          </w:p>
        </w:tc>
      </w:tr>
    </w:tbl>
    <w:p>
      <w:pPr>
        <w:spacing w:after="0" w:before="60" w:line="252"/>
      </w:pPr>
      <w:r>
        <w:rPr>
          <w:rFonts w:ascii="Arial" w:cs="Arial" w:eastAsia="Arial" w:hAnsi="Arial"/>
          <w:b/>
          <w:bCs/>
          <w:color w:val="1F3A5F"/>
          <w:sz w:val="19"/>
          <w:szCs w:val="19"/>
        </w:rPr>
        <w:t xml:space="preserve">Method: </w:t>
      </w:r>
      <w:r>
        <w:rPr>
          <w:rFonts w:ascii="Arial" w:cs="Arial" w:eastAsia="Arial" w:hAnsi="Arial"/>
          <w:color w:val="1F2937"/>
          <w:sz w:val="19"/>
          <w:szCs w:val="19"/>
        </w:rPr>
        <w:t xml:space="preserve">Agile, two-week sprints designed together with officers. Open-source stack (PostgreSQL, Keycloak single sign-on, React), hosted in the WB State Data Centre, with role-based access and full audit logs.</w:t>
      </w:r>
    </w:p>
    <w:p>
      <w:pPr>
        <w:keepNext/>
        <w:pBdr>
          <w:bottom w:val="single" w:color="1F3A5F" w:sz="6" w:space="2"/>
        </w:pBdr>
        <w:spacing w:after="70" w:before="150"/>
      </w:pPr>
      <w:r>
        <w:rPr>
          <w:rFonts w:ascii="Arial" w:cs="Arial" w:eastAsia="Arial" w:hAnsi="Arial"/>
          <w:b/>
          <w:bCs/>
          <w:color w:val="B45309"/>
          <w:sz w:val="23"/>
          <w:szCs w:val="23"/>
        </w:rPr>
        <w:t xml:space="preserve">4  </w:t>
      </w:r>
      <w:r>
        <w:rPr>
          <w:rFonts w:ascii="Arial" w:cs="Arial" w:eastAsia="Arial" w:hAnsi="Arial"/>
          <w:b/>
          <w:bCs/>
          <w:color w:val="1F3A5F"/>
          <w:sz w:val="21"/>
          <w:szCs w:val="21"/>
        </w:rPr>
        <w:t xml:space="preserve">BENEFITS</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9"/>
        <w:gridCol w:w="5159"/>
      </w:tblGrid>
      <w:tr>
        <w:trPr>
          <w:cantSplit/>
        </w:trPr>
        <w:tc>
          <w:tcPr>
            <w:tcW w:type="dxa" w:w="5159"/>
            <w:tcBorders>
              <w:top w:val="single" w:color="CBD5E1" w:sz="4"/>
              <w:left w:val="none" w:color="FFFFFF" w:sz="0"/>
              <w:bottom w:val="none" w:color="FFFFFF" w:sz="0"/>
              <w:right w:val="none" w:color="FFFFFF" w:sz="0"/>
            </w:tcBorders>
            <w:tcMar>
              <w:top w:type="dxa" w:w="70"/>
              <w:left w:type="dxa" w:w="110"/>
              <w:bottom w:type="dxa" w:w="70"/>
              <w:right w:type="dxa" w:w="110"/>
            </w:tcMar>
            <w:vAlign w:val="top"/>
          </w:tcPr>
          <w:p>
            <w:pPr>
              <w:spacing w:after="40" w:before="0" w:line="252"/>
            </w:pPr>
            <w:r>
              <w:rPr>
                <w:rFonts w:ascii="Arial" w:cs="Arial" w:eastAsia="Arial" w:hAnsi="Arial"/>
                <w:b/>
                <w:bCs/>
                <w:color w:val="0F766E"/>
                <w:sz w:val="18"/>
                <w:szCs w:val="18"/>
              </w:rPr>
              <w:t xml:space="preserve">For the Government</w:t>
            </w:r>
          </w:p>
          <w:p>
            <w:pPr>
              <w:pStyle w:val="ListParagraph"/>
              <w:keepLines/>
              <w:numPr>
                <w:ilvl w:val="0"/>
                <w:numId w:val="2"/>
              </w:numPr>
              <w:spacing w:after="40" w:line="246"/>
            </w:pPr>
            <w:r>
              <w:rPr>
                <w:rFonts w:ascii="Arial" w:cs="Arial" w:eastAsia="Arial" w:hAnsi="Arial"/>
                <w:color w:val="1F2937"/>
                <w:sz w:val="19"/>
                <w:szCs w:val="19"/>
              </w:rPr>
              <w:t xml:space="preserve">Real-time view of the whole investment pipeline; review meetings take minutes instead of days of report-making.</w:t>
            </w:r>
          </w:p>
          <w:p>
            <w:pPr>
              <w:pStyle w:val="ListParagraph"/>
              <w:keepLines/>
              <w:numPr>
                <w:ilvl w:val="0"/>
                <w:numId w:val="2"/>
              </w:numPr>
              <w:spacing w:after="40" w:line="246"/>
            </w:pPr>
            <w:r>
              <w:rPr>
                <w:rFonts w:ascii="Arial" w:cs="Arial" w:eastAsia="Arial" w:hAnsi="Arial"/>
                <w:color w:val="1F2937"/>
                <w:sz w:val="19"/>
                <w:szCs w:val="19"/>
              </w:rPr>
              <w:t xml:space="preserve">Escalations based on evidence; credible, publishable numbers for the next business summit.</w:t>
            </w:r>
          </w:p>
          <w:p>
            <w:pPr>
              <w:pStyle w:val="ListParagraph"/>
              <w:keepLines/>
              <w:numPr>
                <w:ilvl w:val="0"/>
                <w:numId w:val="2"/>
              </w:numPr>
              <w:spacing w:after="40" w:line="246"/>
            </w:pPr>
            <w:r>
              <w:rPr>
                <w:rFonts w:ascii="Arial" w:cs="Arial" w:eastAsia="Arial" w:hAnsi="Arial"/>
                <w:color w:val="1F2937"/>
                <w:sz w:val="19"/>
                <w:szCs w:val="19"/>
              </w:rPr>
              <w:t xml:space="preserve">Early warning when an investor is facing harassment or delay.</w:t>
            </w:r>
          </w:p>
        </w:tc>
        <w:tc>
          <w:tcPr>
            <w:tcW w:type="dxa" w:w="5159"/>
            <w:tcBorders>
              <w:top w:val="single" w:color="CBD5E1" w:sz="4"/>
              <w:left w:val="none" w:color="FFFFFF" w:sz="0"/>
              <w:bottom w:val="none" w:color="FFFFFF" w:sz="0"/>
              <w:right w:val="none" w:color="FFFFFF" w:sz="0"/>
            </w:tcBorders>
            <w:tcMar>
              <w:top w:type="dxa" w:w="70"/>
              <w:left w:type="dxa" w:w="110"/>
              <w:bottom w:type="dxa" w:w="70"/>
              <w:right w:type="dxa" w:w="110"/>
            </w:tcMar>
            <w:vAlign w:val="top"/>
          </w:tcPr>
          <w:p>
            <w:pPr>
              <w:spacing w:after="40" w:before="0" w:line="252"/>
            </w:pPr>
            <w:r>
              <w:rPr>
                <w:rFonts w:ascii="Arial" w:cs="Arial" w:eastAsia="Arial" w:hAnsi="Arial"/>
                <w:b/>
                <w:bCs/>
                <w:color w:val="0F766E"/>
                <w:sz w:val="18"/>
                <w:szCs w:val="18"/>
              </w:rPr>
              <w:t xml:space="preserve">For industry, MSMEs &amp; citizens</w:t>
            </w:r>
          </w:p>
          <w:p>
            <w:pPr>
              <w:pStyle w:val="ListParagraph"/>
              <w:keepLines/>
              <w:numPr>
                <w:ilvl w:val="0"/>
                <w:numId w:val="2"/>
              </w:numPr>
              <w:spacing w:after="40" w:line="246"/>
            </w:pPr>
            <w:r>
              <w:rPr>
                <w:rFonts w:ascii="Arial" w:cs="Arial" w:eastAsia="Arial" w:hAnsi="Arial"/>
                <w:color w:val="1F2937"/>
                <w:sz w:val="19"/>
                <w:szCs w:val="19"/>
              </w:rPr>
              <w:t xml:space="preserve">One contact, one ID and visible timelines for every investor.</w:t>
            </w:r>
          </w:p>
          <w:p>
            <w:pPr>
              <w:pStyle w:val="ListParagraph"/>
              <w:keepLines/>
              <w:numPr>
                <w:ilvl w:val="0"/>
                <w:numId w:val="2"/>
              </w:numPr>
              <w:spacing w:after="40" w:line="246"/>
            </w:pPr>
            <w:r>
              <w:rPr>
                <w:rFonts w:ascii="Arial" w:cs="Arial" w:eastAsia="Arial" w:hAnsi="Arial"/>
                <w:color w:val="1F2937"/>
                <w:sz w:val="19"/>
                <w:szCs w:val="19"/>
              </w:rPr>
              <w:t xml:space="preserve">Complaints are tracked to closure instead of getting lost.</w:t>
            </w:r>
          </w:p>
          <w:p>
            <w:pPr>
              <w:pStyle w:val="ListParagraph"/>
              <w:keepLines/>
              <w:numPr>
                <w:ilvl w:val="0"/>
                <w:numId w:val="2"/>
              </w:numPr>
              <w:spacing w:after="40" w:line="246"/>
            </w:pPr>
            <w:r>
              <w:rPr>
                <w:rFonts w:ascii="Arial" w:cs="Arial" w:eastAsia="Arial" w:hAnsi="Arial"/>
                <w:color w:val="1F2937"/>
                <w:sz w:val="19"/>
                <w:szCs w:val="19"/>
              </w:rPr>
              <w:t xml:space="preserve">Target KPIs (year 1): 100% of projects above ₹10 crore tracked; 30% cut in average stage delay; conversion rate published every quarter.</w:t>
            </w:r>
          </w:p>
        </w:tc>
      </w:tr>
    </w:tbl>
    <w:p>
      <w:pPr>
        <w:keepNext/>
        <w:pBdr>
          <w:bottom w:val="single" w:color="1F3A5F" w:sz="6" w:space="2"/>
        </w:pBdr>
        <w:spacing w:after="70" w:before="150"/>
      </w:pPr>
      <w:r>
        <w:rPr>
          <w:rFonts w:ascii="Arial" w:cs="Arial" w:eastAsia="Arial" w:hAnsi="Arial"/>
          <w:b/>
          <w:bCs/>
          <w:color w:val="B45309"/>
          <w:sz w:val="23"/>
          <w:szCs w:val="23"/>
        </w:rPr>
        <w:t xml:space="preserve">5  </w:t>
      </w:r>
      <w:r>
        <w:rPr>
          <w:rFonts w:ascii="Arial" w:cs="Arial" w:eastAsia="Arial" w:hAnsi="Arial"/>
          <w:b/>
          <w:bCs/>
          <w:color w:val="1F3A5F"/>
          <w:sz w:val="21"/>
          <w:szCs w:val="21"/>
        </w:rPr>
        <w:t xml:space="preserve">LIKELY COST RANGE (DEVELOPMENT + INFRASTRUCTURE)</w:t>
      </w:r>
    </w:p>
    <w:tbl>
      <w:tblPr>
        <w:tblW w:type="dxa" w:w="10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6"/>
        <w:gridCol w:w="2500"/>
        <w:gridCol w:w="2500"/>
      </w:tblGrid>
      <w:tr>
        <w:trPr>
          <w:cantSplit/>
          <w:tblHeader/>
        </w:trPr>
        <w:tc>
          <w:tcPr>
            <w:tcW w:type="dxa" w:w="5306"/>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pPr>
            <w:r>
              <w:rPr>
                <w:rFonts w:ascii="Arial" w:cs="Arial" w:eastAsia="Arial" w:hAnsi="Arial"/>
                <w:b/>
                <w:bCs/>
                <w:color w:val="FFFFFF"/>
                <w:sz w:val="16"/>
                <w:szCs w:val="16"/>
              </w:rPr>
              <w:t xml:space="preserve">Component</w:t>
            </w:r>
          </w:p>
        </w:tc>
        <w:tc>
          <w:tcPr>
            <w:tcW w:type="dxa" w:w="2500"/>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FFFFFF"/>
                <w:sz w:val="16"/>
                <w:szCs w:val="16"/>
              </w:rPr>
              <w:t xml:space="preserve">Low</w:t>
            </w:r>
          </w:p>
        </w:tc>
        <w:tc>
          <w:tcPr>
            <w:tcW w:type="dxa" w:w="2500"/>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FFFFFF"/>
                <w:sz w:val="16"/>
                <w:szCs w:val="16"/>
              </w:rPr>
              <w:t xml:space="preserve">High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Development: pilot (Phases 0–1)</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₹25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₹40 lakh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Development: full rollout (Phase 2), incl. security audit</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₹90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₹1.5 cr</w:t>
            </w:r>
          </w:p>
        </w:tc>
      </w:tr>
      <w:tr>
        <w:trPr>
          <w:cantSplit/>
        </w:trPr>
        <w:tc>
          <w:tcPr>
            <w:tcW w:type="dxa" w:w="5306"/>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pPr>
            <w:r>
              <w:rPr>
                <w:rFonts w:ascii="Arial" w:cs="Arial" w:eastAsia="Arial" w:hAnsi="Arial"/>
                <w:b/>
                <w:bCs/>
                <w:color w:val="1F3A5F"/>
                <w:sz w:val="17"/>
                <w:szCs w:val="17"/>
              </w:rPr>
              <w:t xml:space="preserve">One-time total</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₹1.15 cr</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₹1.9 cr</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Infrastructure per year (hosting, storage, gateways, data)</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₹15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₹25 lakh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Operations &amp; maintenance per year (support, updates, helpdesk)</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₹20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₹35 lakh</w:t>
            </w:r>
          </w:p>
        </w:tc>
      </w:tr>
      <w:tr>
        <w:trPr>
          <w:cantSplit/>
        </w:trPr>
        <w:tc>
          <w:tcPr>
            <w:tcW w:type="dxa" w:w="5306"/>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pPr>
            <w:r>
              <w:rPr>
                <w:rFonts w:ascii="Arial" w:cs="Arial" w:eastAsia="Arial" w:hAnsi="Arial"/>
                <w:b/>
                <w:bCs/>
                <w:color w:val="1F3A5F"/>
                <w:sz w:val="17"/>
                <w:szCs w:val="17"/>
              </w:rPr>
              <w:t xml:space="preserve">Recurring total per year</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₹35 lakh</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₹60 lakh</w:t>
            </w:r>
          </w:p>
        </w:tc>
      </w:tr>
    </w:tbl>
    <w:p>
      <w:pPr>
        <w:spacing w:after="0" w:before="50" w:line="252"/>
      </w:pPr>
      <w:r>
        <w:rPr>
          <w:rFonts w:ascii="Arial" w:cs="Arial" w:eastAsia="Arial" w:hAnsi="Arial"/>
          <w:i/>
          <w:iCs/>
          <w:color w:val="5B6472"/>
          <w:sz w:val="16"/>
          <w:szCs w:val="16"/>
        </w:rPr>
        <w:t xml:space="preserve">Infra covers hosting (State Data Centre or MeitY-empanelled cloud), SMS/e-mail gateway and backups. Figures exclude GST and are ±25% until scoped.</w:t>
      </w:r>
    </w:p>
    <w:p>
      <w:pPr>
        <w:keepNext/>
        <w:pBdr>
          <w:bottom w:val="single" w:color="1F3A5F" w:sz="6" w:space="2"/>
        </w:pBdr>
        <w:spacing w:after="70" w:before="150"/>
      </w:pPr>
      <w:r>
        <w:rPr>
          <w:rFonts w:ascii="Arial" w:cs="Arial" w:eastAsia="Arial" w:hAnsi="Arial"/>
          <w:b/>
          <w:bCs/>
          <w:color w:val="B45309"/>
          <w:sz w:val="23"/>
          <w:szCs w:val="23"/>
        </w:rPr>
        <w:t xml:space="preserve">6  </w:t>
      </w:r>
      <w:r>
        <w:rPr>
          <w:rFonts w:ascii="Arial" w:cs="Arial" w:eastAsia="Arial" w:hAnsi="Arial"/>
          <w:b/>
          <w:bCs/>
          <w:color w:val="1F3A5F"/>
          <w:sz w:val="21"/>
          <w:szCs w:val="21"/>
        </w:rPr>
        <w:t xml:space="preserve">KEY RISKS &amp; HOW WE HANDLE THEM</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718"/>
      </w:tblGrid>
      <w:tr>
        <w:trPr>
          <w:cantSplit/>
        </w:trPr>
        <w:tc>
          <w:tcPr>
            <w:tcW w:type="dxa" w:w="3600"/>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Departments don't keep data updated</w:t>
            </w:r>
          </w:p>
        </w:tc>
        <w:tc>
          <w:tcPr>
            <w:tcW w:type="dxa" w:w="6718"/>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Status is pulled automatically from Silpa Sathi and land systems where possible; data freshness is reviewed in the monthly meeting.</w:t>
            </w:r>
          </w:p>
        </w:tc>
      </w:tr>
      <w:tr>
        <w:trPr>
          <w:cantSplit/>
        </w:trPr>
        <w:tc>
          <w:tcPr>
            <w:tcW w:type="dxa" w:w="3600"/>
            <w:tcBorders>
              <w:top w:val="none" w:color="FFFFFF" w:sz="0"/>
              <w:left w:val="none" w:color="FFFFFF" w:sz="0"/>
              <w:bottom w:val="single" w:color="CBD5E1" w:sz="4"/>
              <w:right w:val="none" w:color="FFFFFF" w:sz="0"/>
            </w:tcBorders>
            <w:shd w:fill="FFFFFF"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Investor data is commercially sensitive</w:t>
            </w:r>
          </w:p>
        </w:tc>
        <w:tc>
          <w:tcPr>
            <w:tcW w:type="dxa" w:w="6718"/>
            <w:tcBorders>
              <w:top w:val="none" w:color="FFFFFF" w:sz="0"/>
              <w:left w:val="none" w:color="FFFFFF" w:sz="0"/>
              <w:bottom w:val="single" w:color="CBD5E1" w:sz="4"/>
              <w:right w:val="none" w:color="FFFFFF" w:sz="0"/>
            </w:tcBorders>
            <w:shd w:fill="FFFFFF"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Role-based access; the public board shows only aggregates.</w:t>
            </w:r>
          </w:p>
        </w:tc>
      </w:tr>
      <w:tr>
        <w:trPr>
          <w:cantSplit/>
        </w:trPr>
        <w:tc>
          <w:tcPr>
            <w:tcW w:type="dxa" w:w="3600"/>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Officers see it as surveillance</w:t>
            </w:r>
          </w:p>
        </w:tc>
        <w:tc>
          <w:tcPr>
            <w:tcW w:type="dxa" w:w="6718"/>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Positioned as support: each officer sees their own queue and can flag blockers upward.</w:t>
            </w:r>
          </w:p>
        </w:tc>
      </w:tr>
    </w:tbl>
    <w:p>
      <w:r>
        <w:br w:type="pag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18"/>
      </w:tblGrid>
      <w:tr>
        <w:tc>
          <w:tcPr>
            <w:tcW w:type="dxa" w:w="10318"/>
            <w:tcBorders>
              <w:top w:val="none" w:color="FFFFFF" w:sz="0"/>
              <w:left w:val="none" w:color="FFFFFF" w:sz="0"/>
              <w:bottom w:val="none" w:color="FFFFFF" w:sz="0"/>
              <w:right w:val="none" w:color="FFFFFF" w:sz="0"/>
            </w:tcBorders>
            <w:shd w:fill="1F3A5F" w:color="auto" w:val="clear"/>
            <w:tcMar>
              <w:top w:type="dxa" w:w="150"/>
              <w:left w:type="dxa" w:w="110"/>
              <w:bottom w:type="dxa" w:w="150"/>
              <w:right w:type="dxa" w:w="110"/>
            </w:tcMar>
            <w:vAlign w:val="top"/>
          </w:tcPr>
          <w:p>
            <w:pPr>
              <w:spacing w:after="80" w:before="0" w:line="252"/>
            </w:pPr>
            <w:r>
              <w:rPr>
                <w:rFonts w:ascii="Arial" w:cs="Arial" w:eastAsia="Arial" w:hAnsi="Arial"/>
                <w:b/>
                <w:bCs/>
                <w:color w:val="F6C27A"/>
                <w:sz w:val="17"/>
                <w:szCs w:val="17"/>
              </w:rPr>
              <w:t xml:space="preserve">INITIATIVE 02</w:t>
            </w:r>
          </w:p>
          <w:p>
            <w:pPr>
              <w:spacing w:after="60" w:before="0" w:line="276"/>
            </w:pPr>
            <w:r>
              <w:rPr>
                <w:rFonts w:ascii="Arial" w:cs="Arial" w:eastAsia="Arial" w:hAnsi="Arial"/>
                <w:b/>
                <w:bCs/>
                <w:color w:val="FFFFFF"/>
                <w:sz w:val="38"/>
                <w:szCs w:val="38"/>
              </w:rPr>
              <w:t xml:space="preserve">Shilpa Bhumi</w:t>
            </w:r>
            <w:r>
              <w:rPr>
                <w:rFonts w:ascii="Arial" w:cs="Arial" w:eastAsia="Arial" w:hAnsi="Arial"/>
                <w:color w:val="DCE6F2"/>
                <w:sz w:val="22"/>
                <w:szCs w:val="22"/>
              </w:rPr>
              <w:t xml:space="preserve">   Industrial Land Intelligence &amp; Closed-Factory Revival Grid</w:t>
            </w:r>
          </w:p>
          <w:p>
            <w:pPr>
              <w:spacing w:after="0" w:before="0" w:line="252"/>
            </w:pPr>
            <w:r>
              <w:rPr>
                <w:rFonts w:ascii="Arial" w:cs="Arial" w:eastAsia="Arial" w:hAnsi="Arial"/>
                <w:i/>
                <w:iCs/>
                <w:color w:val="DCE6F2"/>
                <w:sz w:val="19"/>
                <w:szCs w:val="19"/>
              </w:rPr>
              <w:t xml:space="preserve">Know every industrial acre: who owns it, whether it is clean, and whether it is being used.</w:t>
            </w:r>
          </w:p>
        </w:tc>
      </w:tr>
    </w:tbl>
    <w:p>
      <w:pPr>
        <w:spacing w:after="60" w:before="0" w:line="252"/>
      </w:pPr>
      <w:r>
        <w:rPr>
          <w:rFonts w:ascii="Arial" w:cs="Arial" w:eastAsia="Arial" w:hAnsi="Arial"/>
          <w:color w:val="1F2937"/>
          <w:sz w:val="19"/>
          <w:szCs w:val="19"/>
        </w:rPr>
        <w:t xml:space="preserv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9"/>
        <w:gridCol w:w="5159"/>
      </w:tblGrid>
      <w:tr>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OWNER &amp; PARTNER DEPARTMENTS</w:t>
            </w:r>
          </w:p>
          <w:p>
            <w:pPr>
              <w:spacing w:after="0" w:before="0" w:line="230"/>
            </w:pPr>
            <w:r>
              <w:rPr>
                <w:rFonts w:ascii="Arial" w:cs="Arial" w:eastAsia="Arial" w:hAnsi="Arial"/>
                <w:color w:val="1F2937"/>
                <w:sz w:val="17"/>
                <w:szCs w:val="17"/>
              </w:rPr>
              <w:t xml:space="preserve">ICE; Land &amp; Land Reforms (Banglarbhumi); WBIDC, WBIIDC, WBSIDCL; Public Enterprises &amp; Industrial Reconstruction; District Magistrates</w:t>
            </w:r>
          </w:p>
        </w:tc>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STATUS TODAY</w:t>
            </w:r>
          </w:p>
          <w:p>
            <w:pPr>
              <w:spacing w:after="0" w:before="0" w:line="230"/>
            </w:pPr>
            <w:r>
              <w:rPr>
                <w:rFonts w:ascii="Arial" w:cs="Arial" w:eastAsia="Arial" w:hAnsi="Arial"/>
                <w:b/>
                <w:bCs/>
                <w:color w:val="1F2937"/>
                <w:sz w:val="17"/>
                <w:szCs w:val="17"/>
              </w:rPr>
              <w:t xml:space="preserve">Partially started (static data only). </w:t>
            </w:r>
            <w:r>
              <w:rPr>
                <w:rFonts w:ascii="Arial" w:cs="Arial" w:eastAsia="Arial" w:hAnsi="Arial"/>
                <w:color w:val="1F2937"/>
                <w:sz w:val="17"/>
                <w:szCs w:val="17"/>
              </w:rPr>
              <w:t xml:space="preserve">Land-availability lists are on WBIDC and ICE websites and about 570 MSME clusters were GIS-mapped earlier. A new land policy is being drafted. The analytics and revival layer has not started.</w:t>
            </w:r>
          </w:p>
        </w:tc>
      </w:tr>
      <w:tr>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TIMELINE</w:t>
            </w:r>
          </w:p>
          <w:p>
            <w:pPr>
              <w:spacing w:after="0" w:before="0" w:line="252"/>
            </w:pPr>
            <w:r>
              <w:rPr>
                <w:rFonts w:ascii="Arial" w:cs="Arial" w:eastAsia="Arial" w:hAnsi="Arial"/>
                <w:color w:val="1F2937"/>
                <w:sz w:val="17"/>
                <w:szCs w:val="17"/>
              </w:rPr>
              <w:t xml:space="preserve">Pilot 12 weeks (West Burdwan) · State rollout 6 months</w:t>
            </w:r>
          </w:p>
        </w:tc>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INDICATIVE COST</w:t>
            </w:r>
          </w:p>
          <w:p>
            <w:pPr>
              <w:spacing w:after="0" w:before="0" w:line="252"/>
            </w:pPr>
            <w:r>
              <w:rPr>
                <w:rFonts w:ascii="Arial" w:cs="Arial" w:eastAsia="Arial" w:hAnsi="Arial"/>
                <w:b/>
                <w:bCs/>
                <w:color w:val="1F2937"/>
                <w:sz w:val="17"/>
                <w:szCs w:val="17"/>
              </w:rPr>
              <w:t xml:space="preserve">One-time ₹2.15–3.55 cr</w:t>
            </w:r>
            <w:r>
              <w:rPr>
                <w:rFonts w:ascii="Arial" w:cs="Arial" w:eastAsia="Arial" w:hAnsi="Arial"/>
                <w:color w:val="1F2937"/>
                <w:sz w:val="17"/>
                <w:szCs w:val="17"/>
              </w:rPr>
              <w:t xml:space="preserve">  ·  Recurring ₹75 lakh–1.3 cr / yr</w:t>
            </w:r>
          </w:p>
        </w:tc>
      </w:tr>
    </w:tbl>
    <w:p>
      <w:pPr>
        <w:keepNext/>
        <w:pBdr>
          <w:bottom w:val="single" w:color="1F3A5F" w:sz="6" w:space="2"/>
        </w:pBdr>
        <w:spacing w:after="70" w:before="150"/>
      </w:pPr>
      <w:r>
        <w:rPr>
          <w:rFonts w:ascii="Arial" w:cs="Arial" w:eastAsia="Arial" w:hAnsi="Arial"/>
          <w:b/>
          <w:bCs/>
          <w:color w:val="B45309"/>
          <w:sz w:val="23"/>
          <w:szCs w:val="23"/>
        </w:rPr>
        <w:t xml:space="preserve">1  </w:t>
      </w:r>
      <w:r>
        <w:rPr>
          <w:rFonts w:ascii="Arial" w:cs="Arial" w:eastAsia="Arial" w:hAnsi="Arial"/>
          <w:b/>
          <w:bCs/>
          <w:color w:val="1F3A5F"/>
          <w:sz w:val="21"/>
          <w:szCs w:val="21"/>
        </w:rPr>
        <w:t xml:space="preserve">PROBLEM STATEMENT</w:t>
      </w:r>
    </w:p>
    <w:p>
      <w:pPr>
        <w:pStyle w:val="ListParagraph"/>
        <w:keepLines/>
        <w:numPr>
          <w:ilvl w:val="0"/>
          <w:numId w:val="2"/>
        </w:numPr>
        <w:spacing w:after="40" w:line="246"/>
      </w:pPr>
      <w:r>
        <w:rPr>
          <w:rFonts w:ascii="Arial" w:cs="Arial" w:eastAsia="Arial" w:hAnsi="Arial"/>
          <w:color w:val="1F2937"/>
          <w:sz w:val="19"/>
          <w:szCs w:val="19"/>
        </w:rPr>
        <w:t xml:space="preserve">Land is the number one constraint. The government has said the existing land bank cannot meet investor demand, and it is rewriting land policy after consulting industry (August 2026).</w:t>
      </w:r>
    </w:p>
    <w:p>
      <w:pPr>
        <w:pStyle w:val="ListParagraph"/>
        <w:keepLines/>
        <w:numPr>
          <w:ilvl w:val="0"/>
          <w:numId w:val="2"/>
        </w:numPr>
        <w:spacing w:after="40" w:line="246"/>
      </w:pPr>
      <w:r>
        <w:rPr>
          <w:rFonts w:ascii="Arial" w:cs="Arial" w:eastAsia="Arial" w:hAnsi="Arial"/>
          <w:color w:val="1F2937"/>
          <w:sz w:val="19"/>
          <w:szCs w:val="19"/>
        </w:rPr>
        <w:t xml:space="preserve">Large tracts are locked inside closed units: about 2,100 acres in West Burdwan alone, including about 947 acres at Hindustan Cables, Rupnarayanpur. Several sites are under litigation, and District Magistrates prepare status reports by hand.</w:t>
      </w:r>
    </w:p>
    <w:p>
      <w:pPr>
        <w:pStyle w:val="ListParagraph"/>
        <w:keepLines/>
        <w:numPr>
          <w:ilvl w:val="0"/>
          <w:numId w:val="2"/>
        </w:numPr>
        <w:spacing w:after="40" w:line="246"/>
      </w:pPr>
      <w:r>
        <w:rPr>
          <w:rFonts w:ascii="Arial" w:cs="Arial" w:eastAsia="Arial" w:hAnsi="Arial"/>
          <w:color w:val="1F2937"/>
          <w:sz w:val="19"/>
          <w:szCs w:val="19"/>
        </w:rPr>
        <w:t xml:space="preserve">The facts about a single plot are spread across Banglarbhumi (Record of Rights), Registration (encumbrance), WBIDC/WBIIDC allotments, the courts and the utilities. An investor cannot verify a plot without many office visits.</w:t>
      </w:r>
    </w:p>
    <w:p>
      <w:pPr>
        <w:pStyle w:val="ListParagraph"/>
        <w:keepLines/>
        <w:numPr>
          <w:ilvl w:val="0"/>
          <w:numId w:val="2"/>
        </w:numPr>
        <w:spacing w:after="40" w:line="246"/>
      </w:pPr>
      <w:r>
        <w:rPr>
          <w:rFonts w:ascii="Arial" w:cs="Arial" w:eastAsia="Arial" w:hAnsi="Arial"/>
          <w:color w:val="1F2937"/>
          <w:sz w:val="19"/>
          <w:szCs w:val="19"/>
        </w:rPr>
        <w:t xml:space="preserve">Plots that were allotted in industrial parks but never used are not detected or taken back in any systematic way.</w:t>
      </w:r>
    </w:p>
    <w:p>
      <w:pPr>
        <w:pStyle w:val="ListParagraph"/>
        <w:keepLines/>
        <w:numPr>
          <w:ilvl w:val="0"/>
          <w:numId w:val="2"/>
        </w:numPr>
        <w:spacing w:after="40" w:line="246"/>
      </w:pPr>
      <w:r>
        <w:rPr>
          <w:rFonts w:ascii="Arial" w:cs="Arial" w:eastAsia="Arial" w:hAnsi="Arial"/>
          <w:color w:val="1F2937"/>
          <w:sz w:val="19"/>
          <w:szCs w:val="19"/>
        </w:rPr>
        <w:t xml:space="preserve">The proposed policy to make land-givers stakeholders in new units needs a trustworthy record of who holds which stake.</w:t>
      </w:r>
    </w:p>
    <w:p>
      <w:pPr>
        <w:keepNext/>
        <w:pBdr>
          <w:bottom w:val="single" w:color="1F3A5F" w:sz="6" w:space="2"/>
        </w:pBdr>
        <w:spacing w:after="70" w:before="150"/>
      </w:pPr>
      <w:r>
        <w:rPr>
          <w:rFonts w:ascii="Arial" w:cs="Arial" w:eastAsia="Arial" w:hAnsi="Arial"/>
          <w:b/>
          <w:bCs/>
          <w:color w:val="B45309"/>
          <w:sz w:val="23"/>
          <w:szCs w:val="23"/>
        </w:rPr>
        <w:t xml:space="preserve">2  </w:t>
      </w:r>
      <w:r>
        <w:rPr>
          <w:rFonts w:ascii="Arial" w:cs="Arial" w:eastAsia="Arial" w:hAnsi="Arial"/>
          <w:b/>
          <w:bCs/>
          <w:color w:val="1F3A5F"/>
          <w:sz w:val="21"/>
          <w:szCs w:val="21"/>
        </w:rPr>
        <w:t xml:space="preserve">PROPOSED SOLUTION</w:t>
      </w:r>
    </w:p>
    <w:p>
      <w:pPr>
        <w:keepNext/>
        <w:spacing w:after="60" w:before="0" w:line="252"/>
      </w:pPr>
      <w:r>
        <w:rPr>
          <w:rFonts w:ascii="Arial" w:cs="Arial" w:eastAsia="Arial" w:hAnsi="Arial"/>
          <w:color w:val="1F2937"/>
          <w:sz w:val="19"/>
          <w:szCs w:val="19"/>
        </w:rPr>
        <w:t xml:space="preserve">A single GIS record for every industrial parcel, built by combining all official sources, with satellite analytics on top and a step-by-step workflow for reviving closed-factory land.</w:t>
      </w:r>
    </w:p>
    <w:p>
      <w:pPr>
        <w:pStyle w:val="ListParagraph"/>
        <w:keepLines/>
        <w:numPr>
          <w:ilvl w:val="0"/>
          <w:numId w:val="2"/>
        </w:numPr>
        <w:spacing w:after="40" w:line="246"/>
      </w:pPr>
      <w:r>
        <w:rPr>
          <w:rFonts w:ascii="Arial" w:cs="Arial" w:eastAsia="Arial" w:hAnsi="Arial"/>
          <w:b/>
          <w:bCs/>
          <w:color w:val="1F3A5F"/>
          <w:sz w:val="19"/>
          <w:szCs w:val="19"/>
        </w:rPr>
        <w:t xml:space="preserve">Parcel 360: </w:t>
      </w:r>
      <w:r>
        <w:rPr>
          <w:rFonts w:ascii="Arial" w:cs="Arial" w:eastAsia="Arial" w:hAnsi="Arial"/>
          <w:color w:val="1F2937"/>
          <w:sz w:val="19"/>
          <w:szCs w:val="19"/>
        </w:rPr>
        <w:t xml:space="preserve">Click any plot to see its ownership (RoR), land class, encumbrance, court cases and allotment status, plus distance to power, water, road, rail and port (PM Gati Shakti layers).</w:t>
      </w:r>
    </w:p>
    <w:p>
      <w:pPr>
        <w:pStyle w:val="ListParagraph"/>
        <w:keepLines/>
        <w:numPr>
          <w:ilvl w:val="0"/>
          <w:numId w:val="2"/>
        </w:numPr>
        <w:spacing w:after="40" w:line="246"/>
      </w:pPr>
      <w:r>
        <w:rPr>
          <w:rFonts w:ascii="Arial" w:cs="Arial" w:eastAsia="Arial" w:hAnsi="Arial"/>
          <w:b/>
          <w:bCs/>
          <w:color w:val="1F3A5F"/>
          <w:sz w:val="19"/>
          <w:szCs w:val="19"/>
        </w:rPr>
        <w:t xml:space="preserve">Idle-land radar: </w:t>
      </w:r>
      <w:r>
        <w:rPr>
          <w:rFonts w:ascii="Arial" w:cs="Arial" w:eastAsia="Arial" w:hAnsi="Arial"/>
          <w:color w:val="1F2937"/>
          <w:sz w:val="19"/>
          <w:szCs w:val="19"/>
        </w:rPr>
        <w:t xml:space="preserve">Quarterly satellite change detection (ISRO Bhuvan plus high-resolution imagery where needed) that flags allotted plots with no activity for 24 months or more.</w:t>
      </w:r>
    </w:p>
    <w:p>
      <w:pPr>
        <w:pStyle w:val="ListParagraph"/>
        <w:keepLines/>
        <w:numPr>
          <w:ilvl w:val="0"/>
          <w:numId w:val="2"/>
        </w:numPr>
        <w:spacing w:after="40" w:line="246"/>
      </w:pPr>
      <w:r>
        <w:rPr>
          <w:rFonts w:ascii="Arial" w:cs="Arial" w:eastAsia="Arial" w:hAnsi="Arial"/>
          <w:b/>
          <w:bCs/>
          <w:color w:val="1F3A5F"/>
          <w:sz w:val="19"/>
          <w:szCs w:val="19"/>
        </w:rPr>
        <w:t xml:space="preserve">Revival dossiers: </w:t>
      </w:r>
      <w:r>
        <w:rPr>
          <w:rFonts w:ascii="Arial" w:cs="Arial" w:eastAsia="Arial" w:hAnsi="Arial"/>
          <w:color w:val="1F2937"/>
          <w:sz w:val="19"/>
          <w:szCs w:val="19"/>
        </w:rPr>
        <w:t xml:space="preserve">One file per closed factory: area, owner (central PSU, state or private), liabilities, litigation stage, next legal step and suitable sectors. Tracked on a revival board.</w:t>
      </w:r>
    </w:p>
    <w:p>
      <w:pPr>
        <w:pStyle w:val="ListParagraph"/>
        <w:keepLines/>
        <w:numPr>
          <w:ilvl w:val="0"/>
          <w:numId w:val="2"/>
        </w:numPr>
        <w:spacing w:after="40" w:line="246"/>
      </w:pPr>
      <w:r>
        <w:rPr>
          <w:rFonts w:ascii="Arial" w:cs="Arial" w:eastAsia="Arial" w:hAnsi="Arial"/>
          <w:b/>
          <w:bCs/>
          <w:color w:val="1F3A5F"/>
          <w:sz w:val="19"/>
          <w:szCs w:val="19"/>
        </w:rPr>
        <w:t xml:space="preserve">Land-for-Equity registry: </w:t>
      </w:r>
      <w:r>
        <w:rPr>
          <w:rFonts w:ascii="Arial" w:cs="Arial" w:eastAsia="Arial" w:hAnsi="Arial"/>
          <w:color w:val="1F2937"/>
          <w:sz w:val="19"/>
          <w:szCs w:val="19"/>
        </w:rPr>
        <w:t xml:space="preserve">Records each landowner's stake in the new industrial unit and their annual payouts. Certificates are issued through DigiLocker and updates sent by SMS.</w:t>
      </w:r>
    </w:p>
    <w:p>
      <w:pPr>
        <w:pStyle w:val="ListParagraph"/>
        <w:keepLines/>
        <w:numPr>
          <w:ilvl w:val="0"/>
          <w:numId w:val="2"/>
        </w:numPr>
        <w:spacing w:after="40" w:line="246"/>
      </w:pPr>
      <w:r>
        <w:rPr>
          <w:rFonts w:ascii="Arial" w:cs="Arial" w:eastAsia="Arial" w:hAnsi="Arial"/>
          <w:b/>
          <w:bCs/>
          <w:color w:val="1F3A5F"/>
          <w:sz w:val="19"/>
          <w:szCs w:val="19"/>
        </w:rPr>
        <w:t xml:space="preserve">Investor Land Finder: </w:t>
      </w:r>
      <w:r>
        <w:rPr>
          <w:rFonts w:ascii="Arial" w:cs="Arial" w:eastAsia="Arial" w:hAnsi="Arial"/>
          <w:color w:val="1F2937"/>
          <w:sz w:val="19"/>
          <w:szCs w:val="19"/>
        </w:rPr>
        <w:t xml:space="preserve">Filter plots by size, sector suitability and distance to port or highway, then book a site visit. The lead flows into Nivesh Setu.</w:t>
      </w:r>
    </w:p>
    <w:p>
      <w:pPr>
        <w:spacing w:after="40" w:before="0" w:line="252"/>
      </w:pPr>
      <w:r>
        <w:rPr>
          <w:rFonts w:ascii="Arial" w:cs="Arial" w:eastAsia="Arial" w:hAnsi="Arial"/>
          <w:color w:val="1F2937"/>
          <w:sz w:val="19"/>
          <w:szCs w:val="19"/>
        </w:rPr>
        <w:t xml:space="preserv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18"/>
      </w:tblGrid>
      <w:tr>
        <w:trPr>
          <w:cantSplit/>
        </w:trPr>
        <w:tc>
          <w:tcPr>
            <w:tcW w:type="dxa" w:w="10318"/>
            <w:tcBorders>
              <w:top w:val="none" w:color="FFFFFF" w:sz="0"/>
              <w:left w:val="single" w:color="B45309" w:sz="24"/>
              <w:bottom w:val="none" w:color="FFFFFF" w:sz="0"/>
              <w:right w:val="none" w:color="FFFFFF" w:sz="0"/>
            </w:tcBorders>
            <w:shd w:fill="FDF3E4" w:color="auto" w:val="clear"/>
            <w:tcMar>
              <w:top w:type="dxa" w:w="100"/>
              <w:left w:type="dxa" w:w="110"/>
              <w:bottom w:type="dxa" w:w="100"/>
              <w:right w:type="dxa" w:w="110"/>
            </w:tcMar>
            <w:vAlign w:val="top"/>
          </w:tcPr>
          <w:p>
            <w:pPr>
              <w:spacing w:after="30" w:before="0" w:line="252"/>
            </w:pPr>
            <w:r>
              <w:rPr>
                <w:rFonts w:ascii="Arial" w:cs="Arial" w:eastAsia="Arial" w:hAnsi="Arial"/>
                <w:b/>
                <w:bCs/>
                <w:color w:val="B45309"/>
                <w:sz w:val="17"/>
                <w:szCs w:val="17"/>
              </w:rPr>
              <w:t xml:space="preserve">UNIQUE DIFFERENTIATOR</w:t>
            </w:r>
          </w:p>
          <w:p>
            <w:pPr>
              <w:spacing w:after="0" w:before="0" w:line="252"/>
            </w:pPr>
            <w:r>
              <w:rPr>
                <w:rFonts w:ascii="Arial" w:cs="Arial" w:eastAsia="Arial" w:hAnsi="Arial"/>
                <w:color w:val="1F2937"/>
                <w:sz w:val="19"/>
                <w:szCs w:val="19"/>
              </w:rPr>
              <w:t xml:space="preserve">Today's lists show what land is available. Shilpa Bhumi shows whether it is genuinely clean, whether allotted land is actually being used, and what it takes to unlock closed-factory land. The Land-for-Equity registry is a first-of-its-kind tool for the government's new consent-based land model: it makes the promise to landowners verifiable, which lowers the risk of land agitation.</w:t>
            </w:r>
          </w:p>
        </w:tc>
      </w:tr>
    </w:tbl>
    <w:p>
      <w:pPr>
        <w:keepNext/>
        <w:pBdr>
          <w:bottom w:val="single" w:color="1F3A5F" w:sz="6" w:space="2"/>
        </w:pBdr>
        <w:spacing w:after="70" w:before="150"/>
      </w:pPr>
      <w:r>
        <w:rPr>
          <w:rFonts w:ascii="Arial" w:cs="Arial" w:eastAsia="Arial" w:hAnsi="Arial"/>
          <w:b/>
          <w:bCs/>
          <w:color w:val="B45309"/>
          <w:sz w:val="23"/>
          <w:szCs w:val="23"/>
        </w:rPr>
        <w:t xml:space="preserve">3  </w:t>
      </w:r>
      <w:r>
        <w:rPr>
          <w:rFonts w:ascii="Arial" w:cs="Arial" w:eastAsia="Arial" w:hAnsi="Arial"/>
          <w:b/>
          <w:bCs/>
          <w:color w:val="1F3A5F"/>
          <w:sz w:val="21"/>
          <w:szCs w:val="21"/>
        </w:rPr>
        <w:t xml:space="preserve">APPROACH &amp; METHODOLOGY</w:t>
      </w:r>
    </w:p>
    <w:tbl>
      <w:tblPr>
        <w:tblW w:type="dxa" w:w="10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00"/>
        <w:gridCol w:w="5406"/>
        <w:gridCol w:w="2300"/>
      </w:tblGrid>
      <w:tr>
        <w:trPr>
          <w:cantSplit/>
          <w:tblHeader/>
        </w:trPr>
        <w:tc>
          <w:tcPr>
            <w:tcW w:type="dxa" w:w="15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Phase</w:t>
            </w:r>
          </w:p>
        </w:tc>
        <w:tc>
          <w:tcPr>
            <w:tcW w:type="dxa" w:w="11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Duration</w:t>
            </w:r>
          </w:p>
        </w:tc>
        <w:tc>
          <w:tcPr>
            <w:tcW w:type="dxa" w:w="5406"/>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What we do</w:t>
            </w:r>
          </w:p>
        </w:tc>
        <w:tc>
          <w:tcPr>
            <w:tcW w:type="dxa" w:w="23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Output</w:t>
            </w:r>
          </w:p>
        </w:tc>
      </w:tr>
      <w:tr>
        <w:trPr>
          <w:cantSplit/>
        </w:trPr>
        <w:tc>
          <w:tcPr>
            <w:tcW w:type="dxa" w:w="15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0. Data compact</w:t>
            </w:r>
          </w:p>
        </w:tc>
        <w:tc>
          <w:tcPr>
            <w:tcW w:type="dxa" w:w="11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4 weeks</w:t>
            </w:r>
          </w:p>
        </w:tc>
        <w:tc>
          <w:tcPr>
            <w:tcW w:type="dxa" w:w="5406"/>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Data-sharing agreement across Land &amp; Land Reforms, WBIDC, WBIIDC and Registration; inventory of existing map layers.</w:t>
            </w:r>
          </w:p>
        </w:tc>
        <w:tc>
          <w:tcPr>
            <w:tcW w:type="dxa" w:w="23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Signed data compact</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1. Pilot</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10–12 weeks</w:t>
            </w:r>
          </w:p>
        </w:tc>
        <w:tc>
          <w:tcPr>
            <w:tcW w:type="dxa" w:w="5406"/>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West Burdwan: 7 closed-factory sites and 2 WBIDC parks; drone survey of priority sites; revival dossiers; idle-plot scan.</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District revival board</w:t>
            </w:r>
          </w:p>
        </w:tc>
      </w:tr>
      <w:tr>
        <w:trPr>
          <w:cantSplit/>
        </w:trPr>
        <w:tc>
          <w:tcPr>
            <w:tcW w:type="dxa" w:w="15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2. Rollout</w:t>
            </w:r>
          </w:p>
        </w:tc>
        <w:tc>
          <w:tcPr>
            <w:tcW w:type="dxa" w:w="11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5–6 months</w:t>
            </w:r>
          </w:p>
        </w:tc>
        <w:tc>
          <w:tcPr>
            <w:tcW w:type="dxa" w:w="5406"/>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All state industrial parks and land-bank parcels; public Land Finder; Land-for-Equity registry once the policy is notified.</w:t>
            </w:r>
          </w:p>
        </w:tc>
        <w:tc>
          <w:tcPr>
            <w:tcW w:type="dxa" w:w="23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State land grid</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3. Run</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Ongoing</w:t>
            </w:r>
          </w:p>
        </w:tc>
        <w:tc>
          <w:tcPr>
            <w:tcW w:type="dxa" w:w="5406"/>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Quarterly satellite refresh, monthly data sync, dashboards for District Magistrates.</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Quarterly idle-land report</w:t>
            </w:r>
          </w:p>
        </w:tc>
      </w:tr>
    </w:tbl>
    <w:p>
      <w:pPr>
        <w:spacing w:after="0" w:before="60" w:line="252"/>
      </w:pPr>
      <w:r>
        <w:rPr>
          <w:rFonts w:ascii="Arial" w:cs="Arial" w:eastAsia="Arial" w:hAnsi="Arial"/>
          <w:b/>
          <w:bCs/>
          <w:color w:val="1F3A5F"/>
          <w:sz w:val="19"/>
          <w:szCs w:val="19"/>
        </w:rPr>
        <w:t xml:space="preserve">Method: </w:t>
      </w:r>
      <w:r>
        <w:rPr>
          <w:rFonts w:ascii="Arial" w:cs="Arial" w:eastAsia="Arial" w:hAnsi="Arial"/>
          <w:color w:val="1F2937"/>
          <w:sz w:val="19"/>
          <w:szCs w:val="19"/>
        </w:rPr>
        <w:t xml:space="preserve">Open GIS stack (PostGIS, GeoServer, OpenLayers) on OGC standards. Integration with Banglarbhumi through an API or scheduled data transfer. Drone surveys to SVAMITVA-grade accuracy; the Law Department vets the dossier templates.</w:t>
      </w:r>
    </w:p>
    <w:p>
      <w:pPr>
        <w:keepNext/>
        <w:pBdr>
          <w:bottom w:val="single" w:color="1F3A5F" w:sz="6" w:space="2"/>
        </w:pBdr>
        <w:spacing w:after="70" w:before="150"/>
      </w:pPr>
      <w:r>
        <w:rPr>
          <w:rFonts w:ascii="Arial" w:cs="Arial" w:eastAsia="Arial" w:hAnsi="Arial"/>
          <w:b/>
          <w:bCs/>
          <w:color w:val="B45309"/>
          <w:sz w:val="23"/>
          <w:szCs w:val="23"/>
        </w:rPr>
        <w:t xml:space="preserve">4  </w:t>
      </w:r>
      <w:r>
        <w:rPr>
          <w:rFonts w:ascii="Arial" w:cs="Arial" w:eastAsia="Arial" w:hAnsi="Arial"/>
          <w:b/>
          <w:bCs/>
          <w:color w:val="1F3A5F"/>
          <w:sz w:val="21"/>
          <w:szCs w:val="21"/>
        </w:rPr>
        <w:t xml:space="preserve">BENEFITS</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9"/>
        <w:gridCol w:w="5159"/>
      </w:tblGrid>
      <w:tr>
        <w:trPr>
          <w:cantSplit/>
        </w:trPr>
        <w:tc>
          <w:tcPr>
            <w:tcW w:type="dxa" w:w="5159"/>
            <w:tcBorders>
              <w:top w:val="single" w:color="CBD5E1" w:sz="4"/>
              <w:left w:val="none" w:color="FFFFFF" w:sz="0"/>
              <w:bottom w:val="none" w:color="FFFFFF" w:sz="0"/>
              <w:right w:val="none" w:color="FFFFFF" w:sz="0"/>
            </w:tcBorders>
            <w:tcMar>
              <w:top w:type="dxa" w:w="70"/>
              <w:left w:type="dxa" w:w="110"/>
              <w:bottom w:type="dxa" w:w="70"/>
              <w:right w:type="dxa" w:w="110"/>
            </w:tcMar>
            <w:vAlign w:val="top"/>
          </w:tcPr>
          <w:p>
            <w:pPr>
              <w:spacing w:after="40" w:before="0" w:line="252"/>
            </w:pPr>
            <w:r>
              <w:rPr>
                <w:rFonts w:ascii="Arial" w:cs="Arial" w:eastAsia="Arial" w:hAnsi="Arial"/>
                <w:b/>
                <w:bCs/>
                <w:color w:val="0F766E"/>
                <w:sz w:val="18"/>
                <w:szCs w:val="18"/>
              </w:rPr>
              <w:t xml:space="preserve">For the Government</w:t>
            </w:r>
          </w:p>
          <w:p>
            <w:pPr>
              <w:pStyle w:val="ListParagraph"/>
              <w:keepLines/>
              <w:numPr>
                <w:ilvl w:val="0"/>
                <w:numId w:val="2"/>
              </w:numPr>
              <w:spacing w:after="40" w:line="246"/>
            </w:pPr>
            <w:r>
              <w:rPr>
                <w:rFonts w:ascii="Arial" w:cs="Arial" w:eastAsia="Arial" w:hAnsi="Arial"/>
                <w:color w:val="1F2937"/>
                <w:sz w:val="19"/>
                <w:szCs w:val="19"/>
              </w:rPr>
              <w:t xml:space="preserve">Faster unlocking of idle and closed-factory land. Target: 1,000+ acres brought to 'investor-ready' status in year 1.</w:t>
            </w:r>
          </w:p>
          <w:p>
            <w:pPr>
              <w:pStyle w:val="ListParagraph"/>
              <w:keepLines/>
              <w:numPr>
                <w:ilvl w:val="0"/>
                <w:numId w:val="2"/>
              </w:numPr>
              <w:spacing w:after="40" w:line="246"/>
            </w:pPr>
            <w:r>
              <w:rPr>
                <w:rFonts w:ascii="Arial" w:cs="Arial" w:eastAsia="Arial" w:hAnsi="Arial"/>
                <w:color w:val="1F2937"/>
                <w:sz w:val="19"/>
                <w:szCs w:val="19"/>
              </w:rPr>
              <w:t xml:space="preserve">Allotted-but-unused plots detected and reclaimed with evidence.</w:t>
            </w:r>
          </w:p>
          <w:p>
            <w:pPr>
              <w:pStyle w:val="ListParagraph"/>
              <w:keepLines/>
              <w:numPr>
                <w:ilvl w:val="0"/>
                <w:numId w:val="2"/>
              </w:numPr>
              <w:spacing w:after="40" w:line="246"/>
            </w:pPr>
            <w:r>
              <w:rPr>
                <w:rFonts w:ascii="Arial" w:cs="Arial" w:eastAsia="Arial" w:hAnsi="Arial"/>
                <w:color w:val="1F2937"/>
                <w:sz w:val="19"/>
                <w:szCs w:val="19"/>
              </w:rPr>
              <w:t xml:space="preserve">An auditable, litigation-aware record for allotment decisions (useful for CAG and vigilance).</w:t>
            </w:r>
          </w:p>
        </w:tc>
        <w:tc>
          <w:tcPr>
            <w:tcW w:type="dxa" w:w="5159"/>
            <w:tcBorders>
              <w:top w:val="single" w:color="CBD5E1" w:sz="4"/>
              <w:left w:val="none" w:color="FFFFFF" w:sz="0"/>
              <w:bottom w:val="none" w:color="FFFFFF" w:sz="0"/>
              <w:right w:val="none" w:color="FFFFFF" w:sz="0"/>
            </w:tcBorders>
            <w:tcMar>
              <w:top w:type="dxa" w:w="70"/>
              <w:left w:type="dxa" w:w="110"/>
              <w:bottom w:type="dxa" w:w="70"/>
              <w:right w:type="dxa" w:w="110"/>
            </w:tcMar>
            <w:vAlign w:val="top"/>
          </w:tcPr>
          <w:p>
            <w:pPr>
              <w:spacing w:after="40" w:before="0" w:line="252"/>
            </w:pPr>
            <w:r>
              <w:rPr>
                <w:rFonts w:ascii="Arial" w:cs="Arial" w:eastAsia="Arial" w:hAnsi="Arial"/>
                <w:b/>
                <w:bCs/>
                <w:color w:val="0F766E"/>
                <w:sz w:val="18"/>
                <w:szCs w:val="18"/>
              </w:rPr>
              <w:t xml:space="preserve">For industry, MSMEs &amp; citizens</w:t>
            </w:r>
          </w:p>
          <w:p>
            <w:pPr>
              <w:pStyle w:val="ListParagraph"/>
              <w:keepLines/>
              <w:numPr>
                <w:ilvl w:val="0"/>
                <w:numId w:val="2"/>
              </w:numPr>
              <w:spacing w:after="40" w:line="246"/>
            </w:pPr>
            <w:r>
              <w:rPr>
                <w:rFonts w:ascii="Arial" w:cs="Arial" w:eastAsia="Arial" w:hAnsi="Arial"/>
                <w:color w:val="1F2937"/>
                <w:sz w:val="19"/>
                <w:szCs w:val="19"/>
              </w:rPr>
              <w:t xml:space="preserve">Investors can verify a plot online in minutes instead of weeks.</w:t>
            </w:r>
          </w:p>
          <w:p>
            <w:pPr>
              <w:pStyle w:val="ListParagraph"/>
              <w:keepLines/>
              <w:numPr>
                <w:ilvl w:val="0"/>
                <w:numId w:val="2"/>
              </w:numPr>
              <w:spacing w:after="40" w:line="246"/>
            </w:pPr>
            <w:r>
              <w:rPr>
                <w:rFonts w:ascii="Arial" w:cs="Arial" w:eastAsia="Arial" w:hAnsi="Arial"/>
                <w:color w:val="1F2937"/>
                <w:sz w:val="19"/>
                <w:szCs w:val="19"/>
              </w:rPr>
              <w:t xml:space="preserve">Fewer post-allotment disputes and delays.</w:t>
            </w:r>
          </w:p>
          <w:p>
            <w:pPr>
              <w:pStyle w:val="ListParagraph"/>
              <w:keepLines/>
              <w:numPr>
                <w:ilvl w:val="0"/>
                <w:numId w:val="2"/>
              </w:numPr>
              <w:spacing w:after="40" w:line="246"/>
            </w:pPr>
            <w:r>
              <w:rPr>
                <w:rFonts w:ascii="Arial" w:cs="Arial" w:eastAsia="Arial" w:hAnsi="Arial"/>
                <w:color w:val="1F2937"/>
                <w:sz w:val="19"/>
                <w:szCs w:val="19"/>
              </w:rPr>
              <w:t xml:space="preserve">Landowners see their stake and payouts, which builds trust in the new land model.</w:t>
            </w:r>
          </w:p>
        </w:tc>
      </w:tr>
    </w:tbl>
    <w:p>
      <w:pPr>
        <w:keepNext/>
        <w:pBdr>
          <w:bottom w:val="single" w:color="1F3A5F" w:sz="6" w:space="2"/>
        </w:pBdr>
        <w:spacing w:after="70" w:before="150"/>
      </w:pPr>
      <w:r>
        <w:rPr>
          <w:rFonts w:ascii="Arial" w:cs="Arial" w:eastAsia="Arial" w:hAnsi="Arial"/>
          <w:b/>
          <w:bCs/>
          <w:color w:val="B45309"/>
          <w:sz w:val="23"/>
          <w:szCs w:val="23"/>
        </w:rPr>
        <w:t xml:space="preserve">5  </w:t>
      </w:r>
      <w:r>
        <w:rPr>
          <w:rFonts w:ascii="Arial" w:cs="Arial" w:eastAsia="Arial" w:hAnsi="Arial"/>
          <w:b/>
          <w:bCs/>
          <w:color w:val="1F3A5F"/>
          <w:sz w:val="21"/>
          <w:szCs w:val="21"/>
        </w:rPr>
        <w:t xml:space="preserve">LIKELY COST RANGE (DEVELOPMENT + INFRASTRUCTURE)</w:t>
      </w:r>
    </w:p>
    <w:tbl>
      <w:tblPr>
        <w:tblW w:type="dxa" w:w="10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6"/>
        <w:gridCol w:w="2500"/>
        <w:gridCol w:w="2500"/>
      </w:tblGrid>
      <w:tr>
        <w:trPr>
          <w:cantSplit/>
          <w:tblHeader/>
        </w:trPr>
        <w:tc>
          <w:tcPr>
            <w:tcW w:type="dxa" w:w="5306"/>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pPr>
            <w:r>
              <w:rPr>
                <w:rFonts w:ascii="Arial" w:cs="Arial" w:eastAsia="Arial" w:hAnsi="Arial"/>
                <w:b/>
                <w:bCs/>
                <w:color w:val="FFFFFF"/>
                <w:sz w:val="16"/>
                <w:szCs w:val="16"/>
              </w:rPr>
              <w:t xml:space="preserve">Component</w:t>
            </w:r>
          </w:p>
        </w:tc>
        <w:tc>
          <w:tcPr>
            <w:tcW w:type="dxa" w:w="2500"/>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FFFFFF"/>
                <w:sz w:val="16"/>
                <w:szCs w:val="16"/>
              </w:rPr>
              <w:t xml:space="preserve">Low</w:t>
            </w:r>
          </w:p>
        </w:tc>
        <w:tc>
          <w:tcPr>
            <w:tcW w:type="dxa" w:w="2500"/>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FFFFFF"/>
                <w:sz w:val="16"/>
                <w:szCs w:val="16"/>
              </w:rPr>
              <w:t xml:space="preserve">High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Development: pilot (Phases 0–1)</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₹35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₹55 lakh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Development: full rollout (Phase 2), incl. security audit</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₹1.8 cr</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₹3.0 cr</w:t>
            </w:r>
          </w:p>
        </w:tc>
      </w:tr>
      <w:tr>
        <w:trPr>
          <w:cantSplit/>
        </w:trPr>
        <w:tc>
          <w:tcPr>
            <w:tcW w:type="dxa" w:w="5306"/>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pPr>
            <w:r>
              <w:rPr>
                <w:rFonts w:ascii="Arial" w:cs="Arial" w:eastAsia="Arial" w:hAnsi="Arial"/>
                <w:b/>
                <w:bCs/>
                <w:color w:val="1F3A5F"/>
                <w:sz w:val="17"/>
                <w:szCs w:val="17"/>
              </w:rPr>
              <w:t xml:space="preserve">One-time total</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₹2.15 cr</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₹3.55 cr</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Infrastructure per year (hosting, storage, gateways, data)</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₹40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₹75 lakh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Operations &amp; maintenance per year (support, updates, helpdesk)</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₹35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₹55 lakh</w:t>
            </w:r>
          </w:p>
        </w:tc>
      </w:tr>
      <w:tr>
        <w:trPr>
          <w:cantSplit/>
        </w:trPr>
        <w:tc>
          <w:tcPr>
            <w:tcW w:type="dxa" w:w="5306"/>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pPr>
            <w:r>
              <w:rPr>
                <w:rFonts w:ascii="Arial" w:cs="Arial" w:eastAsia="Arial" w:hAnsi="Arial"/>
                <w:b/>
                <w:bCs/>
                <w:color w:val="1F3A5F"/>
                <w:sz w:val="17"/>
                <w:szCs w:val="17"/>
              </w:rPr>
              <w:t xml:space="preserve">Recurring total per year</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₹75 lakh</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₹1.3 cr</w:t>
            </w:r>
          </w:p>
        </w:tc>
      </w:tr>
    </w:tbl>
    <w:p>
      <w:pPr>
        <w:spacing w:after="0" w:before="50" w:line="252"/>
      </w:pPr>
      <w:r>
        <w:rPr>
          <w:rFonts w:ascii="Arial" w:cs="Arial" w:eastAsia="Arial" w:hAnsi="Arial"/>
          <w:i/>
          <w:iCs/>
          <w:color w:val="5B6472"/>
          <w:sz w:val="16"/>
          <w:szCs w:val="16"/>
        </w:rPr>
        <w:t xml:space="preserve">Pilot includes a drone survey of priority sites (₹10–15 lakh). Infra includes hosting and commercial high-resolution satellite imagery. Figures exclude GST and are ±25% until scoped.</w:t>
      </w:r>
    </w:p>
    <w:p>
      <w:pPr>
        <w:keepNext/>
        <w:pBdr>
          <w:bottom w:val="single" w:color="1F3A5F" w:sz="6" w:space="2"/>
        </w:pBdr>
        <w:spacing w:after="70" w:before="150"/>
      </w:pPr>
      <w:r>
        <w:rPr>
          <w:rFonts w:ascii="Arial" w:cs="Arial" w:eastAsia="Arial" w:hAnsi="Arial"/>
          <w:b/>
          <w:bCs/>
          <w:color w:val="B45309"/>
          <w:sz w:val="23"/>
          <w:szCs w:val="23"/>
        </w:rPr>
        <w:t xml:space="preserve">6  </w:t>
      </w:r>
      <w:r>
        <w:rPr>
          <w:rFonts w:ascii="Arial" w:cs="Arial" w:eastAsia="Arial" w:hAnsi="Arial"/>
          <w:b/>
          <w:bCs/>
          <w:color w:val="1F3A5F"/>
          <w:sz w:val="21"/>
          <w:szCs w:val="21"/>
        </w:rPr>
        <w:t xml:space="preserve">KEY RISKS &amp; HOW WE HANDLE THEM</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718"/>
      </w:tblGrid>
      <w:tr>
        <w:trPr>
          <w:cantSplit/>
        </w:trPr>
        <w:tc>
          <w:tcPr>
            <w:tcW w:type="dxa" w:w="3600"/>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Reluctance to share data across departments</w:t>
            </w:r>
          </w:p>
        </w:tc>
        <w:tc>
          <w:tcPr>
            <w:tcW w:type="dxa" w:w="6718"/>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A data compact at Chief Secretary level; start read-only, with no change to the source systems.</w:t>
            </w:r>
          </w:p>
        </w:tc>
      </w:tr>
      <w:tr>
        <w:trPr>
          <w:cantSplit/>
        </w:trPr>
        <w:tc>
          <w:tcPr>
            <w:tcW w:type="dxa" w:w="3600"/>
            <w:tcBorders>
              <w:top w:val="none" w:color="FFFFFF" w:sz="0"/>
              <w:left w:val="none" w:color="FFFFFF" w:sz="0"/>
              <w:bottom w:val="single" w:color="CBD5E1" w:sz="4"/>
              <w:right w:val="none" w:color="FFFFFF" w:sz="0"/>
            </w:tcBorders>
            <w:shd w:fill="FFFFFF"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Litigation-sensitive information made public</w:t>
            </w:r>
          </w:p>
        </w:tc>
        <w:tc>
          <w:tcPr>
            <w:tcW w:type="dxa" w:w="6718"/>
            <w:tcBorders>
              <w:top w:val="none" w:color="FFFFFF" w:sz="0"/>
              <w:left w:val="none" w:color="FFFFFF" w:sz="0"/>
              <w:bottom w:val="single" w:color="CBD5E1" w:sz="4"/>
              <w:right w:val="none" w:color="FFFFFF" w:sz="0"/>
            </w:tcBorders>
            <w:shd w:fill="FFFFFF"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The public view shows only verified-clean plots; dossiers stay internal.</w:t>
            </w:r>
          </w:p>
        </w:tc>
      </w:tr>
      <w:tr>
        <w:trPr>
          <w:cantSplit/>
        </w:trPr>
        <w:tc>
          <w:tcPr>
            <w:tcW w:type="dxa" w:w="3600"/>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Satellite false positives</w:t>
            </w:r>
          </w:p>
        </w:tc>
        <w:tc>
          <w:tcPr>
            <w:tcW w:type="dxa" w:w="6718"/>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Field verification by the DM's team before any notice to reclaim land.</w:t>
            </w:r>
          </w:p>
        </w:tc>
      </w:tr>
    </w:tbl>
    <w:p>
      <w:r>
        <w:br w:type="pag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18"/>
      </w:tblGrid>
      <w:tr>
        <w:tc>
          <w:tcPr>
            <w:tcW w:type="dxa" w:w="10318"/>
            <w:tcBorders>
              <w:top w:val="none" w:color="FFFFFF" w:sz="0"/>
              <w:left w:val="none" w:color="FFFFFF" w:sz="0"/>
              <w:bottom w:val="none" w:color="FFFFFF" w:sz="0"/>
              <w:right w:val="none" w:color="FFFFFF" w:sz="0"/>
            </w:tcBorders>
            <w:shd w:fill="1F3A5F" w:color="auto" w:val="clear"/>
            <w:tcMar>
              <w:top w:type="dxa" w:w="150"/>
              <w:left w:type="dxa" w:w="110"/>
              <w:bottom w:type="dxa" w:w="150"/>
              <w:right w:type="dxa" w:w="110"/>
            </w:tcMar>
            <w:vAlign w:val="top"/>
          </w:tcPr>
          <w:p>
            <w:pPr>
              <w:spacing w:after="80" w:before="0" w:line="252"/>
            </w:pPr>
            <w:r>
              <w:rPr>
                <w:rFonts w:ascii="Arial" w:cs="Arial" w:eastAsia="Arial" w:hAnsi="Arial"/>
                <w:b/>
                <w:bCs/>
                <w:color w:val="F6C27A"/>
                <w:sz w:val="17"/>
                <w:szCs w:val="17"/>
              </w:rPr>
              <w:t xml:space="preserve">INITIATIVE 03</w:t>
            </w:r>
          </w:p>
          <w:p>
            <w:pPr>
              <w:spacing w:after="60" w:before="0" w:line="276"/>
            </w:pPr>
            <w:r>
              <w:rPr>
                <w:rFonts w:ascii="Arial" w:cs="Arial" w:eastAsia="Arial" w:hAnsi="Arial"/>
                <w:b/>
                <w:bCs/>
                <w:color w:val="FFFFFF"/>
                <w:sz w:val="38"/>
                <w:szCs w:val="38"/>
              </w:rPr>
              <w:t xml:space="preserve">Silpa Sathi 2.0</w:t>
            </w:r>
            <w:r>
              <w:rPr>
                <w:rFonts w:ascii="Arial" w:cs="Arial" w:eastAsia="Arial" w:hAnsi="Arial"/>
                <w:color w:val="DCE6F2"/>
                <w:sz w:val="22"/>
                <w:szCs w:val="22"/>
              </w:rPr>
              <w:t xml:space="preserve">   Smart Clearance Engine: Rules-as-Code + Deemed-Approval Clock</w:t>
            </w:r>
          </w:p>
          <w:p>
            <w:pPr>
              <w:spacing w:after="0" w:before="0" w:line="252"/>
            </w:pPr>
            <w:r>
              <w:rPr>
                <w:rFonts w:ascii="Arial" w:cs="Arial" w:eastAsia="Arial" w:hAnsi="Arial"/>
                <w:i/>
                <w:iCs/>
                <w:color w:val="DCE6F2"/>
                <w:sz w:val="19"/>
                <w:szCs w:val="19"/>
              </w:rPr>
              <w:t xml:space="preserve">Approvals in days, not months, with every decision explainable and every officer protected.</w:t>
            </w:r>
          </w:p>
        </w:tc>
      </w:tr>
    </w:tbl>
    <w:p>
      <w:pPr>
        <w:spacing w:after="60" w:before="0" w:line="252"/>
      </w:pPr>
      <w:r>
        <w:rPr>
          <w:rFonts w:ascii="Arial" w:cs="Arial" w:eastAsia="Arial" w:hAnsi="Arial"/>
          <w:color w:val="1F2937"/>
          <w:sz w:val="19"/>
          <w:szCs w:val="19"/>
        </w:rPr>
        <w:t xml:space="preserv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9"/>
        <w:gridCol w:w="5159"/>
      </w:tblGrid>
      <w:tr>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OWNER &amp; PARTNER DEPARTMENTS</w:t>
            </w:r>
          </w:p>
          <w:p>
            <w:pPr>
              <w:spacing w:after="0" w:before="0" w:line="230"/>
            </w:pPr>
            <w:r>
              <w:rPr>
                <w:rFonts w:ascii="Arial" w:cs="Arial" w:eastAsia="Arial" w:hAnsi="Arial"/>
                <w:color w:val="1F2937"/>
                <w:sz w:val="17"/>
                <w:szCs w:val="17"/>
              </w:rPr>
              <w:t xml:space="preserve">ICE / WBIDC (Silpa Sathi owner); Labour; Fire &amp; Emergency; WBPCB; Urban Development &amp; Municipal Affairs; Panchayat; Power; IT &amp; Electronics / Webel Technology Ltd</w:t>
            </w:r>
          </w:p>
        </w:tc>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STATUS TODAY</w:t>
            </w:r>
          </w:p>
          <w:p>
            <w:pPr>
              <w:spacing w:after="0" w:before="0" w:line="230"/>
            </w:pPr>
            <w:r>
              <w:rPr>
                <w:rFonts w:ascii="Arial" w:cs="Arial" w:eastAsia="Arial" w:hAnsi="Arial"/>
                <w:b/>
                <w:bCs/>
                <w:color w:val="1F2937"/>
                <w:sz w:val="17"/>
                <w:szCs w:val="17"/>
              </w:rPr>
              <w:t xml:space="preserve">Partially started: overhaul underway. </w:t>
            </w:r>
            <w:r>
              <w:rPr>
                <w:rFonts w:ascii="Arial" w:cs="Arial" w:eastAsia="Arial" w:hAnsi="Arial"/>
                <w:color w:val="1F2937"/>
                <w:sz w:val="17"/>
                <w:szCs w:val="17"/>
              </w:rPr>
              <w:t xml:space="preserve">The portal is live, with kiosks at 23 district Industry Facilitation Centres. An overhaul announced in 2026 brings labour, fire and pollution clearances onto one form with payments and tracking. 'Deemed approval' is under debate. Rule-based automation is only at the prototype stage.</w:t>
            </w:r>
          </w:p>
        </w:tc>
      </w:tr>
      <w:tr>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TIMELINE</w:t>
            </w:r>
          </w:p>
          <w:p>
            <w:pPr>
              <w:spacing w:after="0" w:before="0" w:line="252"/>
            </w:pPr>
            <w:r>
              <w:rPr>
                <w:rFonts w:ascii="Arial" w:cs="Arial" w:eastAsia="Arial" w:hAnsi="Arial"/>
                <w:color w:val="1F2937"/>
                <w:sz w:val="17"/>
                <w:szCs w:val="17"/>
              </w:rPr>
              <w:t xml:space="preserve">Pilot 12 weeks (10 services) · Rollout 6 months (40+ services)</w:t>
            </w:r>
          </w:p>
        </w:tc>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INDICATIVE COST</w:t>
            </w:r>
          </w:p>
          <w:p>
            <w:pPr>
              <w:spacing w:after="0" w:before="0" w:line="252"/>
            </w:pPr>
            <w:r>
              <w:rPr>
                <w:rFonts w:ascii="Arial" w:cs="Arial" w:eastAsia="Arial" w:hAnsi="Arial"/>
                <w:b/>
                <w:bCs/>
                <w:color w:val="1F2937"/>
                <w:sz w:val="17"/>
                <w:szCs w:val="17"/>
              </w:rPr>
              <w:t xml:space="preserve">One-time ₹2.45–3.9 cr</w:t>
            </w:r>
            <w:r>
              <w:rPr>
                <w:rFonts w:ascii="Arial" w:cs="Arial" w:eastAsia="Arial" w:hAnsi="Arial"/>
                <w:color w:val="1F2937"/>
                <w:sz w:val="17"/>
                <w:szCs w:val="17"/>
              </w:rPr>
              <w:t xml:space="preserve">  ·  Recurring ₹75 lakh–1.2 cr / yr</w:t>
            </w:r>
          </w:p>
        </w:tc>
      </w:tr>
    </w:tbl>
    <w:p>
      <w:pPr>
        <w:keepNext/>
        <w:pBdr>
          <w:bottom w:val="single" w:color="1F3A5F" w:sz="6" w:space="2"/>
        </w:pBdr>
        <w:spacing w:after="70" w:before="150"/>
      </w:pPr>
      <w:r>
        <w:rPr>
          <w:rFonts w:ascii="Arial" w:cs="Arial" w:eastAsia="Arial" w:hAnsi="Arial"/>
          <w:b/>
          <w:bCs/>
          <w:color w:val="B45309"/>
          <w:sz w:val="23"/>
          <w:szCs w:val="23"/>
        </w:rPr>
        <w:t xml:space="preserve">1  </w:t>
      </w:r>
      <w:r>
        <w:rPr>
          <w:rFonts w:ascii="Arial" w:cs="Arial" w:eastAsia="Arial" w:hAnsi="Arial"/>
          <w:b/>
          <w:bCs/>
          <w:color w:val="1F3A5F"/>
          <w:sz w:val="21"/>
          <w:szCs w:val="21"/>
        </w:rPr>
        <w:t xml:space="preserve">PROBLEM STATEMENT</w:t>
      </w:r>
    </w:p>
    <w:p>
      <w:pPr>
        <w:pStyle w:val="ListParagraph"/>
        <w:keepLines/>
        <w:numPr>
          <w:ilvl w:val="0"/>
          <w:numId w:val="2"/>
        </w:numPr>
        <w:spacing w:after="40" w:line="246"/>
      </w:pPr>
      <w:r>
        <w:rPr>
          <w:rFonts w:ascii="Arial" w:cs="Arial" w:eastAsia="Arial" w:hAnsi="Arial"/>
          <w:color w:val="1F2937"/>
          <w:sz w:val="19"/>
          <w:szCs w:val="19"/>
        </w:rPr>
        <w:t xml:space="preserve">Even after the overhaul, most approvals still move from desk to desk. The portal collects documents but does not check them.</w:t>
      </w:r>
    </w:p>
    <w:p>
      <w:pPr>
        <w:pStyle w:val="ListParagraph"/>
        <w:keepLines/>
        <w:numPr>
          <w:ilvl w:val="0"/>
          <w:numId w:val="2"/>
        </w:numPr>
        <w:spacing w:after="40" w:line="246"/>
      </w:pPr>
      <w:r>
        <w:rPr>
          <w:rFonts w:ascii="Arial" w:cs="Arial" w:eastAsia="Arial" w:hAnsi="Arial"/>
          <w:color w:val="1F2937"/>
          <w:sz w:val="19"/>
          <w:szCs w:val="19"/>
        </w:rPr>
        <w:t xml:space="preserve">Officers are rightly cautious. An automated decision without legal cover exposes them to vigilance and court scrutiny, which is why 'AI approvals' have stalled.</w:t>
      </w:r>
    </w:p>
    <w:p>
      <w:pPr>
        <w:pStyle w:val="ListParagraph"/>
        <w:keepLines/>
        <w:numPr>
          <w:ilvl w:val="0"/>
          <w:numId w:val="2"/>
        </w:numPr>
        <w:spacing w:after="40" w:line="246"/>
      </w:pPr>
      <w:r>
        <w:rPr>
          <w:rFonts w:ascii="Arial" w:cs="Arial" w:eastAsia="Arial" w:hAnsi="Arial"/>
          <w:color w:val="1F2937"/>
          <w:sz w:val="19"/>
          <w:szCs w:val="19"/>
        </w:rPr>
        <w:t xml:space="preserve">New commitment: investors above ₹100 crore will not need to approach municipalities or panchayats, because the state will provide those clearances. The fast lane to deliver this does not exist yet.</w:t>
      </w:r>
    </w:p>
    <w:p>
      <w:pPr>
        <w:pStyle w:val="ListParagraph"/>
        <w:keepLines/>
        <w:numPr>
          <w:ilvl w:val="0"/>
          <w:numId w:val="2"/>
        </w:numPr>
        <w:spacing w:after="40" w:line="246"/>
      </w:pPr>
      <w:r>
        <w:rPr>
          <w:rFonts w:ascii="Arial" w:cs="Arial" w:eastAsia="Arial" w:hAnsi="Arial"/>
          <w:color w:val="1F2937"/>
          <w:sz w:val="19"/>
          <w:szCs w:val="19"/>
        </w:rPr>
        <w:t xml:space="preserve">Deemed approval, if introduced, needs an automatic and tamper-proof clock. Without one it cannot be enforced.</w:t>
      </w:r>
    </w:p>
    <w:p>
      <w:pPr>
        <w:pStyle w:val="ListParagraph"/>
        <w:keepLines/>
        <w:numPr>
          <w:ilvl w:val="0"/>
          <w:numId w:val="2"/>
        </w:numPr>
        <w:spacing w:after="40" w:line="246"/>
      </w:pPr>
      <w:r>
        <w:rPr>
          <w:rFonts w:ascii="Arial" w:cs="Arial" w:eastAsia="Arial" w:hAnsi="Arial"/>
          <w:color w:val="1F2937"/>
          <w:sz w:val="19"/>
          <w:szCs w:val="19"/>
        </w:rPr>
        <w:t xml:space="preserve">Investors enter the same data twice: once on the National Single Window System (NSWS) and again on state forms.</w:t>
      </w:r>
    </w:p>
    <w:p>
      <w:pPr>
        <w:keepNext/>
        <w:pBdr>
          <w:bottom w:val="single" w:color="1F3A5F" w:sz="6" w:space="2"/>
        </w:pBdr>
        <w:spacing w:after="70" w:before="150"/>
      </w:pPr>
      <w:r>
        <w:rPr>
          <w:rFonts w:ascii="Arial" w:cs="Arial" w:eastAsia="Arial" w:hAnsi="Arial"/>
          <w:b/>
          <w:bCs/>
          <w:color w:val="B45309"/>
          <w:sz w:val="23"/>
          <w:szCs w:val="23"/>
        </w:rPr>
        <w:t xml:space="preserve">2  </w:t>
      </w:r>
      <w:r>
        <w:rPr>
          <w:rFonts w:ascii="Arial" w:cs="Arial" w:eastAsia="Arial" w:hAnsi="Arial"/>
          <w:b/>
          <w:bCs/>
          <w:color w:val="1F3A5F"/>
          <w:sz w:val="21"/>
          <w:szCs w:val="21"/>
        </w:rPr>
        <w:t xml:space="preserve">PROPOSED SOLUTION</w:t>
      </w:r>
    </w:p>
    <w:p>
      <w:pPr>
        <w:keepNext/>
        <w:spacing w:after="60" w:before="0" w:line="252"/>
      </w:pPr>
      <w:r>
        <w:rPr>
          <w:rFonts w:ascii="Arial" w:cs="Arial" w:eastAsia="Arial" w:hAnsi="Arial"/>
          <w:color w:val="1F2937"/>
          <w:sz w:val="19"/>
          <w:szCs w:val="19"/>
        </w:rPr>
        <w:t xml:space="preserve">A clearance engine that plugs into Silpa Sathi and does not replace it. It turns the rules into checkable code and puts every file on a clock.</w:t>
      </w:r>
    </w:p>
    <w:p>
      <w:pPr>
        <w:pStyle w:val="ListParagraph"/>
        <w:keepLines/>
        <w:numPr>
          <w:ilvl w:val="0"/>
          <w:numId w:val="2"/>
        </w:numPr>
        <w:spacing w:after="40" w:line="246"/>
      </w:pPr>
      <w:r>
        <w:rPr>
          <w:rFonts w:ascii="Arial" w:cs="Arial" w:eastAsia="Arial" w:hAnsi="Arial"/>
          <w:b/>
          <w:bCs/>
          <w:color w:val="1F3A5F"/>
          <w:sz w:val="19"/>
          <w:szCs w:val="19"/>
        </w:rPr>
        <w:t xml:space="preserve">Rules-as-Code library: </w:t>
      </w:r>
      <w:r>
        <w:rPr>
          <w:rFonts w:ascii="Arial" w:cs="Arial" w:eastAsia="Arial" w:hAnsi="Arial"/>
          <w:color w:val="1F2937"/>
          <w:sz w:val="19"/>
          <w:szCs w:val="19"/>
        </w:rPr>
        <w:t xml:space="preserve">The checkable conditions of each Act and rule (setbacks, plot size, category, distance norms, fees) written as versioned machine rules that the Law Department has vetted. Applications are checked in seconds and gaps flagged to the applicant at once.</w:t>
      </w:r>
    </w:p>
    <w:p>
      <w:pPr>
        <w:pStyle w:val="ListParagraph"/>
        <w:keepLines/>
        <w:numPr>
          <w:ilvl w:val="0"/>
          <w:numId w:val="2"/>
        </w:numPr>
        <w:spacing w:after="40" w:line="246"/>
      </w:pPr>
      <w:r>
        <w:rPr>
          <w:rFonts w:ascii="Arial" w:cs="Arial" w:eastAsia="Arial" w:hAnsi="Arial"/>
          <w:b/>
          <w:bCs/>
          <w:color w:val="1F3A5F"/>
          <w:sz w:val="19"/>
          <w:szCs w:val="19"/>
        </w:rPr>
        <w:t xml:space="preserve">Assistive, not autonomous, AI: </w:t>
      </w:r>
      <w:r>
        <w:rPr>
          <w:rFonts w:ascii="Arial" w:cs="Arial" w:eastAsia="Arial" w:hAnsi="Arial"/>
          <w:color w:val="1F2937"/>
          <w:sz w:val="19"/>
          <w:szCs w:val="19"/>
        </w:rPr>
        <w:t xml:space="preserve">The engine drafts a recommendation note that cites the rules. The officer approves in one click or records a reason to differ. Accountability stays with the officer, and the effort drops by 70–80%.</w:t>
      </w:r>
    </w:p>
    <w:p>
      <w:pPr>
        <w:pStyle w:val="ListParagraph"/>
        <w:keepLines/>
        <w:numPr>
          <w:ilvl w:val="0"/>
          <w:numId w:val="2"/>
        </w:numPr>
        <w:spacing w:after="40" w:line="246"/>
      </w:pPr>
      <w:r>
        <w:rPr>
          <w:rFonts w:ascii="Arial" w:cs="Arial" w:eastAsia="Arial" w:hAnsi="Arial"/>
          <w:b/>
          <w:bCs/>
          <w:color w:val="1F3A5F"/>
          <w:sz w:val="19"/>
          <w:szCs w:val="19"/>
        </w:rPr>
        <w:t xml:space="preserve">Statutory clock: </w:t>
      </w:r>
      <w:r>
        <w:rPr>
          <w:rFonts w:ascii="Arial" w:cs="Arial" w:eastAsia="Arial" w:hAnsi="Arial"/>
          <w:color w:val="1F2937"/>
          <w:sz w:val="19"/>
          <w:szCs w:val="19"/>
        </w:rPr>
        <w:t xml:space="preserve">Each service runs on its notified timeline, with escalations at 50%, 80% and 100% of the time allowed. Where policy allows, a digitally signed deemed approval is issued automatically.</w:t>
      </w:r>
    </w:p>
    <w:p>
      <w:pPr>
        <w:pStyle w:val="ListParagraph"/>
        <w:keepLines/>
        <w:numPr>
          <w:ilvl w:val="0"/>
          <w:numId w:val="2"/>
        </w:numPr>
        <w:spacing w:after="40" w:line="246"/>
      </w:pPr>
      <w:r>
        <w:rPr>
          <w:rFonts w:ascii="Arial" w:cs="Arial" w:eastAsia="Arial" w:hAnsi="Arial"/>
          <w:b/>
          <w:bCs/>
          <w:color w:val="1F3A5F"/>
          <w:sz w:val="19"/>
          <w:szCs w:val="19"/>
        </w:rPr>
        <w:t xml:space="preserve">Mega-Project Fast Lane: </w:t>
      </w:r>
      <w:r>
        <w:rPr>
          <w:rFonts w:ascii="Arial" w:cs="Arial" w:eastAsia="Arial" w:hAnsi="Arial"/>
          <w:color w:val="1F2937"/>
          <w:sz w:val="19"/>
          <w:szCs w:val="19"/>
        </w:rPr>
        <w:t xml:space="preserve">For projects of ₹100 crore or more: one state-level joint inspection and one consolidated approval packet covering the municipal and panchayat functions.</w:t>
      </w:r>
    </w:p>
    <w:p>
      <w:pPr>
        <w:pStyle w:val="ListParagraph"/>
        <w:keepLines/>
        <w:numPr>
          <w:ilvl w:val="0"/>
          <w:numId w:val="2"/>
        </w:numPr>
        <w:spacing w:after="40" w:line="246"/>
      </w:pPr>
      <w:r>
        <w:rPr>
          <w:rFonts w:ascii="Arial" w:cs="Arial" w:eastAsia="Arial" w:hAnsi="Arial"/>
          <w:b/>
          <w:bCs/>
          <w:color w:val="1F3A5F"/>
          <w:sz w:val="19"/>
          <w:szCs w:val="19"/>
        </w:rPr>
        <w:t xml:space="preserve">NSWS / CAF sync: </w:t>
      </w:r>
      <w:r>
        <w:rPr>
          <w:rFonts w:ascii="Arial" w:cs="Arial" w:eastAsia="Arial" w:hAnsi="Arial"/>
          <w:color w:val="1F2937"/>
          <w:sz w:val="19"/>
          <w:szCs w:val="19"/>
        </w:rPr>
        <w:t xml:space="preserve">Enter data once at the national level and have it auto-filled on state forms; documents pulled from DigiLocker.</w:t>
      </w:r>
    </w:p>
    <w:p>
      <w:pPr>
        <w:spacing w:after="40" w:before="0" w:line="252"/>
      </w:pPr>
      <w:r>
        <w:rPr>
          <w:rFonts w:ascii="Arial" w:cs="Arial" w:eastAsia="Arial" w:hAnsi="Arial"/>
          <w:color w:val="1F2937"/>
          <w:sz w:val="19"/>
          <w:szCs w:val="19"/>
        </w:rPr>
        <w:t xml:space="preserv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18"/>
      </w:tblGrid>
      <w:tr>
        <w:trPr>
          <w:cantSplit/>
        </w:trPr>
        <w:tc>
          <w:tcPr>
            <w:tcW w:type="dxa" w:w="10318"/>
            <w:tcBorders>
              <w:top w:val="none" w:color="FFFFFF" w:sz="0"/>
              <w:left w:val="single" w:color="B45309" w:sz="24"/>
              <w:bottom w:val="none" w:color="FFFFFF" w:sz="0"/>
              <w:right w:val="none" w:color="FFFFFF" w:sz="0"/>
            </w:tcBorders>
            <w:shd w:fill="FDF3E4" w:color="auto" w:val="clear"/>
            <w:tcMar>
              <w:top w:type="dxa" w:w="100"/>
              <w:left w:type="dxa" w:w="110"/>
              <w:bottom w:type="dxa" w:w="100"/>
              <w:right w:type="dxa" w:w="110"/>
            </w:tcMar>
            <w:vAlign w:val="top"/>
          </w:tcPr>
          <w:p>
            <w:pPr>
              <w:spacing w:after="30" w:before="0" w:line="252"/>
            </w:pPr>
            <w:r>
              <w:rPr>
                <w:rFonts w:ascii="Arial" w:cs="Arial" w:eastAsia="Arial" w:hAnsi="Arial"/>
                <w:b/>
                <w:bCs/>
                <w:color w:val="B45309"/>
                <w:sz w:val="17"/>
                <w:szCs w:val="17"/>
              </w:rPr>
              <w:t xml:space="preserve">UNIQUE DIFFERENTIATOR</w:t>
            </w:r>
          </w:p>
          <w:p>
            <w:pPr>
              <w:spacing w:after="0" w:before="0" w:line="252"/>
            </w:pPr>
            <w:r>
              <w:rPr>
                <w:rFonts w:ascii="Arial" w:cs="Arial" w:eastAsia="Arial" w:hAnsi="Arial"/>
                <w:color w:val="1F2937"/>
                <w:sz w:val="19"/>
                <w:szCs w:val="19"/>
              </w:rPr>
              <w:t xml:space="preserve">Rules-as-code with officer-assistive recommendations is not yet in use in West Bengal and is rare nationally. It turns 'deemed approval' from a slogan into an enforceable system. It also answers the IAS concern about legal accountability: every recommendation cites the rule, and every officer decision is recorded.</w:t>
            </w:r>
          </w:p>
        </w:tc>
      </w:tr>
    </w:tbl>
    <w:p>
      <w:pPr>
        <w:keepNext/>
        <w:pBdr>
          <w:bottom w:val="single" w:color="1F3A5F" w:sz="6" w:space="2"/>
        </w:pBdr>
        <w:spacing w:after="70" w:before="150"/>
      </w:pPr>
      <w:r>
        <w:rPr>
          <w:rFonts w:ascii="Arial" w:cs="Arial" w:eastAsia="Arial" w:hAnsi="Arial"/>
          <w:b/>
          <w:bCs/>
          <w:color w:val="B45309"/>
          <w:sz w:val="23"/>
          <w:szCs w:val="23"/>
        </w:rPr>
        <w:t xml:space="preserve">3  </w:t>
      </w:r>
      <w:r>
        <w:rPr>
          <w:rFonts w:ascii="Arial" w:cs="Arial" w:eastAsia="Arial" w:hAnsi="Arial"/>
          <w:b/>
          <w:bCs/>
          <w:color w:val="1F3A5F"/>
          <w:sz w:val="21"/>
          <w:szCs w:val="21"/>
        </w:rPr>
        <w:t xml:space="preserve">APPROACH &amp; METHODOLOGY</w:t>
      </w:r>
    </w:p>
    <w:tbl>
      <w:tblPr>
        <w:tblW w:type="dxa" w:w="10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00"/>
        <w:gridCol w:w="5406"/>
        <w:gridCol w:w="2300"/>
      </w:tblGrid>
      <w:tr>
        <w:trPr>
          <w:cantSplit/>
          <w:tblHeader/>
        </w:trPr>
        <w:tc>
          <w:tcPr>
            <w:tcW w:type="dxa" w:w="15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Phase</w:t>
            </w:r>
          </w:p>
        </w:tc>
        <w:tc>
          <w:tcPr>
            <w:tcW w:type="dxa" w:w="11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Duration</w:t>
            </w:r>
          </w:p>
        </w:tc>
        <w:tc>
          <w:tcPr>
            <w:tcW w:type="dxa" w:w="5406"/>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What we do</w:t>
            </w:r>
          </w:p>
        </w:tc>
        <w:tc>
          <w:tcPr>
            <w:tcW w:type="dxa" w:w="23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Output</w:t>
            </w:r>
          </w:p>
        </w:tc>
      </w:tr>
      <w:tr>
        <w:trPr>
          <w:cantSplit/>
        </w:trPr>
        <w:tc>
          <w:tcPr>
            <w:tcW w:type="dxa" w:w="15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0. Baseline</w:t>
            </w:r>
          </w:p>
        </w:tc>
        <w:tc>
          <w:tcPr>
            <w:tcW w:type="dxa" w:w="11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4 weeks</w:t>
            </w:r>
          </w:p>
        </w:tc>
        <w:tc>
          <w:tcPr>
            <w:tcW w:type="dxa" w:w="5406"/>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Pick the 10 highest-volume services (factory licence, fire NOC, consent to establish / operate for green and orange categories, trade licence, park building plans). Run a time-and-motion baseline.</w:t>
            </w:r>
          </w:p>
        </w:tc>
        <w:tc>
          <w:tcPr>
            <w:tcW w:type="dxa" w:w="23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Service rule sheets</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1. Pilot</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12 weeks</w:t>
            </w:r>
          </w:p>
        </w:tc>
        <w:tc>
          <w:tcPr>
            <w:tcW w:type="dxa" w:w="5406"/>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Code the rules; Law Department vetting; shadow mode (the engine runs alongside officers and outcomes are compared, target ≥95% agreement) before go-live.</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10 services automated</w:t>
            </w:r>
          </w:p>
        </w:tc>
      </w:tr>
      <w:tr>
        <w:trPr>
          <w:cantSplit/>
        </w:trPr>
        <w:tc>
          <w:tcPr>
            <w:tcW w:type="dxa" w:w="15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2. Rollout</w:t>
            </w:r>
          </w:p>
        </w:tc>
        <w:tc>
          <w:tcPr>
            <w:tcW w:type="dxa" w:w="11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5–6 months</w:t>
            </w:r>
          </w:p>
        </w:tc>
        <w:tc>
          <w:tcPr>
            <w:tcW w:type="dxa" w:w="5406"/>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40+ services, the statutory clock, the fast lane and NSWS sync.</w:t>
            </w:r>
          </w:p>
        </w:tc>
        <w:tc>
          <w:tcPr>
            <w:tcW w:type="dxa" w:w="23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Smart single window</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3. Run</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Ongoing</w:t>
            </w:r>
          </w:p>
        </w:tc>
        <w:tc>
          <w:tcPr>
            <w:tcW w:type="dxa" w:w="5406"/>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A small 'rules desk' updates the code whenever a notification changes; delay analytics.</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Always-current rules</w:t>
            </w:r>
          </w:p>
        </w:tc>
      </w:tr>
    </w:tbl>
    <w:p>
      <w:pPr>
        <w:spacing w:after="0" w:before="60" w:line="252"/>
      </w:pPr>
      <w:r>
        <w:rPr>
          <w:rFonts w:ascii="Arial" w:cs="Arial" w:eastAsia="Arial" w:hAnsi="Arial"/>
          <w:b/>
          <w:bCs/>
          <w:color w:val="1F3A5F"/>
          <w:sz w:val="19"/>
          <w:szCs w:val="19"/>
        </w:rPr>
        <w:t xml:space="preserve">Method: </w:t>
      </w:r>
      <w:r>
        <w:rPr>
          <w:rFonts w:ascii="Arial" w:cs="Arial" w:eastAsia="Arial" w:hAnsi="Arial"/>
          <w:color w:val="1F2937"/>
          <w:sz w:val="19"/>
          <w:szCs w:val="19"/>
        </w:rPr>
        <w:t xml:space="preserve">Open rules engine (OpenFisca/Drools class), eSign and digital signature certificates, and CERT-In and STQC audits before go-live. Bilingual interface. Shadow mode is the key to officer confidence.</w:t>
      </w:r>
    </w:p>
    <w:p>
      <w:pPr>
        <w:keepNext/>
        <w:pBdr>
          <w:bottom w:val="single" w:color="1F3A5F" w:sz="6" w:space="2"/>
        </w:pBdr>
        <w:spacing w:after="70" w:before="150"/>
      </w:pPr>
      <w:r>
        <w:rPr>
          <w:rFonts w:ascii="Arial" w:cs="Arial" w:eastAsia="Arial" w:hAnsi="Arial"/>
          <w:b/>
          <w:bCs/>
          <w:color w:val="B45309"/>
          <w:sz w:val="23"/>
          <w:szCs w:val="23"/>
        </w:rPr>
        <w:t xml:space="preserve">4  </w:t>
      </w:r>
      <w:r>
        <w:rPr>
          <w:rFonts w:ascii="Arial" w:cs="Arial" w:eastAsia="Arial" w:hAnsi="Arial"/>
          <w:b/>
          <w:bCs/>
          <w:color w:val="1F3A5F"/>
          <w:sz w:val="21"/>
          <w:szCs w:val="21"/>
        </w:rPr>
        <w:t xml:space="preserve">BENEFITS</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9"/>
        <w:gridCol w:w="5159"/>
      </w:tblGrid>
      <w:tr>
        <w:trPr>
          <w:cantSplit/>
        </w:trPr>
        <w:tc>
          <w:tcPr>
            <w:tcW w:type="dxa" w:w="5159"/>
            <w:tcBorders>
              <w:top w:val="single" w:color="CBD5E1" w:sz="4"/>
              <w:left w:val="none" w:color="FFFFFF" w:sz="0"/>
              <w:bottom w:val="none" w:color="FFFFFF" w:sz="0"/>
              <w:right w:val="none" w:color="FFFFFF" w:sz="0"/>
            </w:tcBorders>
            <w:tcMar>
              <w:top w:type="dxa" w:w="70"/>
              <w:left w:type="dxa" w:w="110"/>
              <w:bottom w:type="dxa" w:w="70"/>
              <w:right w:type="dxa" w:w="110"/>
            </w:tcMar>
            <w:vAlign w:val="top"/>
          </w:tcPr>
          <w:p>
            <w:pPr>
              <w:spacing w:after="40" w:before="0" w:line="252"/>
            </w:pPr>
            <w:r>
              <w:rPr>
                <w:rFonts w:ascii="Arial" w:cs="Arial" w:eastAsia="Arial" w:hAnsi="Arial"/>
                <w:b/>
                <w:bCs/>
                <w:color w:val="0F766E"/>
                <w:sz w:val="18"/>
                <w:szCs w:val="18"/>
              </w:rPr>
              <w:t xml:space="preserve">For the Government</w:t>
            </w:r>
          </w:p>
          <w:p>
            <w:pPr>
              <w:pStyle w:val="ListParagraph"/>
              <w:keepLines/>
              <w:numPr>
                <w:ilvl w:val="0"/>
                <w:numId w:val="2"/>
              </w:numPr>
              <w:spacing w:after="40" w:line="246"/>
            </w:pPr>
            <w:r>
              <w:rPr>
                <w:rFonts w:ascii="Arial" w:cs="Arial" w:eastAsia="Arial" w:hAnsi="Arial"/>
                <w:color w:val="1F2937"/>
                <w:sz w:val="19"/>
                <w:szCs w:val="19"/>
              </w:rPr>
              <w:t xml:space="preserve">Target: 50–70% shorter approval time for covered services, and half as many rounds of deficiency notices.</w:t>
            </w:r>
          </w:p>
          <w:p>
            <w:pPr>
              <w:pStyle w:val="ListParagraph"/>
              <w:keepLines/>
              <w:numPr>
                <w:ilvl w:val="0"/>
                <w:numId w:val="2"/>
              </w:numPr>
              <w:spacing w:after="40" w:line="246"/>
            </w:pPr>
            <w:r>
              <w:rPr>
                <w:rFonts w:ascii="Arial" w:cs="Arial" w:eastAsia="Arial" w:hAnsi="Arial"/>
                <w:color w:val="1F2937"/>
                <w:sz w:val="19"/>
                <w:szCs w:val="19"/>
              </w:rPr>
              <w:t xml:space="preserve">Officers protected by rule citations and a full audit trail.</w:t>
            </w:r>
          </w:p>
          <w:p>
            <w:pPr>
              <w:pStyle w:val="ListParagraph"/>
              <w:keepLines/>
              <w:numPr>
                <w:ilvl w:val="0"/>
                <w:numId w:val="2"/>
              </w:numPr>
              <w:spacing w:after="40" w:line="246"/>
            </w:pPr>
            <w:r>
              <w:rPr>
                <w:rFonts w:ascii="Arial" w:cs="Arial" w:eastAsia="Arial" w:hAnsi="Arial"/>
                <w:color w:val="1F2937"/>
                <w:sz w:val="19"/>
                <w:szCs w:val="19"/>
              </w:rPr>
              <w:t xml:space="preserve">A direct lift to the state's Business Reform Action Plan (BRAP) ranking.</w:t>
            </w:r>
          </w:p>
        </w:tc>
        <w:tc>
          <w:tcPr>
            <w:tcW w:type="dxa" w:w="5159"/>
            <w:tcBorders>
              <w:top w:val="single" w:color="CBD5E1" w:sz="4"/>
              <w:left w:val="none" w:color="FFFFFF" w:sz="0"/>
              <w:bottom w:val="none" w:color="FFFFFF" w:sz="0"/>
              <w:right w:val="none" w:color="FFFFFF" w:sz="0"/>
            </w:tcBorders>
            <w:tcMar>
              <w:top w:type="dxa" w:w="70"/>
              <w:left w:type="dxa" w:w="110"/>
              <w:bottom w:type="dxa" w:w="70"/>
              <w:right w:type="dxa" w:w="110"/>
            </w:tcMar>
            <w:vAlign w:val="top"/>
          </w:tcPr>
          <w:p>
            <w:pPr>
              <w:spacing w:after="40" w:before="0" w:line="252"/>
            </w:pPr>
            <w:r>
              <w:rPr>
                <w:rFonts w:ascii="Arial" w:cs="Arial" w:eastAsia="Arial" w:hAnsi="Arial"/>
                <w:b/>
                <w:bCs/>
                <w:color w:val="0F766E"/>
                <w:sz w:val="18"/>
                <w:szCs w:val="18"/>
              </w:rPr>
              <w:t xml:space="preserve">For industry, MSMEs &amp; citizens</w:t>
            </w:r>
          </w:p>
          <w:p>
            <w:pPr>
              <w:pStyle w:val="ListParagraph"/>
              <w:keepLines/>
              <w:numPr>
                <w:ilvl w:val="0"/>
                <w:numId w:val="2"/>
              </w:numPr>
              <w:spacing w:after="40" w:line="246"/>
            </w:pPr>
            <w:r>
              <w:rPr>
                <w:rFonts w:ascii="Arial" w:cs="Arial" w:eastAsia="Arial" w:hAnsi="Arial"/>
                <w:color w:val="1F2937"/>
                <w:sz w:val="19"/>
                <w:szCs w:val="19"/>
              </w:rPr>
              <w:t xml:space="preserve">Predictable timelines and instant feedback on gaps in an application.</w:t>
            </w:r>
          </w:p>
          <w:p>
            <w:pPr>
              <w:pStyle w:val="ListParagraph"/>
              <w:keepLines/>
              <w:numPr>
                <w:ilvl w:val="0"/>
                <w:numId w:val="2"/>
              </w:numPr>
              <w:spacing w:after="40" w:line="246"/>
            </w:pPr>
            <w:r>
              <w:rPr>
                <w:rFonts w:ascii="Arial" w:cs="Arial" w:eastAsia="Arial" w:hAnsi="Arial"/>
                <w:color w:val="1F2937"/>
                <w:sz w:val="19"/>
                <w:szCs w:val="19"/>
              </w:rPr>
              <w:t xml:space="preserve">The ₹100 crore fast-lane promise becomes real.</w:t>
            </w:r>
          </w:p>
          <w:p>
            <w:pPr>
              <w:pStyle w:val="ListParagraph"/>
              <w:keepLines/>
              <w:numPr>
                <w:ilvl w:val="0"/>
                <w:numId w:val="2"/>
              </w:numPr>
              <w:spacing w:after="40" w:line="246"/>
            </w:pPr>
            <w:r>
              <w:rPr>
                <w:rFonts w:ascii="Arial" w:cs="Arial" w:eastAsia="Arial" w:hAnsi="Arial"/>
                <w:color w:val="1F2937"/>
                <w:sz w:val="19"/>
                <w:szCs w:val="19"/>
              </w:rPr>
              <w:t xml:space="preserve">No duplicate data entry between national and state portals.</w:t>
            </w:r>
          </w:p>
        </w:tc>
      </w:tr>
    </w:tbl>
    <w:p>
      <w:pPr>
        <w:keepNext/>
        <w:pBdr>
          <w:bottom w:val="single" w:color="1F3A5F" w:sz="6" w:space="2"/>
        </w:pBdr>
        <w:spacing w:after="70" w:before="150"/>
      </w:pPr>
      <w:r>
        <w:rPr>
          <w:rFonts w:ascii="Arial" w:cs="Arial" w:eastAsia="Arial" w:hAnsi="Arial"/>
          <w:b/>
          <w:bCs/>
          <w:color w:val="B45309"/>
          <w:sz w:val="23"/>
          <w:szCs w:val="23"/>
        </w:rPr>
        <w:t xml:space="preserve">5  </w:t>
      </w:r>
      <w:r>
        <w:rPr>
          <w:rFonts w:ascii="Arial" w:cs="Arial" w:eastAsia="Arial" w:hAnsi="Arial"/>
          <w:b/>
          <w:bCs/>
          <w:color w:val="1F3A5F"/>
          <w:sz w:val="21"/>
          <w:szCs w:val="21"/>
        </w:rPr>
        <w:t xml:space="preserve">LIKELY COST RANGE (DEVELOPMENT + INFRASTRUCTURE)</w:t>
      </w:r>
    </w:p>
    <w:tbl>
      <w:tblPr>
        <w:tblW w:type="dxa" w:w="10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6"/>
        <w:gridCol w:w="2500"/>
        <w:gridCol w:w="2500"/>
      </w:tblGrid>
      <w:tr>
        <w:trPr>
          <w:cantSplit/>
          <w:tblHeader/>
        </w:trPr>
        <w:tc>
          <w:tcPr>
            <w:tcW w:type="dxa" w:w="5306"/>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pPr>
            <w:r>
              <w:rPr>
                <w:rFonts w:ascii="Arial" w:cs="Arial" w:eastAsia="Arial" w:hAnsi="Arial"/>
                <w:b/>
                <w:bCs/>
                <w:color w:val="FFFFFF"/>
                <w:sz w:val="16"/>
                <w:szCs w:val="16"/>
              </w:rPr>
              <w:t xml:space="preserve">Component</w:t>
            </w:r>
          </w:p>
        </w:tc>
        <w:tc>
          <w:tcPr>
            <w:tcW w:type="dxa" w:w="2500"/>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FFFFFF"/>
                <w:sz w:val="16"/>
                <w:szCs w:val="16"/>
              </w:rPr>
              <w:t xml:space="preserve">Low</w:t>
            </w:r>
          </w:p>
        </w:tc>
        <w:tc>
          <w:tcPr>
            <w:tcW w:type="dxa" w:w="2500"/>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FFFFFF"/>
                <w:sz w:val="16"/>
                <w:szCs w:val="16"/>
              </w:rPr>
              <w:t xml:space="preserve">High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Development: pilot (Phases 0–1)</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₹45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₹70 lakh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Development: full rollout (Phase 2), incl. security audit</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₹2.0 cr</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₹3.2 cr</w:t>
            </w:r>
          </w:p>
        </w:tc>
      </w:tr>
      <w:tr>
        <w:trPr>
          <w:cantSplit/>
        </w:trPr>
        <w:tc>
          <w:tcPr>
            <w:tcW w:type="dxa" w:w="5306"/>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pPr>
            <w:r>
              <w:rPr>
                <w:rFonts w:ascii="Arial" w:cs="Arial" w:eastAsia="Arial" w:hAnsi="Arial"/>
                <w:b/>
                <w:bCs/>
                <w:color w:val="1F3A5F"/>
                <w:sz w:val="17"/>
                <w:szCs w:val="17"/>
              </w:rPr>
              <w:t xml:space="preserve">One-time total</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₹2.45 cr</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₹3.9 cr</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Infrastructure per year (hosting, storage, gateways, data)</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₹30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₹50 lakh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Operations &amp; maintenance per year (support, updates, helpdesk)</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₹45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₹70 lakh</w:t>
            </w:r>
          </w:p>
        </w:tc>
      </w:tr>
      <w:tr>
        <w:trPr>
          <w:cantSplit/>
        </w:trPr>
        <w:tc>
          <w:tcPr>
            <w:tcW w:type="dxa" w:w="5306"/>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pPr>
            <w:r>
              <w:rPr>
                <w:rFonts w:ascii="Arial" w:cs="Arial" w:eastAsia="Arial" w:hAnsi="Arial"/>
                <w:b/>
                <w:bCs/>
                <w:color w:val="1F3A5F"/>
                <w:sz w:val="17"/>
                <w:szCs w:val="17"/>
              </w:rPr>
              <w:t xml:space="preserve">Recurring total per year</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₹75 lakh</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₹1.2 cr</w:t>
            </w:r>
          </w:p>
        </w:tc>
      </w:tr>
    </w:tbl>
    <w:p>
      <w:pPr>
        <w:spacing w:after="0" w:before="50" w:line="252"/>
      </w:pPr>
      <w:r>
        <w:rPr>
          <w:rFonts w:ascii="Arial" w:cs="Arial" w:eastAsia="Arial" w:hAnsi="Arial"/>
          <w:i/>
          <w:iCs/>
          <w:color w:val="5B6472"/>
          <w:sz w:val="16"/>
          <w:szCs w:val="16"/>
        </w:rPr>
        <w:t xml:space="preserve">O&amp;M includes a 2-person rules desk that keeps the coded rules in line with new notifications. The rollout estimate includes the CERT-In security audit. Figures exclude GST and are ±25% until scoped.</w:t>
      </w:r>
    </w:p>
    <w:p>
      <w:pPr>
        <w:keepNext/>
        <w:pBdr>
          <w:bottom w:val="single" w:color="1F3A5F" w:sz="6" w:space="2"/>
        </w:pBdr>
        <w:spacing w:after="70" w:before="150"/>
      </w:pPr>
      <w:r>
        <w:rPr>
          <w:rFonts w:ascii="Arial" w:cs="Arial" w:eastAsia="Arial" w:hAnsi="Arial"/>
          <w:b/>
          <w:bCs/>
          <w:color w:val="B45309"/>
          <w:sz w:val="23"/>
          <w:szCs w:val="23"/>
        </w:rPr>
        <w:t xml:space="preserve">6  </w:t>
      </w:r>
      <w:r>
        <w:rPr>
          <w:rFonts w:ascii="Arial" w:cs="Arial" w:eastAsia="Arial" w:hAnsi="Arial"/>
          <w:b/>
          <w:bCs/>
          <w:color w:val="1F3A5F"/>
          <w:sz w:val="21"/>
          <w:szCs w:val="21"/>
        </w:rPr>
        <w:t xml:space="preserve">KEY RISKS &amp; HOW WE HANDLE THEM</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718"/>
      </w:tblGrid>
      <w:tr>
        <w:trPr>
          <w:cantSplit/>
        </w:trPr>
        <w:tc>
          <w:tcPr>
            <w:tcW w:type="dxa" w:w="3600"/>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Legal accountability for automated decisions</w:t>
            </w:r>
          </w:p>
        </w:tc>
        <w:tc>
          <w:tcPr>
            <w:tcW w:type="dxa" w:w="6718"/>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Assistive mode, Law Department vetting, and shadow mode before go-live.</w:t>
            </w:r>
          </w:p>
        </w:tc>
      </w:tr>
      <w:tr>
        <w:trPr>
          <w:cantSplit/>
        </w:trPr>
        <w:tc>
          <w:tcPr>
            <w:tcW w:type="dxa" w:w="3600"/>
            <w:tcBorders>
              <w:top w:val="none" w:color="FFFFFF" w:sz="0"/>
              <w:left w:val="none" w:color="FFFFFF" w:sz="0"/>
              <w:bottom w:val="single" w:color="CBD5E1" w:sz="4"/>
              <w:right w:val="none" w:color="FFFFFF" w:sz="0"/>
            </w:tcBorders>
            <w:shd w:fill="FFFFFF"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Rules change frequently</w:t>
            </w:r>
          </w:p>
        </w:tc>
        <w:tc>
          <w:tcPr>
            <w:tcW w:type="dxa" w:w="6718"/>
            <w:tcBorders>
              <w:top w:val="none" w:color="FFFFFF" w:sz="0"/>
              <w:left w:val="none" w:color="FFFFFF" w:sz="0"/>
              <w:bottom w:val="single" w:color="CBD5E1" w:sz="4"/>
              <w:right w:val="none" w:color="FFFFFF" w:sz="0"/>
            </w:tcBorders>
            <w:shd w:fill="FFFFFF"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A dedicated rules desk; every rule versioned and dated.</w:t>
            </w:r>
          </w:p>
        </w:tc>
      </w:tr>
      <w:tr>
        <w:trPr>
          <w:cantSplit/>
        </w:trPr>
        <w:tc>
          <w:tcPr>
            <w:tcW w:type="dxa" w:w="3600"/>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Resistance from line departments</w:t>
            </w:r>
          </w:p>
        </w:tc>
        <w:tc>
          <w:tcPr>
            <w:tcW w:type="dxa" w:w="6718"/>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Start with services ICE controls; publish the time saved to build demand.</w:t>
            </w:r>
          </w:p>
        </w:tc>
      </w:tr>
    </w:tbl>
    <w:p>
      <w:r>
        <w:br w:type="pag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18"/>
      </w:tblGrid>
      <w:tr>
        <w:tc>
          <w:tcPr>
            <w:tcW w:type="dxa" w:w="10318"/>
            <w:tcBorders>
              <w:top w:val="none" w:color="FFFFFF" w:sz="0"/>
              <w:left w:val="none" w:color="FFFFFF" w:sz="0"/>
              <w:bottom w:val="none" w:color="FFFFFF" w:sz="0"/>
              <w:right w:val="none" w:color="FFFFFF" w:sz="0"/>
            </w:tcBorders>
            <w:shd w:fill="1F3A5F" w:color="auto" w:val="clear"/>
            <w:tcMar>
              <w:top w:type="dxa" w:w="150"/>
              <w:left w:type="dxa" w:w="110"/>
              <w:bottom w:type="dxa" w:w="150"/>
              <w:right w:type="dxa" w:w="110"/>
            </w:tcMar>
            <w:vAlign w:val="top"/>
          </w:tcPr>
          <w:p>
            <w:pPr>
              <w:spacing w:after="80" w:before="0" w:line="252"/>
            </w:pPr>
            <w:r>
              <w:rPr>
                <w:rFonts w:ascii="Arial" w:cs="Arial" w:eastAsia="Arial" w:hAnsi="Arial"/>
                <w:b/>
                <w:bCs/>
                <w:color w:val="F6C27A"/>
                <w:sz w:val="17"/>
                <w:szCs w:val="17"/>
              </w:rPr>
              <w:t xml:space="preserve">INITIATIVE 04</w:t>
            </w:r>
          </w:p>
          <w:p>
            <w:pPr>
              <w:spacing w:after="60" w:before="0" w:line="276"/>
            </w:pPr>
            <w:r>
              <w:rPr>
                <w:rFonts w:ascii="Arial" w:cs="Arial" w:eastAsia="Arial" w:hAnsi="Arial"/>
                <w:b/>
                <w:bCs/>
                <w:color w:val="FFFFFF"/>
                <w:sz w:val="38"/>
                <w:szCs w:val="38"/>
              </w:rPr>
              <w:t xml:space="preserve">Karma Praman</w:t>
            </w:r>
            <w:r>
              <w:rPr>
                <w:rFonts w:ascii="Arial" w:cs="Arial" w:eastAsia="Arial" w:hAnsi="Arial"/>
                <w:color w:val="DCE6F2"/>
                <w:sz w:val="22"/>
                <w:szCs w:val="22"/>
              </w:rPr>
              <w:t xml:space="preserve">   Jobs-Linked Incentive Verification &amp; Disbursal Engine</w:t>
            </w:r>
          </w:p>
          <w:p>
            <w:pPr>
              <w:spacing w:after="0" w:before="0" w:line="252"/>
            </w:pPr>
            <w:r>
              <w:rPr>
                <w:rFonts w:ascii="Arial" w:cs="Arial" w:eastAsia="Arial" w:hAnsi="Arial"/>
                <w:i/>
                <w:iCs/>
                <w:color w:val="DCE6F2"/>
                <w:sz w:val="19"/>
                <w:szCs w:val="19"/>
              </w:rPr>
              <w:t xml:space="preserve">Pay incentives only for real jobs: verified, automatic and leak-proof.</w:t>
            </w:r>
          </w:p>
        </w:tc>
      </w:tr>
    </w:tbl>
    <w:p>
      <w:pPr>
        <w:spacing w:after="60" w:before="0" w:line="252"/>
      </w:pPr>
      <w:r>
        <w:rPr>
          <w:rFonts w:ascii="Arial" w:cs="Arial" w:eastAsia="Arial" w:hAnsi="Arial"/>
          <w:color w:val="1F2937"/>
          <w:sz w:val="19"/>
          <w:szCs w:val="19"/>
        </w:rPr>
        <w:t xml:space="preserv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9"/>
        <w:gridCol w:w="5159"/>
      </w:tblGrid>
      <w:tr>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OWNER &amp; PARTNER DEPARTMENTS</w:t>
            </w:r>
          </w:p>
          <w:p>
            <w:pPr>
              <w:spacing w:after="0" w:before="0" w:line="230"/>
            </w:pPr>
            <w:r>
              <w:rPr>
                <w:rFonts w:ascii="Arial" w:cs="Arial" w:eastAsia="Arial" w:hAnsi="Arial"/>
                <w:color w:val="1F2937"/>
                <w:sz w:val="17"/>
                <w:szCs w:val="17"/>
              </w:rPr>
              <w:t xml:space="preserve">ICE (incentive owner); Finance (IFMS); Labour. Data partners: EPFO, ESIC, GSTN / State GST, WBSEDCL</w:t>
            </w:r>
          </w:p>
        </w:tc>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STATUS TODAY</w:t>
            </w:r>
          </w:p>
          <w:p>
            <w:pPr>
              <w:spacing w:after="0" w:before="0" w:line="230"/>
            </w:pPr>
            <w:r>
              <w:rPr>
                <w:rFonts w:ascii="Arial" w:cs="Arial" w:eastAsia="Arial" w:hAnsi="Arial"/>
                <w:b/>
                <w:bCs/>
                <w:color w:val="1F2937"/>
                <w:sz w:val="17"/>
                <w:szCs w:val="17"/>
              </w:rPr>
              <w:t xml:space="preserve">Not started: greenfield. </w:t>
            </w:r>
            <w:r>
              <w:rPr>
                <w:rFonts w:ascii="Arial" w:cs="Arial" w:eastAsia="Arial" w:hAnsi="Arial"/>
                <w:color w:val="1F2937"/>
                <w:sz w:val="17"/>
                <w:szCs w:val="17"/>
              </w:rPr>
              <w:t xml:space="preserve">The new industrial policy, with a ₹5,000 crore jobs-linked incentive pool in the FY27 budget, is in its final stage (expected around October 2026). No verification system exists yet.</w:t>
            </w:r>
          </w:p>
        </w:tc>
      </w:tr>
      <w:tr>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TIMELINE</w:t>
            </w:r>
          </w:p>
          <w:p>
            <w:pPr>
              <w:spacing w:after="0" w:before="0" w:line="252"/>
            </w:pPr>
            <w:r>
              <w:rPr>
                <w:rFonts w:ascii="Arial" w:cs="Arial" w:eastAsia="Arial" w:hAnsi="Arial"/>
                <w:color w:val="1F2937"/>
                <w:sz w:val="17"/>
                <w:szCs w:val="17"/>
              </w:rPr>
              <w:t xml:space="preserve">Pilot 12 weeks · Rollout 5 months: ready before the first claims fall due</w:t>
            </w:r>
          </w:p>
        </w:tc>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INDICATIVE COST</w:t>
            </w:r>
          </w:p>
          <w:p>
            <w:pPr>
              <w:spacing w:after="0" w:before="0" w:line="252"/>
            </w:pPr>
            <w:r>
              <w:rPr>
                <w:rFonts w:ascii="Arial" w:cs="Arial" w:eastAsia="Arial" w:hAnsi="Arial"/>
                <w:b/>
                <w:bCs/>
                <w:color w:val="1F2937"/>
                <w:sz w:val="17"/>
                <w:szCs w:val="17"/>
              </w:rPr>
              <w:t xml:space="preserve">One-time ₹1.8–2.75 cr</w:t>
            </w:r>
            <w:r>
              <w:rPr>
                <w:rFonts w:ascii="Arial" w:cs="Arial" w:eastAsia="Arial" w:hAnsi="Arial"/>
                <w:color w:val="1F2937"/>
                <w:sz w:val="17"/>
                <w:szCs w:val="17"/>
              </w:rPr>
              <w:t xml:space="preserve">  ·  Recurring ₹50–85 lakh / yr</w:t>
            </w:r>
          </w:p>
        </w:tc>
      </w:tr>
    </w:tbl>
    <w:p>
      <w:pPr>
        <w:keepNext/>
        <w:pBdr>
          <w:bottom w:val="single" w:color="1F3A5F" w:sz="6" w:space="2"/>
        </w:pBdr>
        <w:spacing w:after="70" w:before="150"/>
      </w:pPr>
      <w:r>
        <w:rPr>
          <w:rFonts w:ascii="Arial" w:cs="Arial" w:eastAsia="Arial" w:hAnsi="Arial"/>
          <w:b/>
          <w:bCs/>
          <w:color w:val="B45309"/>
          <w:sz w:val="23"/>
          <w:szCs w:val="23"/>
        </w:rPr>
        <w:t xml:space="preserve">1  </w:t>
      </w:r>
      <w:r>
        <w:rPr>
          <w:rFonts w:ascii="Arial" w:cs="Arial" w:eastAsia="Arial" w:hAnsi="Arial"/>
          <w:b/>
          <w:bCs/>
          <w:color w:val="1F3A5F"/>
          <w:sz w:val="21"/>
          <w:szCs w:val="21"/>
        </w:rPr>
        <w:t xml:space="preserve">PROBLEM STATEMENT</w:t>
      </w:r>
    </w:p>
    <w:p>
      <w:pPr>
        <w:pStyle w:val="ListParagraph"/>
        <w:keepLines/>
        <w:numPr>
          <w:ilvl w:val="0"/>
          <w:numId w:val="2"/>
        </w:numPr>
        <w:spacing w:after="40" w:line="246"/>
      </w:pPr>
      <w:r>
        <w:rPr>
          <w:rFonts w:ascii="Arial" w:cs="Arial" w:eastAsia="Arial" w:hAnsi="Arial"/>
          <w:color w:val="1F2937"/>
          <w:sz w:val="19"/>
          <w:szCs w:val="19"/>
        </w:rPr>
        <w:t xml:space="preserve">The new policy links incentives to jobs created rather than money invested. The idea is right, but 'jobs' are easy to inflate: ghost employees, short-term hires dropped after the count, workers shuffled between group companies.</w:t>
      </w:r>
    </w:p>
    <w:p>
      <w:pPr>
        <w:pStyle w:val="ListParagraph"/>
        <w:keepLines/>
        <w:numPr>
          <w:ilvl w:val="0"/>
          <w:numId w:val="2"/>
        </w:numPr>
        <w:spacing w:after="40" w:line="246"/>
      </w:pPr>
      <w:r>
        <w:rPr>
          <w:rFonts w:ascii="Arial" w:cs="Arial" w:eastAsia="Arial" w:hAnsi="Arial"/>
          <w:color w:val="1F2937"/>
          <w:sz w:val="19"/>
          <w:szCs w:val="19"/>
        </w:rPr>
        <w:t xml:space="preserve">The previous incentive regime ended in dispute. A 2025 law withdrew incentives dating back to 1993, and industry says more than ₹20,000 crore of claims are outstanding. Trust has to be rebuilt through transparency.</w:t>
      </w:r>
    </w:p>
    <w:p>
      <w:pPr>
        <w:pStyle w:val="ListParagraph"/>
        <w:keepLines/>
        <w:numPr>
          <w:ilvl w:val="0"/>
          <w:numId w:val="2"/>
        </w:numPr>
        <w:spacing w:after="40" w:line="246"/>
      </w:pPr>
      <w:r>
        <w:rPr>
          <w:rFonts w:ascii="Arial" w:cs="Arial" w:eastAsia="Arial" w:hAnsi="Arial"/>
          <w:color w:val="1F2937"/>
          <w:sz w:val="19"/>
          <w:szCs w:val="19"/>
        </w:rPr>
        <w:t xml:space="preserve">Checking payroll documents by hand for thousands of units is slow and leaves room for discretion, which is exactly what investors complain about.</w:t>
      </w:r>
    </w:p>
    <w:p>
      <w:pPr>
        <w:pStyle w:val="ListParagraph"/>
        <w:keepLines/>
        <w:numPr>
          <w:ilvl w:val="0"/>
          <w:numId w:val="2"/>
        </w:numPr>
        <w:spacing w:after="40" w:line="246"/>
      </w:pPr>
      <w:r>
        <w:rPr>
          <w:rFonts w:ascii="Arial" w:cs="Arial" w:eastAsia="Arial" w:hAnsi="Arial"/>
          <w:color w:val="1F2937"/>
          <w:sz w:val="19"/>
          <w:szCs w:val="19"/>
        </w:rPr>
        <w:t xml:space="preserve">EPFO is now considering sharing real-time data with states (August 2026). This is the window to build the system right from the start.</w:t>
      </w:r>
    </w:p>
    <w:p>
      <w:pPr>
        <w:keepNext/>
        <w:pBdr>
          <w:bottom w:val="single" w:color="1F3A5F" w:sz="6" w:space="2"/>
        </w:pBdr>
        <w:spacing w:after="70" w:before="150"/>
      </w:pPr>
      <w:r>
        <w:rPr>
          <w:rFonts w:ascii="Arial" w:cs="Arial" w:eastAsia="Arial" w:hAnsi="Arial"/>
          <w:b/>
          <w:bCs/>
          <w:color w:val="B45309"/>
          <w:sz w:val="23"/>
          <w:szCs w:val="23"/>
        </w:rPr>
        <w:t xml:space="preserve">2  </w:t>
      </w:r>
      <w:r>
        <w:rPr>
          <w:rFonts w:ascii="Arial" w:cs="Arial" w:eastAsia="Arial" w:hAnsi="Arial"/>
          <w:b/>
          <w:bCs/>
          <w:color w:val="1F3A5F"/>
          <w:sz w:val="21"/>
          <w:szCs w:val="21"/>
        </w:rPr>
        <w:t xml:space="preserve">PROPOSED SOLUTION</w:t>
      </w:r>
    </w:p>
    <w:p>
      <w:pPr>
        <w:keepNext/>
        <w:spacing w:after="60" w:before="0" w:line="252"/>
      </w:pPr>
      <w:r>
        <w:rPr>
          <w:rFonts w:ascii="Arial" w:cs="Arial" w:eastAsia="Arial" w:hAnsi="Arial"/>
          <w:color w:val="1F2937"/>
          <w:sz w:val="19"/>
          <w:szCs w:val="19"/>
        </w:rPr>
        <w:t xml:space="preserve">A policy-as-code engine that calculates, verifies and pays out incentives from trusted government data.</w:t>
      </w:r>
    </w:p>
    <w:p>
      <w:pPr>
        <w:pStyle w:val="ListParagraph"/>
        <w:keepLines/>
        <w:numPr>
          <w:ilvl w:val="0"/>
          <w:numId w:val="2"/>
        </w:numPr>
        <w:spacing w:after="40" w:line="246"/>
      </w:pPr>
      <w:r>
        <w:rPr>
          <w:rFonts w:ascii="Arial" w:cs="Arial" w:eastAsia="Arial" w:hAnsi="Arial"/>
          <w:b/>
          <w:bCs/>
          <w:color w:val="1F3A5F"/>
          <w:sz w:val="19"/>
          <w:szCs w:val="19"/>
        </w:rPr>
        <w:t xml:space="preserve">Policy-as-code + simulator: </w:t>
      </w:r>
      <w:r>
        <w:rPr>
          <w:rFonts w:ascii="Arial" w:cs="Arial" w:eastAsia="Arial" w:hAnsi="Arial"/>
          <w:color w:val="1F2937"/>
          <w:sz w:val="19"/>
          <w:szCs w:val="19"/>
        </w:rPr>
        <w:t xml:space="preserve">Each eligibility and payout rule is coded once and version-controlled. Finance can simulate the budget impact of a rule before it is notified.</w:t>
      </w:r>
    </w:p>
    <w:p>
      <w:pPr>
        <w:pStyle w:val="ListParagraph"/>
        <w:keepLines/>
        <w:numPr>
          <w:ilvl w:val="0"/>
          <w:numId w:val="2"/>
        </w:numPr>
        <w:spacing w:after="40" w:line="246"/>
      </w:pPr>
      <w:r>
        <w:rPr>
          <w:rFonts w:ascii="Arial" w:cs="Arial" w:eastAsia="Arial" w:hAnsi="Arial"/>
          <w:b/>
          <w:bCs/>
          <w:color w:val="1F3A5F"/>
          <w:sz w:val="19"/>
          <w:szCs w:val="19"/>
        </w:rPr>
        <w:t xml:space="preserve">Jobs verification: </w:t>
      </w:r>
      <w:r>
        <w:rPr>
          <w:rFonts w:ascii="Arial" w:cs="Arial" w:eastAsia="Arial" w:hAnsi="Arial"/>
          <w:color w:val="1F2937"/>
          <w:sz w:val="19"/>
          <w:szCs w:val="19"/>
        </w:rPr>
        <w:t xml:space="preserve">Monthly EPFO/ESIC data, with the unit's consent: new UANs, wage bands, share of Bengal residents, women and SC/ST shares where the policy rewards them. Retention checks at 12 and 24 months.</w:t>
      </w:r>
    </w:p>
    <w:p>
      <w:pPr>
        <w:pStyle w:val="ListParagraph"/>
        <w:keepLines/>
        <w:numPr>
          <w:ilvl w:val="0"/>
          <w:numId w:val="2"/>
        </w:numPr>
        <w:spacing w:after="40" w:line="246"/>
      </w:pPr>
      <w:r>
        <w:rPr>
          <w:rFonts w:ascii="Arial" w:cs="Arial" w:eastAsia="Arial" w:hAnsi="Arial"/>
          <w:b/>
          <w:bCs/>
          <w:color w:val="1F3A5F"/>
          <w:sz w:val="19"/>
          <w:szCs w:val="19"/>
        </w:rPr>
        <w:t xml:space="preserve">Activity cross-checks: </w:t>
      </w:r>
      <w:r>
        <w:rPr>
          <w:rFonts w:ascii="Arial" w:cs="Arial" w:eastAsia="Arial" w:hAnsi="Arial"/>
          <w:color w:val="1F2937"/>
          <w:sz w:val="19"/>
          <w:szCs w:val="19"/>
        </w:rPr>
        <w:t xml:space="preserve">GST returns and electricity consumption confirm that the unit is really operating.</w:t>
      </w:r>
    </w:p>
    <w:p>
      <w:pPr>
        <w:pStyle w:val="ListParagraph"/>
        <w:keepLines/>
        <w:numPr>
          <w:ilvl w:val="0"/>
          <w:numId w:val="2"/>
        </w:numPr>
        <w:spacing w:after="40" w:line="246"/>
      </w:pPr>
      <w:r>
        <w:rPr>
          <w:rFonts w:ascii="Arial" w:cs="Arial" w:eastAsia="Arial" w:hAnsi="Arial"/>
          <w:b/>
          <w:bCs/>
          <w:color w:val="1F3A5F"/>
          <w:sz w:val="19"/>
          <w:szCs w:val="19"/>
        </w:rPr>
        <w:t xml:space="preserve">Anomaly analytics: </w:t>
      </w:r>
      <w:r>
        <w:rPr>
          <w:rFonts w:ascii="Arial" w:cs="Arial" w:eastAsia="Arial" w:hAnsi="Arial"/>
          <w:color w:val="1F2937"/>
          <w:sz w:val="19"/>
          <w:szCs w:val="19"/>
        </w:rPr>
        <w:t xml:space="preserve">Flags the same UAN appearing across group entities, hiring spikes just before a claim, and wage outliers.</w:t>
      </w:r>
    </w:p>
    <w:p>
      <w:pPr>
        <w:pStyle w:val="ListParagraph"/>
        <w:keepLines/>
        <w:numPr>
          <w:ilvl w:val="0"/>
          <w:numId w:val="2"/>
        </w:numPr>
        <w:spacing w:after="40" w:line="246"/>
      </w:pPr>
      <w:r>
        <w:rPr>
          <w:rFonts w:ascii="Arial" w:cs="Arial" w:eastAsia="Arial" w:hAnsi="Arial"/>
          <w:b/>
          <w:bCs/>
          <w:color w:val="1F3A5F"/>
          <w:sz w:val="19"/>
          <w:szCs w:val="19"/>
        </w:rPr>
        <w:t xml:space="preserve">Auto-disbursal + legacy claims: </w:t>
      </w:r>
      <w:r>
        <w:rPr>
          <w:rFonts w:ascii="Arial" w:cs="Arial" w:eastAsia="Arial" w:hAnsi="Arial"/>
          <w:color w:val="1F2937"/>
          <w:sz w:val="19"/>
          <w:szCs w:val="19"/>
        </w:rPr>
        <w:t xml:space="preserve">Approved claims go to IFMS for direct transfer to the unit's bank account, with claw-back if jobs fall. A separate module digitises old claims and classifies them as valid, disputed or time-barred.</w:t>
      </w:r>
    </w:p>
    <w:p>
      <w:pPr>
        <w:spacing w:after="40" w:before="0" w:line="252"/>
      </w:pPr>
      <w:r>
        <w:rPr>
          <w:rFonts w:ascii="Arial" w:cs="Arial" w:eastAsia="Arial" w:hAnsi="Arial"/>
          <w:color w:val="1F2937"/>
          <w:sz w:val="19"/>
          <w:szCs w:val="19"/>
        </w:rPr>
        <w:t xml:space="preserv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18"/>
      </w:tblGrid>
      <w:tr>
        <w:trPr>
          <w:cantSplit/>
        </w:trPr>
        <w:tc>
          <w:tcPr>
            <w:tcW w:type="dxa" w:w="10318"/>
            <w:tcBorders>
              <w:top w:val="none" w:color="FFFFFF" w:sz="0"/>
              <w:left w:val="single" w:color="B45309" w:sz="24"/>
              <w:bottom w:val="none" w:color="FFFFFF" w:sz="0"/>
              <w:right w:val="none" w:color="FFFFFF" w:sz="0"/>
            </w:tcBorders>
            <w:shd w:fill="FDF3E4" w:color="auto" w:val="clear"/>
            <w:tcMar>
              <w:top w:type="dxa" w:w="100"/>
              <w:left w:type="dxa" w:w="110"/>
              <w:bottom w:type="dxa" w:w="100"/>
              <w:right w:type="dxa" w:w="110"/>
            </w:tcMar>
            <w:vAlign w:val="top"/>
          </w:tcPr>
          <w:p>
            <w:pPr>
              <w:spacing w:after="30" w:before="0" w:line="252"/>
            </w:pPr>
            <w:r>
              <w:rPr>
                <w:rFonts w:ascii="Arial" w:cs="Arial" w:eastAsia="Arial" w:hAnsi="Arial"/>
                <w:b/>
                <w:bCs/>
                <w:color w:val="B45309"/>
                <w:sz w:val="17"/>
                <w:szCs w:val="17"/>
              </w:rPr>
              <w:t xml:space="preserve">UNIQUE DIFFERENTIATOR</w:t>
            </w:r>
          </w:p>
          <w:p>
            <w:pPr>
              <w:spacing w:after="0" w:before="0" w:line="252"/>
            </w:pPr>
            <w:r>
              <w:rPr>
                <w:rFonts w:ascii="Arial" w:cs="Arial" w:eastAsia="Arial" w:hAnsi="Arial"/>
                <w:color w:val="1F2937"/>
                <w:sz w:val="19"/>
                <w:szCs w:val="19"/>
              </w:rPr>
              <w:t xml:space="preserve">This is a state incentive scheme in which the money follows payroll data automatically. It works alongside the Centre's ELI / PM-VBRY scheme, which already relies on EPFO data. It can be designed while the policy is still being written, so the rules are ready for the system on day one, and it gives the government a fact base for settling legacy dues.</w:t>
            </w:r>
          </w:p>
        </w:tc>
      </w:tr>
    </w:tbl>
    <w:p>
      <w:pPr>
        <w:keepNext/>
        <w:pBdr>
          <w:bottom w:val="single" w:color="1F3A5F" w:sz="6" w:space="2"/>
        </w:pBdr>
        <w:spacing w:after="70" w:before="150"/>
      </w:pPr>
      <w:r>
        <w:rPr>
          <w:rFonts w:ascii="Arial" w:cs="Arial" w:eastAsia="Arial" w:hAnsi="Arial"/>
          <w:b/>
          <w:bCs/>
          <w:color w:val="B45309"/>
          <w:sz w:val="23"/>
          <w:szCs w:val="23"/>
        </w:rPr>
        <w:t xml:space="preserve">3  </w:t>
      </w:r>
      <w:r>
        <w:rPr>
          <w:rFonts w:ascii="Arial" w:cs="Arial" w:eastAsia="Arial" w:hAnsi="Arial"/>
          <w:b/>
          <w:bCs/>
          <w:color w:val="1F3A5F"/>
          <w:sz w:val="21"/>
          <w:szCs w:val="21"/>
        </w:rPr>
        <w:t xml:space="preserve">APPROACH &amp; METHODOLOGY</w:t>
      </w:r>
    </w:p>
    <w:tbl>
      <w:tblPr>
        <w:tblW w:type="dxa" w:w="10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00"/>
        <w:gridCol w:w="5406"/>
        <w:gridCol w:w="2300"/>
      </w:tblGrid>
      <w:tr>
        <w:trPr>
          <w:cantSplit/>
          <w:tblHeader/>
        </w:trPr>
        <w:tc>
          <w:tcPr>
            <w:tcW w:type="dxa" w:w="15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Phase</w:t>
            </w:r>
          </w:p>
        </w:tc>
        <w:tc>
          <w:tcPr>
            <w:tcW w:type="dxa" w:w="11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Duration</w:t>
            </w:r>
          </w:p>
        </w:tc>
        <w:tc>
          <w:tcPr>
            <w:tcW w:type="dxa" w:w="5406"/>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What we do</w:t>
            </w:r>
          </w:p>
        </w:tc>
        <w:tc>
          <w:tcPr>
            <w:tcW w:type="dxa" w:w="23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Output</w:t>
            </w:r>
          </w:p>
        </w:tc>
      </w:tr>
      <w:tr>
        <w:trPr>
          <w:cantSplit/>
        </w:trPr>
        <w:tc>
          <w:tcPr>
            <w:tcW w:type="dxa" w:w="15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0. Co-draft</w:t>
            </w:r>
          </w:p>
        </w:tc>
        <w:tc>
          <w:tcPr>
            <w:tcW w:type="dxa" w:w="11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3–4 weeks</w:t>
            </w:r>
          </w:p>
        </w:tc>
        <w:tc>
          <w:tcPr>
            <w:tcW w:type="dxa" w:w="5406"/>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Work with the policy drafting team to turn the draft into rule tables. Put data-sharing agreements in place (EPFO, ESIC, GST).</w:t>
            </w:r>
          </w:p>
        </w:tc>
        <w:tc>
          <w:tcPr>
            <w:tcW w:type="dxa" w:w="23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Coded policy + simulator</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1. Pilot</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10–12 weeks</w:t>
            </w:r>
          </w:p>
        </w:tc>
        <w:tc>
          <w:tcPr>
            <w:tcW w:type="dxa" w:w="5406"/>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Claims portal plus file-based EPFO verification for the first 50 applicant units.</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First verified claims</w:t>
            </w:r>
          </w:p>
        </w:tc>
      </w:tr>
      <w:tr>
        <w:trPr>
          <w:cantSplit/>
        </w:trPr>
        <w:tc>
          <w:tcPr>
            <w:tcW w:type="dxa" w:w="15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2. Rollout</w:t>
            </w:r>
          </w:p>
        </w:tc>
        <w:tc>
          <w:tcPr>
            <w:tcW w:type="dxa" w:w="11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4–5 months</w:t>
            </w:r>
          </w:p>
        </w:tc>
        <w:tc>
          <w:tcPr>
            <w:tcW w:type="dxa" w:w="5406"/>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API integrations, anomaly engine, IFMS direct transfer, legacy-claims module and public dashboard.</w:t>
            </w:r>
          </w:p>
        </w:tc>
        <w:tc>
          <w:tcPr>
            <w:tcW w:type="dxa" w:w="23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End-to-end engine</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3. Run</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Ongoing</w:t>
            </w:r>
          </w:p>
        </w:tc>
        <w:tc>
          <w:tcPr>
            <w:tcW w:type="dxa" w:w="5406"/>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Monthly verification runs; annual policy updates; reports ready for CAG audit.</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Monthly payout cycle</w:t>
            </w:r>
          </w:p>
        </w:tc>
      </w:tr>
    </w:tbl>
    <w:p>
      <w:pPr>
        <w:spacing w:after="0" w:before="60" w:line="252"/>
      </w:pPr>
      <w:r>
        <w:rPr>
          <w:rFonts w:ascii="Arial" w:cs="Arial" w:eastAsia="Arial" w:hAnsi="Arial"/>
          <w:b/>
          <w:bCs/>
          <w:color w:val="1F3A5F"/>
          <w:sz w:val="19"/>
          <w:szCs w:val="19"/>
        </w:rPr>
        <w:t xml:space="preserve">Method: </w:t>
      </w:r>
      <w:r>
        <w:rPr>
          <w:rFonts w:ascii="Arial" w:cs="Arial" w:eastAsia="Arial" w:hAnsi="Arial"/>
          <w:color w:val="1F2937"/>
          <w:sz w:val="19"/>
          <w:szCs w:val="19"/>
        </w:rPr>
        <w:t xml:space="preserve">Privacy by design under the DPDP Act 2023 (consent, purpose limitation, masked Aadhaar and UAN). A ledger that is ready for audit, and every payout traceable to the rule version and data used.</w:t>
      </w:r>
    </w:p>
    <w:p>
      <w:pPr>
        <w:keepNext/>
        <w:pBdr>
          <w:bottom w:val="single" w:color="1F3A5F" w:sz="6" w:space="2"/>
        </w:pBdr>
        <w:spacing w:after="70" w:before="150"/>
      </w:pPr>
      <w:r>
        <w:rPr>
          <w:rFonts w:ascii="Arial" w:cs="Arial" w:eastAsia="Arial" w:hAnsi="Arial"/>
          <w:b/>
          <w:bCs/>
          <w:color w:val="B45309"/>
          <w:sz w:val="23"/>
          <w:szCs w:val="23"/>
        </w:rPr>
        <w:t xml:space="preserve">4  </w:t>
      </w:r>
      <w:r>
        <w:rPr>
          <w:rFonts w:ascii="Arial" w:cs="Arial" w:eastAsia="Arial" w:hAnsi="Arial"/>
          <w:b/>
          <w:bCs/>
          <w:color w:val="1F3A5F"/>
          <w:sz w:val="21"/>
          <w:szCs w:val="21"/>
        </w:rPr>
        <w:t xml:space="preserve">BENEFITS</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9"/>
        <w:gridCol w:w="5159"/>
      </w:tblGrid>
      <w:tr>
        <w:trPr>
          <w:cantSplit/>
        </w:trPr>
        <w:tc>
          <w:tcPr>
            <w:tcW w:type="dxa" w:w="5159"/>
            <w:tcBorders>
              <w:top w:val="single" w:color="CBD5E1" w:sz="4"/>
              <w:left w:val="none" w:color="FFFFFF" w:sz="0"/>
              <w:bottom w:val="none" w:color="FFFFFF" w:sz="0"/>
              <w:right w:val="none" w:color="FFFFFF" w:sz="0"/>
            </w:tcBorders>
            <w:tcMar>
              <w:top w:type="dxa" w:w="70"/>
              <w:left w:type="dxa" w:w="110"/>
              <w:bottom w:type="dxa" w:w="70"/>
              <w:right w:type="dxa" w:w="110"/>
            </w:tcMar>
            <w:vAlign w:val="top"/>
          </w:tcPr>
          <w:p>
            <w:pPr>
              <w:spacing w:after="40" w:before="0" w:line="252"/>
            </w:pPr>
            <w:r>
              <w:rPr>
                <w:rFonts w:ascii="Arial" w:cs="Arial" w:eastAsia="Arial" w:hAnsi="Arial"/>
                <w:b/>
                <w:bCs/>
                <w:color w:val="0F766E"/>
                <w:sz w:val="18"/>
                <w:szCs w:val="18"/>
              </w:rPr>
              <w:t xml:space="preserve">For the Government</w:t>
            </w:r>
          </w:p>
          <w:p>
            <w:pPr>
              <w:pStyle w:val="ListParagraph"/>
              <w:keepLines/>
              <w:numPr>
                <w:ilvl w:val="0"/>
                <w:numId w:val="2"/>
              </w:numPr>
              <w:spacing w:after="40" w:line="246"/>
            </w:pPr>
            <w:r>
              <w:rPr>
                <w:rFonts w:ascii="Arial" w:cs="Arial" w:eastAsia="Arial" w:hAnsi="Arial"/>
                <w:color w:val="1F2937"/>
                <w:sz w:val="19"/>
                <w:szCs w:val="19"/>
              </w:rPr>
              <w:t xml:space="preserve">Every rupee tied to a verified job. Preventing even 1% leakage on ₹5,000 crore saves ₹50 crore, about 20 times what the system costs.</w:t>
            </w:r>
          </w:p>
          <w:p>
            <w:pPr>
              <w:pStyle w:val="ListParagraph"/>
              <w:keepLines/>
              <w:numPr>
                <w:ilvl w:val="0"/>
                <w:numId w:val="2"/>
              </w:numPr>
              <w:spacing w:after="40" w:line="246"/>
            </w:pPr>
            <w:r>
              <w:rPr>
                <w:rFonts w:ascii="Arial" w:cs="Arial" w:eastAsia="Arial" w:hAnsi="Arial"/>
                <w:color w:val="1F2937"/>
                <w:sz w:val="19"/>
                <w:szCs w:val="19"/>
              </w:rPr>
              <w:t xml:space="preserve">Officers freed from manual document checks; decisions that stand up to scrutiny.</w:t>
            </w:r>
          </w:p>
          <w:p>
            <w:pPr>
              <w:pStyle w:val="ListParagraph"/>
              <w:keepLines/>
              <w:numPr>
                <w:ilvl w:val="0"/>
                <w:numId w:val="2"/>
              </w:numPr>
              <w:spacing w:after="40" w:line="246"/>
            </w:pPr>
            <w:r>
              <w:rPr>
                <w:rFonts w:ascii="Arial" w:cs="Arial" w:eastAsia="Arial" w:hAnsi="Arial"/>
                <w:color w:val="1F2937"/>
                <w:sz w:val="19"/>
                <w:szCs w:val="19"/>
              </w:rPr>
              <w:t xml:space="preserve">A fact base for settling legacy incentive dues fairly.</w:t>
            </w:r>
          </w:p>
        </w:tc>
        <w:tc>
          <w:tcPr>
            <w:tcW w:type="dxa" w:w="5159"/>
            <w:tcBorders>
              <w:top w:val="single" w:color="CBD5E1" w:sz="4"/>
              <w:left w:val="none" w:color="FFFFFF" w:sz="0"/>
              <w:bottom w:val="none" w:color="FFFFFF" w:sz="0"/>
              <w:right w:val="none" w:color="FFFFFF" w:sz="0"/>
            </w:tcBorders>
            <w:tcMar>
              <w:top w:type="dxa" w:w="70"/>
              <w:left w:type="dxa" w:w="110"/>
              <w:bottom w:type="dxa" w:w="70"/>
              <w:right w:type="dxa" w:w="110"/>
            </w:tcMar>
            <w:vAlign w:val="top"/>
          </w:tcPr>
          <w:p>
            <w:pPr>
              <w:spacing w:after="40" w:before="0" w:line="252"/>
            </w:pPr>
            <w:r>
              <w:rPr>
                <w:rFonts w:ascii="Arial" w:cs="Arial" w:eastAsia="Arial" w:hAnsi="Arial"/>
                <w:b/>
                <w:bCs/>
                <w:color w:val="0F766E"/>
                <w:sz w:val="18"/>
                <w:szCs w:val="18"/>
              </w:rPr>
              <w:t xml:space="preserve">For industry, MSMEs &amp; citizens</w:t>
            </w:r>
          </w:p>
          <w:p>
            <w:pPr>
              <w:pStyle w:val="ListParagraph"/>
              <w:keepLines/>
              <w:numPr>
                <w:ilvl w:val="0"/>
                <w:numId w:val="2"/>
              </w:numPr>
              <w:spacing w:after="40" w:line="246"/>
            </w:pPr>
            <w:r>
              <w:rPr>
                <w:rFonts w:ascii="Arial" w:cs="Arial" w:eastAsia="Arial" w:hAnsi="Arial"/>
                <w:color w:val="1F2937"/>
                <w:sz w:val="19"/>
                <w:szCs w:val="19"/>
              </w:rPr>
              <w:t xml:space="preserve">Faster, predictable payouts. Target: within 30 days of the claim period closing.</w:t>
            </w:r>
          </w:p>
          <w:p>
            <w:pPr>
              <w:pStyle w:val="ListParagraph"/>
              <w:keepLines/>
              <w:numPr>
                <w:ilvl w:val="0"/>
                <w:numId w:val="2"/>
              </w:numPr>
              <w:spacing w:after="40" w:line="246"/>
            </w:pPr>
            <w:r>
              <w:rPr>
                <w:rFonts w:ascii="Arial" w:cs="Arial" w:eastAsia="Arial" w:hAnsi="Arial"/>
                <w:color w:val="1F2937"/>
                <w:sz w:val="19"/>
                <w:szCs w:val="19"/>
              </w:rPr>
              <w:t xml:space="preserve">No discretion or middlemen, so investor confidence rises.</w:t>
            </w:r>
          </w:p>
          <w:p>
            <w:pPr>
              <w:pStyle w:val="ListParagraph"/>
              <w:keepLines/>
              <w:numPr>
                <w:ilvl w:val="0"/>
                <w:numId w:val="2"/>
              </w:numPr>
              <w:spacing w:after="40" w:line="246"/>
            </w:pPr>
            <w:r>
              <w:rPr>
                <w:rFonts w:ascii="Arial" w:cs="Arial" w:eastAsia="Arial" w:hAnsi="Arial"/>
                <w:color w:val="1F2937"/>
                <w:sz w:val="19"/>
                <w:szCs w:val="19"/>
              </w:rPr>
              <w:t xml:space="preserve">Public dashboard: incentive paid against jobs verified, by district and sector.</w:t>
            </w:r>
          </w:p>
        </w:tc>
      </w:tr>
    </w:tbl>
    <w:p>
      <w:pPr>
        <w:keepNext/>
        <w:pBdr>
          <w:bottom w:val="single" w:color="1F3A5F" w:sz="6" w:space="2"/>
        </w:pBdr>
        <w:spacing w:after="70" w:before="150"/>
      </w:pPr>
      <w:r>
        <w:rPr>
          <w:rFonts w:ascii="Arial" w:cs="Arial" w:eastAsia="Arial" w:hAnsi="Arial"/>
          <w:b/>
          <w:bCs/>
          <w:color w:val="B45309"/>
          <w:sz w:val="23"/>
          <w:szCs w:val="23"/>
        </w:rPr>
        <w:t xml:space="preserve">5  </w:t>
      </w:r>
      <w:r>
        <w:rPr>
          <w:rFonts w:ascii="Arial" w:cs="Arial" w:eastAsia="Arial" w:hAnsi="Arial"/>
          <w:b/>
          <w:bCs/>
          <w:color w:val="1F3A5F"/>
          <w:sz w:val="21"/>
          <w:szCs w:val="21"/>
        </w:rPr>
        <w:t xml:space="preserve">LIKELY COST RANGE (DEVELOPMENT + INFRASTRUCTURE)</w:t>
      </w:r>
    </w:p>
    <w:tbl>
      <w:tblPr>
        <w:tblW w:type="dxa" w:w="10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6"/>
        <w:gridCol w:w="2500"/>
        <w:gridCol w:w="2500"/>
      </w:tblGrid>
      <w:tr>
        <w:trPr>
          <w:cantSplit/>
          <w:tblHeader/>
        </w:trPr>
        <w:tc>
          <w:tcPr>
            <w:tcW w:type="dxa" w:w="5306"/>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pPr>
            <w:r>
              <w:rPr>
                <w:rFonts w:ascii="Arial" w:cs="Arial" w:eastAsia="Arial" w:hAnsi="Arial"/>
                <w:b/>
                <w:bCs/>
                <w:color w:val="FFFFFF"/>
                <w:sz w:val="16"/>
                <w:szCs w:val="16"/>
              </w:rPr>
              <w:t xml:space="preserve">Component</w:t>
            </w:r>
          </w:p>
        </w:tc>
        <w:tc>
          <w:tcPr>
            <w:tcW w:type="dxa" w:w="2500"/>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FFFFFF"/>
                <w:sz w:val="16"/>
                <w:szCs w:val="16"/>
              </w:rPr>
              <w:t xml:space="preserve">Low</w:t>
            </w:r>
          </w:p>
        </w:tc>
        <w:tc>
          <w:tcPr>
            <w:tcW w:type="dxa" w:w="2500"/>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FFFFFF"/>
                <w:sz w:val="16"/>
                <w:szCs w:val="16"/>
              </w:rPr>
              <w:t xml:space="preserve">High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Development: pilot (Phases 0–1)</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₹30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₹45 lakh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Development: full rollout (Phase 2), incl. security audit</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₹1.5 cr</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₹2.3 cr</w:t>
            </w:r>
          </w:p>
        </w:tc>
      </w:tr>
      <w:tr>
        <w:trPr>
          <w:cantSplit/>
        </w:trPr>
        <w:tc>
          <w:tcPr>
            <w:tcW w:type="dxa" w:w="5306"/>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pPr>
            <w:r>
              <w:rPr>
                <w:rFonts w:ascii="Arial" w:cs="Arial" w:eastAsia="Arial" w:hAnsi="Arial"/>
                <w:b/>
                <w:bCs/>
                <w:color w:val="1F3A5F"/>
                <w:sz w:val="17"/>
                <w:szCs w:val="17"/>
              </w:rPr>
              <w:t xml:space="preserve">One-time total</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₹1.8 cr</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₹2.75 cr</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Infrastructure per year (hosting, storage, gateways, data)</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₹20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₹40 lakh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Operations &amp; maintenance per year (support, updates, helpdesk)</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₹30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₹45 lakh</w:t>
            </w:r>
          </w:p>
        </w:tc>
      </w:tr>
      <w:tr>
        <w:trPr>
          <w:cantSplit/>
        </w:trPr>
        <w:tc>
          <w:tcPr>
            <w:tcW w:type="dxa" w:w="5306"/>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pPr>
            <w:r>
              <w:rPr>
                <w:rFonts w:ascii="Arial" w:cs="Arial" w:eastAsia="Arial" w:hAnsi="Arial"/>
                <w:b/>
                <w:bCs/>
                <w:color w:val="1F3A5F"/>
                <w:sz w:val="17"/>
                <w:szCs w:val="17"/>
              </w:rPr>
              <w:t xml:space="preserve">Recurring total per year</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₹50 lakh</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₹85 lakh</w:t>
            </w:r>
          </w:p>
        </w:tc>
      </w:tr>
    </w:tbl>
    <w:p>
      <w:pPr>
        <w:spacing w:after="0" w:before="50" w:line="252"/>
      </w:pPr>
      <w:r>
        <w:rPr>
          <w:rFonts w:ascii="Arial" w:cs="Arial" w:eastAsia="Arial" w:hAnsi="Arial"/>
          <w:i/>
          <w:iCs/>
          <w:color w:val="5B6472"/>
          <w:sz w:val="16"/>
          <w:szCs w:val="16"/>
        </w:rPr>
        <w:t xml:space="preserve">Excludes any fees charged by EPFO, ESIC or GSTN for data access (normally nil for government use). Figures exclude GST and are ±25% until scoped.</w:t>
      </w:r>
    </w:p>
    <w:p>
      <w:pPr>
        <w:keepNext/>
        <w:pBdr>
          <w:bottom w:val="single" w:color="1F3A5F" w:sz="6" w:space="2"/>
        </w:pBdr>
        <w:spacing w:after="70" w:before="150"/>
      </w:pPr>
      <w:r>
        <w:rPr>
          <w:rFonts w:ascii="Arial" w:cs="Arial" w:eastAsia="Arial" w:hAnsi="Arial"/>
          <w:b/>
          <w:bCs/>
          <w:color w:val="B45309"/>
          <w:sz w:val="23"/>
          <w:szCs w:val="23"/>
        </w:rPr>
        <w:t xml:space="preserve">6  </w:t>
      </w:r>
      <w:r>
        <w:rPr>
          <w:rFonts w:ascii="Arial" w:cs="Arial" w:eastAsia="Arial" w:hAnsi="Arial"/>
          <w:b/>
          <w:bCs/>
          <w:color w:val="1F3A5F"/>
          <w:sz w:val="21"/>
          <w:szCs w:val="21"/>
        </w:rPr>
        <w:t xml:space="preserve">KEY RISKS &amp; HOW WE HANDLE THEM</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718"/>
      </w:tblGrid>
      <w:tr>
        <w:trPr>
          <w:cantSplit/>
        </w:trPr>
        <w:tc>
          <w:tcPr>
            <w:tcW w:type="dxa" w:w="3600"/>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Delays in API access to EPFO / ESIC</w:t>
            </w:r>
          </w:p>
        </w:tc>
        <w:tc>
          <w:tcPr>
            <w:tcW w:type="dxa" w:w="6718"/>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Start by verifying the ECR returns units upload; switch to APIs when they are available.</w:t>
            </w:r>
          </w:p>
        </w:tc>
      </w:tr>
      <w:tr>
        <w:trPr>
          <w:cantSplit/>
        </w:trPr>
        <w:tc>
          <w:tcPr>
            <w:tcW w:type="dxa" w:w="3600"/>
            <w:tcBorders>
              <w:top w:val="none" w:color="FFFFFF" w:sz="0"/>
              <w:left w:val="none" w:color="FFFFFF" w:sz="0"/>
              <w:bottom w:val="single" w:color="CBD5E1" w:sz="4"/>
              <w:right w:val="none" w:color="FFFFFF" w:sz="0"/>
            </w:tcBorders>
            <w:shd w:fill="FFFFFF"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Privacy of worker data</w:t>
            </w:r>
          </w:p>
        </w:tc>
        <w:tc>
          <w:tcPr>
            <w:tcW w:type="dxa" w:w="6718"/>
            <w:tcBorders>
              <w:top w:val="none" w:color="FFFFFF" w:sz="0"/>
              <w:left w:val="none" w:color="FFFFFF" w:sz="0"/>
              <w:bottom w:val="single" w:color="CBD5E1" w:sz="4"/>
              <w:right w:val="none" w:color="FFFFFF" w:sz="0"/>
            </w:tcBorders>
            <w:shd w:fill="FFFFFF"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DPDP-compliant consent; masked identifiers; purpose-limited use.</w:t>
            </w:r>
          </w:p>
        </w:tc>
      </w:tr>
      <w:tr>
        <w:trPr>
          <w:cantSplit/>
        </w:trPr>
        <w:tc>
          <w:tcPr>
            <w:tcW w:type="dxa" w:w="3600"/>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Policy amended after launch</w:t>
            </w:r>
          </w:p>
        </w:tc>
        <w:tc>
          <w:tcPr>
            <w:tcW w:type="dxa" w:w="6718"/>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Policy-as-code with versioning; the simulator tests each change before notification.</w:t>
            </w:r>
          </w:p>
        </w:tc>
      </w:tr>
    </w:tbl>
    <w:p>
      <w:r>
        <w:br w:type="pag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18"/>
      </w:tblGrid>
      <w:tr>
        <w:tc>
          <w:tcPr>
            <w:tcW w:type="dxa" w:w="10318"/>
            <w:tcBorders>
              <w:top w:val="none" w:color="FFFFFF" w:sz="0"/>
              <w:left w:val="none" w:color="FFFFFF" w:sz="0"/>
              <w:bottom w:val="none" w:color="FFFFFF" w:sz="0"/>
              <w:right w:val="none" w:color="FFFFFF" w:sz="0"/>
            </w:tcBorders>
            <w:shd w:fill="1F3A5F" w:color="auto" w:val="clear"/>
            <w:tcMar>
              <w:top w:type="dxa" w:w="150"/>
              <w:left w:type="dxa" w:w="110"/>
              <w:bottom w:type="dxa" w:w="150"/>
              <w:right w:type="dxa" w:w="110"/>
            </w:tcMar>
            <w:vAlign w:val="top"/>
          </w:tcPr>
          <w:p>
            <w:pPr>
              <w:spacing w:after="80" w:before="0" w:line="252"/>
            </w:pPr>
            <w:r>
              <w:rPr>
                <w:rFonts w:ascii="Arial" w:cs="Arial" w:eastAsia="Arial" w:hAnsi="Arial"/>
                <w:b/>
                <w:bCs/>
                <w:color w:val="F6C27A"/>
                <w:sz w:val="17"/>
                <w:szCs w:val="17"/>
              </w:rPr>
              <w:t xml:space="preserve">INITIATIVE 05</w:t>
            </w:r>
          </w:p>
          <w:p>
            <w:pPr>
              <w:spacing w:after="60" w:before="0" w:line="276"/>
            </w:pPr>
            <w:r>
              <w:rPr>
                <w:rFonts w:ascii="Arial" w:cs="Arial" w:eastAsia="Arial" w:hAnsi="Arial"/>
                <w:b/>
                <w:bCs/>
                <w:color w:val="FFFFFF"/>
                <w:sz w:val="38"/>
                <w:szCs w:val="38"/>
              </w:rPr>
              <w:t xml:space="preserve">Bangla Cluster Connect</w:t>
            </w:r>
            <w:r>
              <w:rPr>
                <w:rFonts w:ascii="Arial" w:cs="Arial" w:eastAsia="Arial" w:hAnsi="Arial"/>
                <w:color w:val="DCE6F2"/>
                <w:sz w:val="22"/>
                <w:szCs w:val="22"/>
              </w:rPr>
              <w:t xml:space="preserve">   MSME Cluster Commerce &amp; Proof-of-Origin Network</w:t>
            </w:r>
          </w:p>
          <w:p>
            <w:pPr>
              <w:spacing w:after="0" w:before="0" w:line="252"/>
            </w:pPr>
            <w:r>
              <w:rPr>
                <w:rFonts w:ascii="Arial" w:cs="Arial" w:eastAsia="Arial" w:hAnsi="Arial"/>
                <w:i/>
                <w:iCs/>
                <w:color w:val="DCE6F2"/>
                <w:sz w:val="19"/>
                <w:szCs w:val="19"/>
              </w:rPr>
              <w:t xml:space="preserve">From Bengal's looms, tea gardens and tanneries straight to buyers, with proof of origin.</w:t>
            </w:r>
          </w:p>
        </w:tc>
      </w:tr>
    </w:tbl>
    <w:p>
      <w:pPr>
        <w:spacing w:after="60" w:before="0" w:line="252"/>
      </w:pPr>
      <w:r>
        <w:rPr>
          <w:rFonts w:ascii="Arial" w:cs="Arial" w:eastAsia="Arial" w:hAnsi="Arial"/>
          <w:color w:val="1F2937"/>
          <w:sz w:val="19"/>
          <w:szCs w:val="19"/>
        </w:rPr>
        <w:t xml:space="preserv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9"/>
        <w:gridCol w:w="5159"/>
      </w:tblGrid>
      <w:tr>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OWNER &amp; PARTNER DEPARTMENTS</w:t>
            </w:r>
          </w:p>
          <w:p>
            <w:pPr>
              <w:spacing w:after="0" w:before="0" w:line="230"/>
            </w:pPr>
            <w:r>
              <w:rPr>
                <w:rFonts w:ascii="Arial" w:cs="Arial" w:eastAsia="Arial" w:hAnsi="Arial"/>
                <w:color w:val="1F2937"/>
                <w:sz w:val="17"/>
                <w:szCs w:val="17"/>
              </w:rPr>
              <w:t xml:space="preserve">MSME &amp; Textiles; ICE; WBSIDCL; Biswa Bangla. Partners: Tea Board, Jute Commissioner, ONDC, SIDBI, GeM</w:t>
            </w:r>
          </w:p>
        </w:tc>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STATUS TODAY</w:t>
            </w:r>
          </w:p>
          <w:p>
            <w:pPr>
              <w:spacing w:after="0" w:before="0" w:line="230"/>
            </w:pPr>
            <w:r>
              <w:rPr>
                <w:rFonts w:ascii="Arial" w:cs="Arial" w:eastAsia="Arial" w:hAnsi="Arial"/>
                <w:b/>
                <w:bCs/>
                <w:color w:val="1F2937"/>
                <w:sz w:val="17"/>
                <w:szCs w:val="17"/>
              </w:rPr>
              <w:t xml:space="preserve">Siloed pilots. </w:t>
            </w:r>
            <w:r>
              <w:rPr>
                <w:rFonts w:ascii="Arial" w:cs="Arial" w:eastAsia="Arial" w:hAnsi="Arial"/>
                <w:color w:val="1F2937"/>
                <w:sz w:val="17"/>
                <w:szCs w:val="17"/>
              </w:rPr>
              <w:t xml:space="preserve">About 570 clusters mapped. A ₹1,000 crore Legacy Industrial Cluster Rejuvenation programme (jute in Howrah and Hooghly, tea in Siliguri and Darjeeling) has been announced. ONDC onboarding is scattered across departments, and there is no state-level cluster platform.</w:t>
            </w:r>
          </w:p>
        </w:tc>
      </w:tr>
      <w:tr>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TIMELINE</w:t>
            </w:r>
          </w:p>
          <w:p>
            <w:pPr>
              <w:spacing w:after="0" w:before="0" w:line="252"/>
            </w:pPr>
            <w:r>
              <w:rPr>
                <w:rFonts w:ascii="Arial" w:cs="Arial" w:eastAsia="Arial" w:hAnsi="Arial"/>
                <w:color w:val="1F2937"/>
                <w:sz w:val="17"/>
                <w:szCs w:val="17"/>
              </w:rPr>
              <w:t xml:space="preserve">Pilot 12 weeks (2 clusters) · Scale-up 6 months (20 clusters)</w:t>
            </w:r>
          </w:p>
        </w:tc>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INDICATIVE COST</w:t>
            </w:r>
          </w:p>
          <w:p>
            <w:pPr>
              <w:spacing w:after="0" w:before="0" w:line="252"/>
            </w:pPr>
            <w:r>
              <w:rPr>
                <w:rFonts w:ascii="Arial" w:cs="Arial" w:eastAsia="Arial" w:hAnsi="Arial"/>
                <w:b/>
                <w:bCs/>
                <w:color w:val="1F2937"/>
                <w:sz w:val="17"/>
                <w:szCs w:val="17"/>
              </w:rPr>
              <w:t xml:space="preserve">One-time ₹2.55–4.15 cr</w:t>
            </w:r>
            <w:r>
              <w:rPr>
                <w:rFonts w:ascii="Arial" w:cs="Arial" w:eastAsia="Arial" w:hAnsi="Arial"/>
                <w:color w:val="1F2937"/>
                <w:sz w:val="17"/>
                <w:szCs w:val="17"/>
              </w:rPr>
              <w:t xml:space="preserve">  ·  Recurring ₹50–85 lakh / yr</w:t>
            </w:r>
          </w:p>
        </w:tc>
      </w:tr>
    </w:tbl>
    <w:p>
      <w:pPr>
        <w:keepNext/>
        <w:pBdr>
          <w:bottom w:val="single" w:color="1F3A5F" w:sz="6" w:space="2"/>
        </w:pBdr>
        <w:spacing w:after="70" w:before="150"/>
      </w:pPr>
      <w:r>
        <w:rPr>
          <w:rFonts w:ascii="Arial" w:cs="Arial" w:eastAsia="Arial" w:hAnsi="Arial"/>
          <w:b/>
          <w:bCs/>
          <w:color w:val="B45309"/>
          <w:sz w:val="23"/>
          <w:szCs w:val="23"/>
        </w:rPr>
        <w:t xml:space="preserve">1  </w:t>
      </w:r>
      <w:r>
        <w:rPr>
          <w:rFonts w:ascii="Arial" w:cs="Arial" w:eastAsia="Arial" w:hAnsi="Arial"/>
          <w:b/>
          <w:bCs/>
          <w:color w:val="1F3A5F"/>
          <w:sz w:val="21"/>
          <w:szCs w:val="21"/>
        </w:rPr>
        <w:t xml:space="preserve">PROBLEM STATEMENT</w:t>
      </w:r>
    </w:p>
    <w:p>
      <w:pPr>
        <w:pStyle w:val="ListParagraph"/>
        <w:keepLines/>
        <w:numPr>
          <w:ilvl w:val="0"/>
          <w:numId w:val="2"/>
        </w:numPr>
        <w:spacing w:after="40" w:line="246"/>
      </w:pPr>
      <w:r>
        <w:rPr>
          <w:rFonts w:ascii="Arial" w:cs="Arial" w:eastAsia="Arial" w:hAnsi="Arial"/>
          <w:color w:val="1F2937"/>
          <w:sz w:val="19"/>
          <w:szCs w:val="19"/>
        </w:rPr>
        <w:t xml:space="preserve">About 570 MSME clusters (jute, handloom, leather, foundry, garments, zari, tea) sell mostly through middlemen, so producers keep thin margins.</w:t>
      </w:r>
    </w:p>
    <w:p>
      <w:pPr>
        <w:pStyle w:val="ListParagraph"/>
        <w:keepLines/>
        <w:numPr>
          <w:ilvl w:val="0"/>
          <w:numId w:val="2"/>
        </w:numPr>
        <w:spacing w:after="40" w:line="246"/>
      </w:pPr>
      <w:r>
        <w:rPr>
          <w:rFonts w:ascii="Arial" w:cs="Arial" w:eastAsia="Arial" w:hAnsi="Arial"/>
          <w:color w:val="1F2937"/>
          <w:sz w:val="19"/>
          <w:szCs w:val="19"/>
        </w:rPr>
        <w:t xml:space="preserve">ONDC pilots are run separately by different departments. Nobody owns cluster-level onboarding, catalogues, logistics and payments.</w:t>
      </w:r>
    </w:p>
    <w:p>
      <w:pPr>
        <w:pStyle w:val="ListParagraph"/>
        <w:keepLines/>
        <w:numPr>
          <w:ilvl w:val="0"/>
          <w:numId w:val="2"/>
        </w:numPr>
        <w:spacing w:after="40" w:line="246"/>
      </w:pPr>
      <w:r>
        <w:rPr>
          <w:rFonts w:ascii="Arial" w:cs="Arial" w:eastAsia="Arial" w:hAnsi="Arial"/>
          <w:color w:val="1F2937"/>
          <w:sz w:val="19"/>
          <w:szCs w:val="19"/>
        </w:rPr>
        <w:t xml:space="preserve">The brand is being diluted: industry estimates suggest nearly 40% of exported 'Darjeeling' tea is blended or adulterated, and Bengal handlooms face powerloom copies. The GI premium leaks away.</w:t>
      </w:r>
    </w:p>
    <w:p>
      <w:pPr>
        <w:pStyle w:val="ListParagraph"/>
        <w:keepLines/>
        <w:numPr>
          <w:ilvl w:val="0"/>
          <w:numId w:val="2"/>
        </w:numPr>
        <w:spacing w:after="40" w:line="246"/>
      </w:pPr>
      <w:r>
        <w:rPr>
          <w:rFonts w:ascii="Arial" w:cs="Arial" w:eastAsia="Arial" w:hAnsi="Arial"/>
          <w:color w:val="1F2937"/>
          <w:sz w:val="19"/>
          <w:szCs w:val="19"/>
        </w:rPr>
        <w:t xml:space="preserve">Leather (Bantala), garments (Metiabruz) and gems &amp; jewellery have no dedicated intervention in the budget.</w:t>
      </w:r>
    </w:p>
    <w:p>
      <w:pPr>
        <w:pStyle w:val="ListParagraph"/>
        <w:keepLines/>
        <w:numPr>
          <w:ilvl w:val="0"/>
          <w:numId w:val="2"/>
        </w:numPr>
        <w:spacing w:after="40" w:line="246"/>
      </w:pPr>
      <w:r>
        <w:rPr>
          <w:rFonts w:ascii="Arial" w:cs="Arial" w:eastAsia="Arial" w:hAnsi="Arial"/>
          <w:color w:val="1F2937"/>
          <w:sz w:val="19"/>
          <w:szCs w:val="19"/>
        </w:rPr>
        <w:t xml:space="preserve">Export buyers increasingly demand digital traceability and ESG evidence that micro units cannot produce on their own.</w:t>
      </w:r>
    </w:p>
    <w:p>
      <w:pPr>
        <w:keepNext/>
        <w:pBdr>
          <w:bottom w:val="single" w:color="1F3A5F" w:sz="6" w:space="2"/>
        </w:pBdr>
        <w:spacing w:after="70" w:before="150"/>
      </w:pPr>
      <w:r>
        <w:rPr>
          <w:rFonts w:ascii="Arial" w:cs="Arial" w:eastAsia="Arial" w:hAnsi="Arial"/>
          <w:b/>
          <w:bCs/>
          <w:color w:val="B45309"/>
          <w:sz w:val="23"/>
          <w:szCs w:val="23"/>
        </w:rPr>
        <w:t xml:space="preserve">2  </w:t>
      </w:r>
      <w:r>
        <w:rPr>
          <w:rFonts w:ascii="Arial" w:cs="Arial" w:eastAsia="Arial" w:hAnsi="Arial"/>
          <w:b/>
          <w:bCs/>
          <w:color w:val="1F3A5F"/>
          <w:sz w:val="21"/>
          <w:szCs w:val="21"/>
        </w:rPr>
        <w:t xml:space="preserve">PROPOSED SOLUTION</w:t>
      </w:r>
    </w:p>
    <w:p>
      <w:pPr>
        <w:keepNext/>
        <w:spacing w:after="60" w:before="0" w:line="252"/>
      </w:pPr>
      <w:r>
        <w:rPr>
          <w:rFonts w:ascii="Arial" w:cs="Arial" w:eastAsia="Arial" w:hAnsi="Arial"/>
          <w:color w:val="1F2937"/>
          <w:sz w:val="19"/>
          <w:szCs w:val="19"/>
        </w:rPr>
        <w:t xml:space="preserve">A state-backed cluster commerce layer and traceability backbone. It is digital public infrastructure, not another marketplace.</w:t>
      </w:r>
    </w:p>
    <w:p>
      <w:pPr>
        <w:pStyle w:val="ListParagraph"/>
        <w:keepLines/>
        <w:numPr>
          <w:ilvl w:val="0"/>
          <w:numId w:val="2"/>
        </w:numPr>
        <w:spacing w:after="40" w:line="246"/>
      </w:pPr>
      <w:r>
        <w:rPr>
          <w:rFonts w:ascii="Arial" w:cs="Arial" w:eastAsia="Arial" w:hAnsi="Arial"/>
          <w:b/>
          <w:bCs/>
          <w:color w:val="1F3A5F"/>
          <w:sz w:val="19"/>
          <w:szCs w:val="19"/>
        </w:rPr>
        <w:t xml:space="preserve">ONDC Seller Gateway: </w:t>
      </w:r>
      <w:r>
        <w:rPr>
          <w:rFonts w:ascii="Arial" w:cs="Arial" w:eastAsia="Arial" w:hAnsi="Arial"/>
          <w:color w:val="1F2937"/>
          <w:sz w:val="19"/>
          <w:szCs w:val="19"/>
        </w:rPr>
        <w:t xml:space="preserve">Bulk onboarding of cluster units through an ONDC seller-side partner. Voice-first catalogue creation in Bengali (photo → listing), pricing help, and logistics and payments through ONDC.</w:t>
      </w:r>
    </w:p>
    <w:p>
      <w:pPr>
        <w:pStyle w:val="ListParagraph"/>
        <w:keepLines/>
        <w:numPr>
          <w:ilvl w:val="0"/>
          <w:numId w:val="2"/>
        </w:numPr>
        <w:spacing w:after="40" w:line="246"/>
      </w:pPr>
      <w:r>
        <w:rPr>
          <w:rFonts w:ascii="Arial" w:cs="Arial" w:eastAsia="Arial" w:hAnsi="Arial"/>
          <w:b/>
          <w:bCs/>
          <w:color w:val="1F3A5F"/>
          <w:sz w:val="19"/>
          <w:szCs w:val="19"/>
        </w:rPr>
        <w:t xml:space="preserve">Cluster Digital Passport: </w:t>
      </w:r>
      <w:r>
        <w:rPr>
          <w:rFonts w:ascii="Arial" w:cs="Arial" w:eastAsia="Arial" w:hAnsi="Arial"/>
          <w:color w:val="1F2937"/>
          <w:sz w:val="19"/>
          <w:szCs w:val="19"/>
        </w:rPr>
        <w:t xml:space="preserve">A QR or NFC tag on each lot carrying the origin garden or loom, GI registration, artisan ID and certification. Buyers scan to verify. Tamper-evident ledger.</w:t>
      </w:r>
    </w:p>
    <w:p>
      <w:pPr>
        <w:pStyle w:val="ListParagraph"/>
        <w:keepLines/>
        <w:numPr>
          <w:ilvl w:val="0"/>
          <w:numId w:val="2"/>
        </w:numPr>
        <w:spacing w:after="40" w:line="246"/>
      </w:pPr>
      <w:r>
        <w:rPr>
          <w:rFonts w:ascii="Arial" w:cs="Arial" w:eastAsia="Arial" w:hAnsi="Arial"/>
          <w:b/>
          <w:bCs/>
          <w:color w:val="1F3A5F"/>
          <w:sz w:val="19"/>
          <w:szCs w:val="19"/>
        </w:rPr>
        <w:t xml:space="preserve">B2B demand board: </w:t>
      </w:r>
      <w:r>
        <w:rPr>
          <w:rFonts w:ascii="Arial" w:cs="Arial" w:eastAsia="Arial" w:hAnsi="Arial"/>
          <w:color w:val="1F2937"/>
          <w:sz w:val="19"/>
          <w:szCs w:val="19"/>
        </w:rPr>
        <w:t xml:space="preserve">Bulk buyers (hotels, exporters, government buyers on GeM) post requirements and cluster SPVs bid together.</w:t>
      </w:r>
    </w:p>
    <w:p>
      <w:pPr>
        <w:pStyle w:val="ListParagraph"/>
        <w:keepLines/>
        <w:numPr>
          <w:ilvl w:val="0"/>
          <w:numId w:val="2"/>
        </w:numPr>
        <w:spacing w:after="40" w:line="246"/>
      </w:pPr>
      <w:r>
        <w:rPr>
          <w:rFonts w:ascii="Arial" w:cs="Arial" w:eastAsia="Arial" w:hAnsi="Arial"/>
          <w:b/>
          <w:bCs/>
          <w:color w:val="1F3A5F"/>
          <w:sz w:val="19"/>
          <w:szCs w:val="19"/>
        </w:rPr>
        <w:t xml:space="preserve">Credit link: </w:t>
      </w:r>
      <w:r>
        <w:rPr>
          <w:rFonts w:ascii="Arial" w:cs="Arial" w:eastAsia="Arial" w:hAnsi="Arial"/>
          <w:color w:val="1F2937"/>
          <w:sz w:val="19"/>
          <w:szCs w:val="19"/>
        </w:rPr>
        <w:t xml:space="preserve">Sales history feeds lending by SIDBI and banks, and invoice discounting on TReDS.</w:t>
      </w:r>
    </w:p>
    <w:p>
      <w:pPr>
        <w:pStyle w:val="ListParagraph"/>
        <w:keepLines/>
        <w:numPr>
          <w:ilvl w:val="0"/>
          <w:numId w:val="2"/>
        </w:numPr>
        <w:spacing w:after="40" w:line="246"/>
      </w:pPr>
      <w:r>
        <w:rPr>
          <w:rFonts w:ascii="Arial" w:cs="Arial" w:eastAsia="Arial" w:hAnsi="Arial"/>
          <w:b/>
          <w:bCs/>
          <w:color w:val="1F3A5F"/>
          <w:sz w:val="19"/>
          <w:szCs w:val="19"/>
        </w:rPr>
        <w:t xml:space="preserve">Programme dashboard: </w:t>
      </w:r>
      <w:r>
        <w:rPr>
          <w:rFonts w:ascii="Arial" w:cs="Arial" w:eastAsia="Arial" w:hAnsi="Arial"/>
          <w:color w:val="1F2937"/>
          <w:sz w:val="19"/>
          <w:szCs w:val="19"/>
        </w:rPr>
        <w:t xml:space="preserve">For the ₹1,000 crore programme: units onboarded, sales, prices and artisan earnings, tracking outcomes rather than just spend.</w:t>
      </w:r>
    </w:p>
    <w:p>
      <w:pPr>
        <w:spacing w:after="40" w:before="0" w:line="252"/>
      </w:pPr>
      <w:r>
        <w:rPr>
          <w:rFonts w:ascii="Arial" w:cs="Arial" w:eastAsia="Arial" w:hAnsi="Arial"/>
          <w:color w:val="1F2937"/>
          <w:sz w:val="19"/>
          <w:szCs w:val="19"/>
        </w:rPr>
        <w:t xml:space="preserv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18"/>
      </w:tblGrid>
      <w:tr>
        <w:trPr>
          <w:cantSplit/>
        </w:trPr>
        <w:tc>
          <w:tcPr>
            <w:tcW w:type="dxa" w:w="10318"/>
            <w:tcBorders>
              <w:top w:val="none" w:color="FFFFFF" w:sz="0"/>
              <w:left w:val="single" w:color="B45309" w:sz="24"/>
              <w:bottom w:val="none" w:color="FFFFFF" w:sz="0"/>
              <w:right w:val="none" w:color="FFFFFF" w:sz="0"/>
            </w:tcBorders>
            <w:shd w:fill="FDF3E4" w:color="auto" w:val="clear"/>
            <w:tcMar>
              <w:top w:type="dxa" w:w="100"/>
              <w:left w:type="dxa" w:w="110"/>
              <w:bottom w:type="dxa" w:w="100"/>
              <w:right w:type="dxa" w:w="110"/>
            </w:tcMar>
            <w:vAlign w:val="top"/>
          </w:tcPr>
          <w:p>
            <w:pPr>
              <w:spacing w:after="30" w:before="0" w:line="252"/>
            </w:pPr>
            <w:r>
              <w:rPr>
                <w:rFonts w:ascii="Arial" w:cs="Arial" w:eastAsia="Arial" w:hAnsi="Arial"/>
                <w:b/>
                <w:bCs/>
                <w:color w:val="B45309"/>
                <w:sz w:val="17"/>
                <w:szCs w:val="17"/>
              </w:rPr>
              <w:t xml:space="preserve">UNIQUE DIFFERENTIATOR</w:t>
            </w:r>
          </w:p>
          <w:p>
            <w:pPr>
              <w:spacing w:after="0" w:before="0" w:line="252"/>
            </w:pPr>
            <w:r>
              <w:rPr>
                <w:rFonts w:ascii="Arial" w:cs="Arial" w:eastAsia="Arial" w:hAnsi="Arial"/>
                <w:color w:val="1F2937"/>
                <w:sz w:val="19"/>
                <w:szCs w:val="19"/>
              </w:rPr>
              <w:t xml:space="preserve">This plugs Bengal's clusters into ONDC and GeM as one state network and proves authenticity lot by lot. It gives the ₹1,000 crore rejuvenation programme measurable outcomes (sales and income) instead of spending figures alone, and it can pay for itself through a small transaction fee.</w:t>
            </w:r>
          </w:p>
        </w:tc>
      </w:tr>
    </w:tbl>
    <w:p>
      <w:pPr>
        <w:keepNext/>
        <w:pBdr>
          <w:bottom w:val="single" w:color="1F3A5F" w:sz="6" w:space="2"/>
        </w:pBdr>
        <w:spacing w:after="70" w:before="150"/>
      </w:pPr>
      <w:r>
        <w:rPr>
          <w:rFonts w:ascii="Arial" w:cs="Arial" w:eastAsia="Arial" w:hAnsi="Arial"/>
          <w:b/>
          <w:bCs/>
          <w:color w:val="B45309"/>
          <w:sz w:val="23"/>
          <w:szCs w:val="23"/>
        </w:rPr>
        <w:t xml:space="preserve">3  </w:t>
      </w:r>
      <w:r>
        <w:rPr>
          <w:rFonts w:ascii="Arial" w:cs="Arial" w:eastAsia="Arial" w:hAnsi="Arial"/>
          <w:b/>
          <w:bCs/>
          <w:color w:val="1F3A5F"/>
          <w:sz w:val="21"/>
          <w:szCs w:val="21"/>
        </w:rPr>
        <w:t xml:space="preserve">APPROACH &amp; METHODOLOGY</w:t>
      </w:r>
    </w:p>
    <w:tbl>
      <w:tblPr>
        <w:tblW w:type="dxa" w:w="10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00"/>
        <w:gridCol w:w="5406"/>
        <w:gridCol w:w="2300"/>
      </w:tblGrid>
      <w:tr>
        <w:trPr>
          <w:cantSplit/>
          <w:tblHeader/>
        </w:trPr>
        <w:tc>
          <w:tcPr>
            <w:tcW w:type="dxa" w:w="15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Phase</w:t>
            </w:r>
          </w:p>
        </w:tc>
        <w:tc>
          <w:tcPr>
            <w:tcW w:type="dxa" w:w="11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Duration</w:t>
            </w:r>
          </w:p>
        </w:tc>
        <w:tc>
          <w:tcPr>
            <w:tcW w:type="dxa" w:w="5406"/>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What we do</w:t>
            </w:r>
          </w:p>
        </w:tc>
        <w:tc>
          <w:tcPr>
            <w:tcW w:type="dxa" w:w="23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Output</w:t>
            </w:r>
          </w:p>
        </w:tc>
      </w:tr>
      <w:tr>
        <w:trPr>
          <w:cantSplit/>
        </w:trPr>
        <w:tc>
          <w:tcPr>
            <w:tcW w:type="dxa" w:w="15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0. Select</w:t>
            </w:r>
          </w:p>
        </w:tc>
        <w:tc>
          <w:tcPr>
            <w:tcW w:type="dxa" w:w="11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4 weeks</w:t>
            </w:r>
          </w:p>
        </w:tc>
        <w:tc>
          <w:tcPr>
            <w:tcW w:type="dxa" w:w="5406"/>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Choose 2 pilot clusters (e.g. Hooghly jute products and Santipur–Phulia handloom or a Darjeeling estate group); sign an ONDC seller-side partner.</w:t>
            </w:r>
          </w:p>
        </w:tc>
        <w:tc>
          <w:tcPr>
            <w:tcW w:type="dxa" w:w="23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Cluster plans</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1. Pilot</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12 weeks</w:t>
            </w:r>
          </w:p>
        </w:tc>
        <w:tc>
          <w:tcPr>
            <w:tcW w:type="dxa" w:w="5406"/>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Onboard 500 units through cluster facilitators and IFCs; digital passports for 2 GI products.</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First sales on ONDC</w:t>
            </w:r>
          </w:p>
        </w:tc>
      </w:tr>
      <w:tr>
        <w:trPr>
          <w:cantSplit/>
        </w:trPr>
        <w:tc>
          <w:tcPr>
            <w:tcW w:type="dxa" w:w="15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2. Scale-up</w:t>
            </w:r>
          </w:p>
        </w:tc>
        <w:tc>
          <w:tcPr>
            <w:tcW w:type="dxa" w:w="11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6 months</w:t>
            </w:r>
          </w:p>
        </w:tc>
        <w:tc>
          <w:tcPr>
            <w:tcW w:type="dxa" w:w="5406"/>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20 clusters and 10,000 units; B2B board; credit link; programme dashboard.</w:t>
            </w:r>
          </w:p>
        </w:tc>
        <w:tc>
          <w:tcPr>
            <w:tcW w:type="dxa" w:w="23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State cluster network</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3. Sustain</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Ongoing</w:t>
            </w:r>
          </w:p>
        </w:tc>
        <w:tc>
          <w:tcPr>
            <w:tcW w:type="dxa" w:w="5406"/>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Self-financing through a 0.5–1% transaction fee or a subscription for cluster SPVs.</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Low cost to state</w:t>
            </w:r>
          </w:p>
        </w:tc>
      </w:tr>
    </w:tbl>
    <w:p>
      <w:pPr>
        <w:spacing w:after="0" w:before="60" w:line="252"/>
      </w:pPr>
      <w:r>
        <w:rPr>
          <w:rFonts w:ascii="Arial" w:cs="Arial" w:eastAsia="Arial" w:hAnsi="Arial"/>
          <w:b/>
          <w:bCs/>
          <w:color w:val="1F3A5F"/>
          <w:sz w:val="19"/>
          <w:szCs w:val="19"/>
        </w:rPr>
        <w:t xml:space="preserve">Method: </w:t>
      </w:r>
      <w:r>
        <w:rPr>
          <w:rFonts w:ascii="Arial" w:cs="Arial" w:eastAsia="Arial" w:hAnsi="Arial"/>
          <w:color w:val="1F2937"/>
          <w:sz w:val="19"/>
          <w:szCs w:val="19"/>
        </w:rPr>
        <w:t xml:space="preserve">Field first: cluster facilitators and the Industry Facilitation Centres do the onboarding. Vernacular, voice-led screens; open network standards (Beckn / ONDC); data shared only with the unit's consent.</w:t>
      </w:r>
    </w:p>
    <w:p>
      <w:pPr>
        <w:keepNext/>
        <w:pBdr>
          <w:bottom w:val="single" w:color="1F3A5F" w:sz="6" w:space="2"/>
        </w:pBdr>
        <w:spacing w:after="70" w:before="150"/>
      </w:pPr>
      <w:r>
        <w:rPr>
          <w:rFonts w:ascii="Arial" w:cs="Arial" w:eastAsia="Arial" w:hAnsi="Arial"/>
          <w:b/>
          <w:bCs/>
          <w:color w:val="B45309"/>
          <w:sz w:val="23"/>
          <w:szCs w:val="23"/>
        </w:rPr>
        <w:t xml:space="preserve">4  </w:t>
      </w:r>
      <w:r>
        <w:rPr>
          <w:rFonts w:ascii="Arial" w:cs="Arial" w:eastAsia="Arial" w:hAnsi="Arial"/>
          <w:b/>
          <w:bCs/>
          <w:color w:val="1F3A5F"/>
          <w:sz w:val="21"/>
          <w:szCs w:val="21"/>
        </w:rPr>
        <w:t xml:space="preserve">BENEFITS</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9"/>
        <w:gridCol w:w="5159"/>
      </w:tblGrid>
      <w:tr>
        <w:trPr>
          <w:cantSplit/>
        </w:trPr>
        <w:tc>
          <w:tcPr>
            <w:tcW w:type="dxa" w:w="5159"/>
            <w:tcBorders>
              <w:top w:val="single" w:color="CBD5E1" w:sz="4"/>
              <w:left w:val="none" w:color="FFFFFF" w:sz="0"/>
              <w:bottom w:val="none" w:color="FFFFFF" w:sz="0"/>
              <w:right w:val="none" w:color="FFFFFF" w:sz="0"/>
            </w:tcBorders>
            <w:tcMar>
              <w:top w:type="dxa" w:w="70"/>
              <w:left w:type="dxa" w:w="110"/>
              <w:bottom w:type="dxa" w:w="70"/>
              <w:right w:type="dxa" w:w="110"/>
            </w:tcMar>
            <w:vAlign w:val="top"/>
          </w:tcPr>
          <w:p>
            <w:pPr>
              <w:spacing w:after="40" w:before="0" w:line="252"/>
            </w:pPr>
            <w:r>
              <w:rPr>
                <w:rFonts w:ascii="Arial" w:cs="Arial" w:eastAsia="Arial" w:hAnsi="Arial"/>
                <w:b/>
                <w:bCs/>
                <w:color w:val="0F766E"/>
                <w:sz w:val="18"/>
                <w:szCs w:val="18"/>
              </w:rPr>
              <w:t xml:space="preserve">For the Government</w:t>
            </w:r>
          </w:p>
          <w:p>
            <w:pPr>
              <w:pStyle w:val="ListParagraph"/>
              <w:keepLines/>
              <w:numPr>
                <w:ilvl w:val="0"/>
                <w:numId w:val="2"/>
              </w:numPr>
              <w:spacing w:after="40" w:line="246"/>
            </w:pPr>
            <w:r>
              <w:rPr>
                <w:rFonts w:ascii="Arial" w:cs="Arial" w:eastAsia="Arial" w:hAnsi="Arial"/>
                <w:color w:val="1F2937"/>
                <w:sz w:val="19"/>
                <w:szCs w:val="19"/>
              </w:rPr>
              <w:t xml:space="preserve">Measurable outcomes for the ₹1,000 crore cluster programme.</w:t>
            </w:r>
          </w:p>
          <w:p>
            <w:pPr>
              <w:pStyle w:val="ListParagraph"/>
              <w:keepLines/>
              <w:numPr>
                <w:ilvl w:val="0"/>
                <w:numId w:val="2"/>
              </w:numPr>
              <w:spacing w:after="40" w:line="246"/>
            </w:pPr>
            <w:r>
              <w:rPr>
                <w:rFonts w:ascii="Arial" w:cs="Arial" w:eastAsia="Arial" w:hAnsi="Arial"/>
                <w:color w:val="1F2937"/>
                <w:sz w:val="19"/>
                <w:szCs w:val="19"/>
              </w:rPr>
              <w:t xml:space="preserve">The GI premium protected and Bengal's export credibility raised.</w:t>
            </w:r>
          </w:p>
          <w:p>
            <w:pPr>
              <w:pStyle w:val="ListParagraph"/>
              <w:keepLines/>
              <w:numPr>
                <w:ilvl w:val="0"/>
                <w:numId w:val="2"/>
              </w:numPr>
              <w:spacing w:after="40" w:line="246"/>
            </w:pPr>
            <w:r>
              <w:rPr>
                <w:rFonts w:ascii="Arial" w:cs="Arial" w:eastAsia="Arial" w:hAnsi="Arial"/>
                <w:color w:val="1F2937"/>
                <w:sz w:val="19"/>
                <w:szCs w:val="19"/>
              </w:rPr>
              <w:t xml:space="preserve">Formal sales records bring micro units into the tax and credit system.</w:t>
            </w:r>
          </w:p>
        </w:tc>
        <w:tc>
          <w:tcPr>
            <w:tcW w:type="dxa" w:w="5159"/>
            <w:tcBorders>
              <w:top w:val="single" w:color="CBD5E1" w:sz="4"/>
              <w:left w:val="none" w:color="FFFFFF" w:sz="0"/>
              <w:bottom w:val="none" w:color="FFFFFF" w:sz="0"/>
              <w:right w:val="none" w:color="FFFFFF" w:sz="0"/>
            </w:tcBorders>
            <w:tcMar>
              <w:top w:type="dxa" w:w="70"/>
              <w:left w:type="dxa" w:w="110"/>
              <w:bottom w:type="dxa" w:w="70"/>
              <w:right w:type="dxa" w:w="110"/>
            </w:tcMar>
            <w:vAlign w:val="top"/>
          </w:tcPr>
          <w:p>
            <w:pPr>
              <w:spacing w:after="40" w:before="0" w:line="252"/>
            </w:pPr>
            <w:r>
              <w:rPr>
                <w:rFonts w:ascii="Arial" w:cs="Arial" w:eastAsia="Arial" w:hAnsi="Arial"/>
                <w:b/>
                <w:bCs/>
                <w:color w:val="0F766E"/>
                <w:sz w:val="18"/>
                <w:szCs w:val="18"/>
              </w:rPr>
              <w:t xml:space="preserve">For industry, MSMEs &amp; citizens</w:t>
            </w:r>
          </w:p>
          <w:p>
            <w:pPr>
              <w:pStyle w:val="ListParagraph"/>
              <w:keepLines/>
              <w:numPr>
                <w:ilvl w:val="0"/>
                <w:numId w:val="2"/>
              </w:numPr>
              <w:spacing w:after="40" w:line="246"/>
            </w:pPr>
            <w:r>
              <w:rPr>
                <w:rFonts w:ascii="Arial" w:cs="Arial" w:eastAsia="Arial" w:hAnsi="Arial"/>
                <w:color w:val="1F2937"/>
                <w:sz w:val="19"/>
                <w:szCs w:val="19"/>
              </w:rPr>
              <w:t xml:space="preserve">Target: 15–25% better prices for onboarded units, because less is lost to middlemen.</w:t>
            </w:r>
          </w:p>
          <w:p>
            <w:pPr>
              <w:pStyle w:val="ListParagraph"/>
              <w:keepLines/>
              <w:numPr>
                <w:ilvl w:val="0"/>
                <w:numId w:val="2"/>
              </w:numPr>
              <w:spacing w:after="40" w:line="246"/>
            </w:pPr>
            <w:r>
              <w:rPr>
                <w:rFonts w:ascii="Arial" w:cs="Arial" w:eastAsia="Arial" w:hAnsi="Arial"/>
                <w:color w:val="1F2937"/>
                <w:sz w:val="19"/>
                <w:szCs w:val="19"/>
              </w:rPr>
              <w:t xml:space="preserve">Direct access to national buyers and to government procurement on GeM.</w:t>
            </w:r>
          </w:p>
          <w:p>
            <w:pPr>
              <w:pStyle w:val="ListParagraph"/>
              <w:keepLines/>
              <w:numPr>
                <w:ilvl w:val="0"/>
                <w:numId w:val="2"/>
              </w:numPr>
              <w:spacing w:after="40" w:line="246"/>
            </w:pPr>
            <w:r>
              <w:rPr>
                <w:rFonts w:ascii="Arial" w:cs="Arial" w:eastAsia="Arial" w:hAnsi="Arial"/>
                <w:color w:val="1F2937"/>
                <w:sz w:val="19"/>
                <w:szCs w:val="19"/>
              </w:rPr>
              <w:t xml:space="preserve">Access to credit based on verified sales.</w:t>
            </w:r>
          </w:p>
        </w:tc>
      </w:tr>
    </w:tbl>
    <w:p>
      <w:pPr>
        <w:keepNext/>
        <w:pBdr>
          <w:bottom w:val="single" w:color="1F3A5F" w:sz="6" w:space="2"/>
        </w:pBdr>
        <w:spacing w:after="70" w:before="150"/>
      </w:pPr>
      <w:r>
        <w:rPr>
          <w:rFonts w:ascii="Arial" w:cs="Arial" w:eastAsia="Arial" w:hAnsi="Arial"/>
          <w:b/>
          <w:bCs/>
          <w:color w:val="B45309"/>
          <w:sz w:val="23"/>
          <w:szCs w:val="23"/>
        </w:rPr>
        <w:t xml:space="preserve">5  </w:t>
      </w:r>
      <w:r>
        <w:rPr>
          <w:rFonts w:ascii="Arial" w:cs="Arial" w:eastAsia="Arial" w:hAnsi="Arial"/>
          <w:b/>
          <w:bCs/>
          <w:color w:val="1F3A5F"/>
          <w:sz w:val="21"/>
          <w:szCs w:val="21"/>
        </w:rPr>
        <w:t xml:space="preserve">LIKELY COST RANGE (DEVELOPMENT + INFRASTRUCTURE)</w:t>
      </w:r>
    </w:p>
    <w:tbl>
      <w:tblPr>
        <w:tblW w:type="dxa" w:w="10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6"/>
        <w:gridCol w:w="2500"/>
        <w:gridCol w:w="2500"/>
      </w:tblGrid>
      <w:tr>
        <w:trPr>
          <w:cantSplit/>
          <w:tblHeader/>
        </w:trPr>
        <w:tc>
          <w:tcPr>
            <w:tcW w:type="dxa" w:w="5306"/>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pPr>
            <w:r>
              <w:rPr>
                <w:rFonts w:ascii="Arial" w:cs="Arial" w:eastAsia="Arial" w:hAnsi="Arial"/>
                <w:b/>
                <w:bCs/>
                <w:color w:val="FFFFFF"/>
                <w:sz w:val="16"/>
                <w:szCs w:val="16"/>
              </w:rPr>
              <w:t xml:space="preserve">Component</w:t>
            </w:r>
          </w:p>
        </w:tc>
        <w:tc>
          <w:tcPr>
            <w:tcW w:type="dxa" w:w="2500"/>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FFFFFF"/>
                <w:sz w:val="16"/>
                <w:szCs w:val="16"/>
              </w:rPr>
              <w:t xml:space="preserve">Low</w:t>
            </w:r>
          </w:p>
        </w:tc>
        <w:tc>
          <w:tcPr>
            <w:tcW w:type="dxa" w:w="2500"/>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FFFFFF"/>
                <w:sz w:val="16"/>
                <w:szCs w:val="16"/>
              </w:rPr>
              <w:t xml:space="preserve">High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Development: pilot (Phases 0–1)</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₹35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₹55 lakh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Development: full rollout (Phase 2), incl. security audit</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₹1.6 cr</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₹2.6 cr</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Field onboarding (cluster facilitators, training)</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₹60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₹1.0 cr</w:t>
            </w:r>
          </w:p>
        </w:tc>
      </w:tr>
      <w:tr>
        <w:trPr>
          <w:cantSplit/>
        </w:trPr>
        <w:tc>
          <w:tcPr>
            <w:tcW w:type="dxa" w:w="5306"/>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pPr>
            <w:r>
              <w:rPr>
                <w:rFonts w:ascii="Arial" w:cs="Arial" w:eastAsia="Arial" w:hAnsi="Arial"/>
                <w:b/>
                <w:bCs/>
                <w:color w:val="1F3A5F"/>
                <w:sz w:val="17"/>
                <w:szCs w:val="17"/>
              </w:rPr>
              <w:t xml:space="preserve">One-time total</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₹2.55 cr</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₹4.15 cr</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Infrastructure per year (hosting, storage, gateways, data)</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₹20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₹35 lakh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Operations &amp; maintenance per year (support, updates, helpdesk)</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₹30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₹50 lakh</w:t>
            </w:r>
          </w:p>
        </w:tc>
      </w:tr>
      <w:tr>
        <w:trPr>
          <w:cantSplit/>
        </w:trPr>
        <w:tc>
          <w:tcPr>
            <w:tcW w:type="dxa" w:w="5306"/>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pPr>
            <w:r>
              <w:rPr>
                <w:rFonts w:ascii="Arial" w:cs="Arial" w:eastAsia="Arial" w:hAnsi="Arial"/>
                <w:b/>
                <w:bCs/>
                <w:color w:val="1F3A5F"/>
                <w:sz w:val="17"/>
                <w:szCs w:val="17"/>
              </w:rPr>
              <w:t xml:space="preserve">Recurring total per year</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₹50 lakh</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₹85 lakh</w:t>
            </w:r>
          </w:p>
        </w:tc>
      </w:tr>
    </w:tbl>
    <w:p>
      <w:pPr>
        <w:spacing w:after="0" w:before="50" w:line="252"/>
      </w:pPr>
      <w:r>
        <w:rPr>
          <w:rFonts w:ascii="Arial" w:cs="Arial" w:eastAsia="Arial" w:hAnsi="Arial"/>
          <w:i/>
          <w:iCs/>
          <w:color w:val="5B6472"/>
          <w:sz w:val="16"/>
          <w:szCs w:val="16"/>
        </w:rPr>
        <w:t xml:space="preserve">Field onboarding means cluster facilitators, photography and training. QR/NFC tags cost ₹1–5 each, borne by the producer or the cluster programme. Figures exclude GST and are ±25% until scoped.</w:t>
      </w:r>
    </w:p>
    <w:p>
      <w:pPr>
        <w:keepNext/>
        <w:pBdr>
          <w:bottom w:val="single" w:color="1F3A5F" w:sz="6" w:space="2"/>
        </w:pBdr>
        <w:spacing w:after="70" w:before="150"/>
      </w:pPr>
      <w:r>
        <w:rPr>
          <w:rFonts w:ascii="Arial" w:cs="Arial" w:eastAsia="Arial" w:hAnsi="Arial"/>
          <w:b/>
          <w:bCs/>
          <w:color w:val="B45309"/>
          <w:sz w:val="23"/>
          <w:szCs w:val="23"/>
        </w:rPr>
        <w:t xml:space="preserve">6  </w:t>
      </w:r>
      <w:r>
        <w:rPr>
          <w:rFonts w:ascii="Arial" w:cs="Arial" w:eastAsia="Arial" w:hAnsi="Arial"/>
          <w:b/>
          <w:bCs/>
          <w:color w:val="1F3A5F"/>
          <w:sz w:val="21"/>
          <w:szCs w:val="21"/>
        </w:rPr>
        <w:t xml:space="preserve">KEY RISKS &amp; HOW WE HANDLE THEM</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718"/>
      </w:tblGrid>
      <w:tr>
        <w:trPr>
          <w:cantSplit/>
        </w:trPr>
        <w:tc>
          <w:tcPr>
            <w:tcW w:type="dxa" w:w="3600"/>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Low digital literacy</w:t>
            </w:r>
          </w:p>
        </w:tc>
        <w:tc>
          <w:tcPr>
            <w:tcW w:type="dxa" w:w="6718"/>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Cluster facilitators, voice-first Bengali screens, and assisted listing at IFCs.</w:t>
            </w:r>
          </w:p>
        </w:tc>
      </w:tr>
      <w:tr>
        <w:trPr>
          <w:cantSplit/>
        </w:trPr>
        <w:tc>
          <w:tcPr>
            <w:tcW w:type="dxa" w:w="3600"/>
            <w:tcBorders>
              <w:top w:val="none" w:color="FFFFFF" w:sz="0"/>
              <w:left w:val="none" w:color="FFFFFF" w:sz="0"/>
              <w:bottom w:val="single" w:color="CBD5E1" w:sz="4"/>
              <w:right w:val="none" w:color="FFFFFF" w:sz="0"/>
            </w:tcBorders>
            <w:shd w:fill="FFFFFF"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High logistics cost for small orders</w:t>
            </w:r>
          </w:p>
        </w:tc>
        <w:tc>
          <w:tcPr>
            <w:tcW w:type="dxa" w:w="6718"/>
            <w:tcBorders>
              <w:top w:val="none" w:color="FFFFFF" w:sz="0"/>
              <w:left w:val="none" w:color="FFFFFF" w:sz="0"/>
              <w:bottom w:val="single" w:color="CBD5E1" w:sz="4"/>
              <w:right w:val="none" w:color="FFFFFF" w:sz="0"/>
            </w:tcBorders>
            <w:shd w:fill="FFFFFF"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Cluster aggregation points and shared shipments.</w:t>
            </w:r>
          </w:p>
        </w:tc>
      </w:tr>
      <w:tr>
        <w:trPr>
          <w:cantSplit/>
        </w:trPr>
        <w:tc>
          <w:tcPr>
            <w:tcW w:type="dxa" w:w="3600"/>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Platform dies after the pilot</w:t>
            </w:r>
          </w:p>
        </w:tc>
        <w:tc>
          <w:tcPr>
            <w:tcW w:type="dxa" w:w="6718"/>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A transaction-fee or SPV-subscription model is designed in from day one.</w:t>
            </w:r>
          </w:p>
        </w:tc>
      </w:tr>
    </w:tbl>
    <w:p>
      <w:r>
        <w:br w:type="pag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18"/>
      </w:tblGrid>
      <w:tr>
        <w:tc>
          <w:tcPr>
            <w:tcW w:type="dxa" w:w="10318"/>
            <w:tcBorders>
              <w:top w:val="none" w:color="FFFFFF" w:sz="0"/>
              <w:left w:val="none" w:color="FFFFFF" w:sz="0"/>
              <w:bottom w:val="none" w:color="FFFFFF" w:sz="0"/>
              <w:right w:val="none" w:color="FFFFFF" w:sz="0"/>
            </w:tcBorders>
            <w:shd w:fill="1F3A5F" w:color="auto" w:val="clear"/>
            <w:tcMar>
              <w:top w:type="dxa" w:w="150"/>
              <w:left w:type="dxa" w:w="110"/>
              <w:bottom w:type="dxa" w:w="150"/>
              <w:right w:type="dxa" w:w="110"/>
            </w:tcMar>
            <w:vAlign w:val="top"/>
          </w:tcPr>
          <w:p>
            <w:pPr>
              <w:spacing w:after="80" w:before="0" w:line="252"/>
            </w:pPr>
            <w:r>
              <w:rPr>
                <w:rFonts w:ascii="Arial" w:cs="Arial" w:eastAsia="Arial" w:hAnsi="Arial"/>
                <w:b/>
                <w:bCs/>
                <w:color w:val="F6C27A"/>
                <w:sz w:val="17"/>
                <w:szCs w:val="17"/>
              </w:rPr>
              <w:t xml:space="preserve">INITIATIVE 06</w:t>
            </w:r>
          </w:p>
          <w:p>
            <w:pPr>
              <w:spacing w:after="60" w:before="0" w:line="276"/>
            </w:pPr>
            <w:r>
              <w:rPr>
                <w:rFonts w:ascii="Arial" w:cs="Arial" w:eastAsia="Arial" w:hAnsi="Arial"/>
                <w:b/>
                <w:bCs/>
                <w:color w:val="FFFFFF"/>
                <w:sz w:val="38"/>
                <w:szCs w:val="38"/>
              </w:rPr>
              <w:t xml:space="preserve">Sabuj Shilpa</w:t>
            </w:r>
            <w:r>
              <w:rPr>
                <w:rFonts w:ascii="Arial" w:cs="Arial" w:eastAsia="Arial" w:hAnsi="Arial"/>
                <w:color w:val="DCE6F2"/>
                <w:sz w:val="22"/>
                <w:szCs w:val="22"/>
              </w:rPr>
              <w:t xml:space="preserve">   Green Industry DMRV &amp; Carbon-Readiness Platform</w:t>
            </w:r>
          </w:p>
          <w:p>
            <w:pPr>
              <w:spacing w:after="0" w:before="0" w:line="252"/>
            </w:pPr>
            <w:r>
              <w:rPr>
                <w:rFonts w:ascii="Arial" w:cs="Arial" w:eastAsia="Arial" w:hAnsi="Arial"/>
                <w:i/>
                <w:iCs/>
                <w:color w:val="DCE6F2"/>
                <w:sz w:val="19"/>
                <w:szCs w:val="19"/>
              </w:rPr>
              <w:t xml:space="preserve">Keep Bengal's industry compliant and export-ready, and let it earn from going green.</w:t>
            </w:r>
          </w:p>
        </w:tc>
      </w:tr>
    </w:tbl>
    <w:p>
      <w:pPr>
        <w:spacing w:after="60" w:before="0" w:line="252"/>
      </w:pPr>
      <w:r>
        <w:rPr>
          <w:rFonts w:ascii="Arial" w:cs="Arial" w:eastAsia="Arial" w:hAnsi="Arial"/>
          <w:color w:val="1F2937"/>
          <w:sz w:val="19"/>
          <w:szCs w:val="19"/>
        </w:rPr>
        <w:t xml:space="preserv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9"/>
        <w:gridCol w:w="5159"/>
      </w:tblGrid>
      <w:tr>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OWNER &amp; PARTNER DEPARTMENTS</w:t>
            </w:r>
          </w:p>
          <w:p>
            <w:pPr>
              <w:spacing w:after="0" w:before="0" w:line="230"/>
            </w:pPr>
            <w:r>
              <w:rPr>
                <w:rFonts w:ascii="Arial" w:cs="Arial" w:eastAsia="Arial" w:hAnsi="Arial"/>
                <w:color w:val="1F2937"/>
                <w:sz w:val="17"/>
                <w:szCs w:val="17"/>
              </w:rPr>
              <w:t xml:space="preserve">ICE; Non-Conventional &amp; Renewable Energy Sources (same Minister); Environment / WBPCB. Partners: BEE, industry associations, accredited carbon verifiers</w:t>
            </w:r>
          </w:p>
        </w:tc>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STATUS TODAY</w:t>
            </w:r>
          </w:p>
          <w:p>
            <w:pPr>
              <w:spacing w:after="0" w:before="0" w:line="230"/>
            </w:pPr>
            <w:r>
              <w:rPr>
                <w:rFonts w:ascii="Arial" w:cs="Arial" w:eastAsia="Arial" w:hAnsi="Arial"/>
                <w:b/>
                <w:bCs/>
                <w:color w:val="1F2937"/>
                <w:sz w:val="17"/>
                <w:szCs w:val="17"/>
              </w:rPr>
              <w:t xml:space="preserve">Not started at state level; our prototype is ready. </w:t>
            </w:r>
            <w:r>
              <w:rPr>
                <w:rFonts w:ascii="Arial" w:cs="Arial" w:eastAsia="Arial" w:hAnsi="Arial"/>
                <w:color w:val="1F2937"/>
                <w:sz w:val="17"/>
                <w:szCs w:val="17"/>
              </w:rPr>
              <w:t xml:space="preserve">The national Indian Carbon Market portal went live in March 2026. We are not aware of any state that offers its industry a service to help it comply. Our working DMRV prototype already covers onboarding → data → verification → registry.</w:t>
            </w:r>
          </w:p>
        </w:tc>
      </w:tr>
      <w:tr>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TIMELINE</w:t>
            </w:r>
          </w:p>
          <w:p>
            <w:pPr>
              <w:spacing w:after="0" w:before="0" w:line="252"/>
            </w:pPr>
            <w:r>
              <w:rPr>
                <w:rFonts w:ascii="Arial" w:cs="Arial" w:eastAsia="Arial" w:hAnsi="Arial"/>
                <w:color w:val="1F2937"/>
                <w:sz w:val="17"/>
                <w:szCs w:val="17"/>
              </w:rPr>
              <w:t xml:space="preserve">Pilot 8–10 weeks (20 units) · Rollout 5 months</w:t>
            </w:r>
          </w:p>
        </w:tc>
        <w:tc>
          <w:tcPr>
            <w:tcW w:type="dxa" w:w="515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vAlign w:val="top"/>
          </w:tcPr>
          <w:p>
            <w:pPr>
              <w:spacing w:after="20" w:before="0" w:line="252"/>
            </w:pPr>
            <w:r>
              <w:rPr>
                <w:rFonts w:ascii="Arial" w:cs="Arial" w:eastAsia="Arial" w:hAnsi="Arial"/>
                <w:b/>
                <w:bCs/>
                <w:color w:val="0F766E"/>
                <w:sz w:val="15"/>
                <w:szCs w:val="15"/>
              </w:rPr>
              <w:t xml:space="preserve">INDICATIVE COST</w:t>
            </w:r>
          </w:p>
          <w:p>
            <w:pPr>
              <w:spacing w:after="0" w:before="0" w:line="252"/>
            </w:pPr>
            <w:r>
              <w:rPr>
                <w:rFonts w:ascii="Arial" w:cs="Arial" w:eastAsia="Arial" w:hAnsi="Arial"/>
                <w:b/>
                <w:bCs/>
                <w:color w:val="1F2937"/>
                <w:sz w:val="17"/>
                <w:szCs w:val="17"/>
              </w:rPr>
              <w:t xml:space="preserve">One-time ₹1.25–2.0 cr</w:t>
            </w:r>
            <w:r>
              <w:rPr>
                <w:rFonts w:ascii="Arial" w:cs="Arial" w:eastAsia="Arial" w:hAnsi="Arial"/>
                <w:color w:val="1F2937"/>
                <w:sz w:val="17"/>
                <w:szCs w:val="17"/>
              </w:rPr>
              <w:t xml:space="preserve">  ·  Recurring ₹45–75 lakh / yr</w:t>
            </w:r>
          </w:p>
        </w:tc>
      </w:tr>
    </w:tbl>
    <w:p>
      <w:pPr>
        <w:keepNext/>
        <w:pBdr>
          <w:bottom w:val="single" w:color="1F3A5F" w:sz="6" w:space="2"/>
        </w:pBdr>
        <w:spacing w:after="70" w:before="150"/>
      </w:pPr>
      <w:r>
        <w:rPr>
          <w:rFonts w:ascii="Arial" w:cs="Arial" w:eastAsia="Arial" w:hAnsi="Arial"/>
          <w:b/>
          <w:bCs/>
          <w:color w:val="B45309"/>
          <w:sz w:val="23"/>
          <w:szCs w:val="23"/>
        </w:rPr>
        <w:t xml:space="preserve">1  </w:t>
      </w:r>
      <w:r>
        <w:rPr>
          <w:rFonts w:ascii="Arial" w:cs="Arial" w:eastAsia="Arial" w:hAnsi="Arial"/>
          <w:b/>
          <w:bCs/>
          <w:color w:val="1F3A5F"/>
          <w:sz w:val="21"/>
          <w:szCs w:val="21"/>
        </w:rPr>
        <w:t xml:space="preserve">PROBLEM STATEMENT</w:t>
      </w:r>
    </w:p>
    <w:p>
      <w:pPr>
        <w:pStyle w:val="ListParagraph"/>
        <w:keepLines/>
        <w:numPr>
          <w:ilvl w:val="0"/>
          <w:numId w:val="2"/>
        </w:numPr>
        <w:spacing w:after="40" w:line="246"/>
      </w:pPr>
      <w:r>
        <w:rPr>
          <w:rFonts w:ascii="Arial" w:cs="Arial" w:eastAsia="Arial" w:hAnsi="Arial"/>
          <w:color w:val="1F2937"/>
          <w:sz w:val="19"/>
          <w:szCs w:val="19"/>
        </w:rPr>
        <w:t xml:space="preserve">India's Carbon Credit Trading Scheme (CCTS) is now binding. About 490 obligated entities in 7 sectors (aluminium, cement, chlor-alkali, pulp &amp; paper, refinery, petrochemicals, textiles) must cut emission intensity in FY26 and FY27. Iron &amp; steel and fertiliser targets come next, and they fall directly on the Durgapur–Asansol–Haldia belt.</w:t>
      </w:r>
    </w:p>
    <w:p>
      <w:pPr>
        <w:pStyle w:val="ListParagraph"/>
        <w:keepLines/>
        <w:numPr>
          <w:ilvl w:val="0"/>
          <w:numId w:val="2"/>
        </w:numPr>
        <w:spacing w:after="40" w:line="246"/>
      </w:pPr>
      <w:r>
        <w:rPr>
          <w:rFonts w:ascii="Arial" w:cs="Arial" w:eastAsia="Arial" w:hAnsi="Arial"/>
          <w:color w:val="1F2937"/>
          <w:sz w:val="19"/>
          <w:szCs w:val="19"/>
        </w:rPr>
        <w:t xml:space="preserve">The EU's Carbon Border Adjustment Mechanism (CBAM) entered its paid phase in January 2026. Bengal's steel, aluminium and engineering exporters, including MSME suppliers, need verified product-level emission data or they lose EU buyers.</w:t>
      </w:r>
    </w:p>
    <w:p>
      <w:pPr>
        <w:pStyle w:val="ListParagraph"/>
        <w:keepLines/>
        <w:numPr>
          <w:ilvl w:val="0"/>
          <w:numId w:val="2"/>
        </w:numPr>
        <w:spacing w:after="40" w:line="246"/>
      </w:pPr>
      <w:r>
        <w:rPr>
          <w:rFonts w:ascii="Arial" w:cs="Arial" w:eastAsia="Arial" w:hAnsi="Arial"/>
          <w:color w:val="1F2937"/>
          <w:sz w:val="19"/>
          <w:szCs w:val="19"/>
        </w:rPr>
        <w:t xml:space="preserve">Most units, and especially MSMEs and secondary steel and sponge-iron plants, lack the capacity to measure, report and verify (MRV) their emissions. Consultants are costly and the data is collected by hand.</w:t>
      </w:r>
    </w:p>
    <w:p>
      <w:pPr>
        <w:pStyle w:val="ListParagraph"/>
        <w:keepLines/>
        <w:numPr>
          <w:ilvl w:val="0"/>
          <w:numId w:val="2"/>
        </w:numPr>
        <w:spacing w:after="40" w:line="246"/>
      </w:pPr>
      <w:r>
        <w:rPr>
          <w:rFonts w:ascii="Arial" w:cs="Arial" w:eastAsia="Arial" w:hAnsi="Arial"/>
          <w:color w:val="1F2937"/>
          <w:sz w:val="19"/>
          <w:szCs w:val="19"/>
        </w:rPr>
        <w:t xml:space="preserve">WBPCB already receives online emission data (OCEMS) from red-category units, but that data is not used for economic or green-investment decisions.</w:t>
      </w:r>
    </w:p>
    <w:p>
      <w:pPr>
        <w:keepNext/>
        <w:pBdr>
          <w:bottom w:val="single" w:color="1F3A5F" w:sz="6" w:space="2"/>
        </w:pBdr>
        <w:spacing w:after="70" w:before="150"/>
      </w:pPr>
      <w:r>
        <w:rPr>
          <w:rFonts w:ascii="Arial" w:cs="Arial" w:eastAsia="Arial" w:hAnsi="Arial"/>
          <w:b/>
          <w:bCs/>
          <w:color w:val="B45309"/>
          <w:sz w:val="23"/>
          <w:szCs w:val="23"/>
        </w:rPr>
        <w:t xml:space="preserve">2  </w:t>
      </w:r>
      <w:r>
        <w:rPr>
          <w:rFonts w:ascii="Arial" w:cs="Arial" w:eastAsia="Arial" w:hAnsi="Arial"/>
          <w:b/>
          <w:bCs/>
          <w:color w:val="1F3A5F"/>
          <w:sz w:val="21"/>
          <w:szCs w:val="21"/>
        </w:rPr>
        <w:t xml:space="preserve">PROPOSED SOLUTION</w:t>
      </w:r>
    </w:p>
    <w:p>
      <w:pPr>
        <w:keepNext/>
        <w:spacing w:after="60" w:before="0" w:line="252"/>
      </w:pPr>
      <w:r>
        <w:rPr>
          <w:rFonts w:ascii="Arial" w:cs="Arial" w:eastAsia="Arial" w:hAnsi="Arial"/>
          <w:color w:val="1F2937"/>
          <w:sz w:val="19"/>
          <w:szCs w:val="19"/>
        </w:rPr>
        <w:t xml:space="preserve">A state-sponsored digital MRV (DMRV) service for industry, built on our existing working prototype.</w:t>
      </w:r>
    </w:p>
    <w:p>
      <w:pPr>
        <w:pStyle w:val="ListParagraph"/>
        <w:keepLines/>
        <w:numPr>
          <w:ilvl w:val="0"/>
          <w:numId w:val="2"/>
        </w:numPr>
        <w:spacing w:after="40" w:line="246"/>
      </w:pPr>
      <w:r>
        <w:rPr>
          <w:rFonts w:ascii="Arial" w:cs="Arial" w:eastAsia="Arial" w:hAnsi="Arial"/>
          <w:b/>
          <w:bCs/>
          <w:color w:val="1F3A5F"/>
          <w:sz w:val="19"/>
          <w:szCs w:val="19"/>
        </w:rPr>
        <w:t xml:space="preserve">Facility registry + auto-ingest: </w:t>
      </w:r>
      <w:r>
        <w:rPr>
          <w:rFonts w:ascii="Arial" w:cs="Arial" w:eastAsia="Arial" w:hAnsi="Arial"/>
          <w:color w:val="1F2937"/>
          <w:sz w:val="19"/>
          <w:szCs w:val="19"/>
        </w:rPr>
        <w:t xml:space="preserve">Registry in CCTS format; energy bills, fuel purchases, production data and WBPCB OCEMS feeds loaded automatically.</w:t>
      </w:r>
    </w:p>
    <w:p>
      <w:pPr>
        <w:pStyle w:val="ListParagraph"/>
        <w:keepLines/>
        <w:numPr>
          <w:ilvl w:val="0"/>
          <w:numId w:val="2"/>
        </w:numPr>
        <w:spacing w:after="40" w:line="246"/>
      </w:pPr>
      <w:r>
        <w:rPr>
          <w:rFonts w:ascii="Arial" w:cs="Arial" w:eastAsia="Arial" w:hAnsi="Arial"/>
          <w:b/>
          <w:bCs/>
          <w:color w:val="1F3A5F"/>
          <w:sz w:val="19"/>
          <w:szCs w:val="19"/>
        </w:rPr>
        <w:t xml:space="preserve">CCTS compliance engine: </w:t>
      </w:r>
      <w:r>
        <w:rPr>
          <w:rFonts w:ascii="Arial" w:cs="Arial" w:eastAsia="Arial" w:hAnsi="Arial"/>
          <w:color w:val="1F2937"/>
          <w:sz w:val="19"/>
          <w:szCs w:val="19"/>
        </w:rPr>
        <w:t xml:space="preserve">Emission-intensity calculation to the official methodology, alerts on the gap to target, and ready-made packs for accredited verifiers and BEE.</w:t>
      </w:r>
    </w:p>
    <w:p>
      <w:pPr>
        <w:pStyle w:val="ListParagraph"/>
        <w:keepLines/>
        <w:numPr>
          <w:ilvl w:val="0"/>
          <w:numId w:val="2"/>
        </w:numPr>
        <w:spacing w:after="40" w:line="246"/>
      </w:pPr>
      <w:r>
        <w:rPr>
          <w:rFonts w:ascii="Arial" w:cs="Arial" w:eastAsia="Arial" w:hAnsi="Arial"/>
          <w:b/>
          <w:bCs/>
          <w:color w:val="1F3A5F"/>
          <w:sz w:val="19"/>
          <w:szCs w:val="19"/>
        </w:rPr>
        <w:t xml:space="preserve">CBAM Export Desk: </w:t>
      </w:r>
      <w:r>
        <w:rPr>
          <w:rFonts w:ascii="Arial" w:cs="Arial" w:eastAsia="Arial" w:hAnsi="Arial"/>
          <w:color w:val="1F2937"/>
          <w:sz w:val="19"/>
          <w:szCs w:val="19"/>
        </w:rPr>
        <w:t xml:space="preserve">Calculators for the emissions embedded in each product, and reports in the EU's format, for MSME exporters.</w:t>
      </w:r>
    </w:p>
    <w:p>
      <w:pPr>
        <w:pStyle w:val="ListParagraph"/>
        <w:keepLines/>
        <w:numPr>
          <w:ilvl w:val="0"/>
          <w:numId w:val="2"/>
        </w:numPr>
        <w:spacing w:after="40" w:line="246"/>
      </w:pPr>
      <w:r>
        <w:rPr>
          <w:rFonts w:ascii="Arial" w:cs="Arial" w:eastAsia="Arial" w:hAnsi="Arial"/>
          <w:b/>
          <w:bCs/>
          <w:color w:val="1F3A5F"/>
          <w:sz w:val="19"/>
          <w:szCs w:val="19"/>
        </w:rPr>
        <w:t xml:space="preserve">Green incentive link: </w:t>
      </w:r>
      <w:r>
        <w:rPr>
          <w:rFonts w:ascii="Arial" w:cs="Arial" w:eastAsia="Arial" w:hAnsi="Arial"/>
          <w:color w:val="1F2937"/>
          <w:sz w:val="19"/>
          <w:szCs w:val="19"/>
        </w:rPr>
        <w:t xml:space="preserve">Verified reductions (rooftop solar, efficiency upgrades) qualify for state green top-ups under the new industrial policy.</w:t>
      </w:r>
    </w:p>
    <w:p>
      <w:pPr>
        <w:pStyle w:val="ListParagraph"/>
        <w:keepLines/>
        <w:numPr>
          <w:ilvl w:val="0"/>
          <w:numId w:val="2"/>
        </w:numPr>
        <w:spacing w:after="40" w:line="246"/>
      </w:pPr>
      <w:r>
        <w:rPr>
          <w:rFonts w:ascii="Arial" w:cs="Arial" w:eastAsia="Arial" w:hAnsi="Arial"/>
          <w:b/>
          <w:bCs/>
          <w:color w:val="1F3A5F"/>
          <w:sz w:val="19"/>
          <w:szCs w:val="19"/>
        </w:rPr>
        <w:t xml:space="preserve">State Green Industry Dashboard + aggregation: </w:t>
      </w:r>
      <w:r>
        <w:rPr>
          <w:rFonts w:ascii="Arial" w:cs="Arial" w:eastAsia="Arial" w:hAnsi="Arial"/>
          <w:color w:val="1F2937"/>
          <w:sz w:val="19"/>
          <w:szCs w:val="19"/>
        </w:rPr>
        <w:t xml:space="preserve">A sector and district view for the Renewable Energy portfolio, and pooling of MSME efficiency gains to earn carbon credits under the offset mechanism.</w:t>
      </w:r>
    </w:p>
    <w:p>
      <w:pPr>
        <w:spacing w:after="40" w:before="0" w:line="252"/>
      </w:pPr>
      <w:r>
        <w:rPr>
          <w:rFonts w:ascii="Arial" w:cs="Arial" w:eastAsia="Arial" w:hAnsi="Arial"/>
          <w:color w:val="1F2937"/>
          <w:sz w:val="19"/>
          <w:szCs w:val="19"/>
        </w:rPr>
        <w:t xml:space="preserve"/>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18"/>
      </w:tblGrid>
      <w:tr>
        <w:trPr>
          <w:cantSplit/>
        </w:trPr>
        <w:tc>
          <w:tcPr>
            <w:tcW w:type="dxa" w:w="10318"/>
            <w:tcBorders>
              <w:top w:val="none" w:color="FFFFFF" w:sz="0"/>
              <w:left w:val="single" w:color="B45309" w:sz="24"/>
              <w:bottom w:val="none" w:color="FFFFFF" w:sz="0"/>
              <w:right w:val="none" w:color="FFFFFF" w:sz="0"/>
            </w:tcBorders>
            <w:shd w:fill="FDF3E4" w:color="auto" w:val="clear"/>
            <w:tcMar>
              <w:top w:type="dxa" w:w="100"/>
              <w:left w:type="dxa" w:w="110"/>
              <w:bottom w:type="dxa" w:w="100"/>
              <w:right w:type="dxa" w:w="110"/>
            </w:tcMar>
            <w:vAlign w:val="top"/>
          </w:tcPr>
          <w:p>
            <w:pPr>
              <w:spacing w:after="30" w:before="0" w:line="252"/>
            </w:pPr>
            <w:r>
              <w:rPr>
                <w:rFonts w:ascii="Arial" w:cs="Arial" w:eastAsia="Arial" w:hAnsi="Arial"/>
                <w:b/>
                <w:bCs/>
                <w:color w:val="B45309"/>
                <w:sz w:val="17"/>
                <w:szCs w:val="17"/>
              </w:rPr>
              <w:t xml:space="preserve">UNIQUE DIFFERENTIATOR</w:t>
            </w:r>
          </w:p>
          <w:p>
            <w:pPr>
              <w:spacing w:after="0" w:before="0" w:line="252"/>
            </w:pPr>
            <w:r>
              <w:rPr>
                <w:rFonts w:ascii="Arial" w:cs="Arial" w:eastAsia="Arial" w:hAnsi="Arial"/>
                <w:color w:val="1F2937"/>
                <w:sz w:val="19"/>
                <w:szCs w:val="19"/>
              </w:rPr>
              <w:t xml:space="preserve">The state provides this to its industry as a service, instead of leaving each unit to face Delhi and Brussels alone. We already have a working prototype of the full workflow (entity onboarding → data quality → calculation lineage → third-party verification → regulator approval → registry), so the pilot starts in weeks, not months.</w:t>
            </w:r>
          </w:p>
        </w:tc>
      </w:tr>
    </w:tbl>
    <w:p>
      <w:pPr>
        <w:keepNext/>
        <w:pBdr>
          <w:bottom w:val="single" w:color="1F3A5F" w:sz="6" w:space="2"/>
        </w:pBdr>
        <w:spacing w:after="70" w:before="150"/>
      </w:pPr>
      <w:r>
        <w:rPr>
          <w:rFonts w:ascii="Arial" w:cs="Arial" w:eastAsia="Arial" w:hAnsi="Arial"/>
          <w:b/>
          <w:bCs/>
          <w:color w:val="B45309"/>
          <w:sz w:val="23"/>
          <w:szCs w:val="23"/>
        </w:rPr>
        <w:t xml:space="preserve">3  </w:t>
      </w:r>
      <w:r>
        <w:rPr>
          <w:rFonts w:ascii="Arial" w:cs="Arial" w:eastAsia="Arial" w:hAnsi="Arial"/>
          <w:b/>
          <w:bCs/>
          <w:color w:val="1F3A5F"/>
          <w:sz w:val="21"/>
          <w:szCs w:val="21"/>
        </w:rPr>
        <w:t xml:space="preserve">APPROACH &amp; METHODOLOGY</w:t>
      </w:r>
    </w:p>
    <w:tbl>
      <w:tblPr>
        <w:tblW w:type="dxa" w:w="10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00"/>
        <w:gridCol w:w="5406"/>
        <w:gridCol w:w="2300"/>
      </w:tblGrid>
      <w:tr>
        <w:trPr>
          <w:cantSplit/>
          <w:tblHeader/>
        </w:trPr>
        <w:tc>
          <w:tcPr>
            <w:tcW w:type="dxa" w:w="15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Phase</w:t>
            </w:r>
          </w:p>
        </w:tc>
        <w:tc>
          <w:tcPr>
            <w:tcW w:type="dxa" w:w="11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Duration</w:t>
            </w:r>
          </w:p>
        </w:tc>
        <w:tc>
          <w:tcPr>
            <w:tcW w:type="dxa" w:w="5406"/>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What we do</w:t>
            </w:r>
          </w:p>
        </w:tc>
        <w:tc>
          <w:tcPr>
            <w:tcW w:type="dxa" w:w="2300"/>
            <w:tcBorders>
              <w:top w:val="single" w:color="CBD5E1" w:sz="4"/>
              <w:left w:val="single" w:color="CBD5E1" w:sz="4"/>
              <w:bottom w:val="single" w:color="CBD5E1" w:sz="4"/>
              <w:right w:val="single" w:color="CBD5E1" w:sz="4"/>
            </w:tcBorders>
            <w:shd w:fill="0F766E" w:color="auto" w:val="clear"/>
            <w:tcMar>
              <w:top w:type="dxa" w:w="50"/>
              <w:left w:type="dxa" w:w="110"/>
              <w:bottom w:type="dxa" w:w="50"/>
              <w:right w:type="dxa" w:w="110"/>
            </w:tcMar>
            <w:vAlign w:val="top"/>
          </w:tcPr>
          <w:p>
            <w:pPr>
              <w:spacing w:after="0" w:before="0" w:line="252"/>
            </w:pPr>
            <w:r>
              <w:rPr>
                <w:rFonts w:ascii="Arial" w:cs="Arial" w:eastAsia="Arial" w:hAnsi="Arial"/>
                <w:b/>
                <w:bCs/>
                <w:color w:val="FFFFFF"/>
                <w:sz w:val="16"/>
                <w:szCs w:val="16"/>
              </w:rPr>
              <w:t xml:space="preserve">Output</w:t>
            </w:r>
          </w:p>
        </w:tc>
      </w:tr>
      <w:tr>
        <w:trPr>
          <w:cantSplit/>
        </w:trPr>
        <w:tc>
          <w:tcPr>
            <w:tcW w:type="dxa" w:w="15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0. Mobilise</w:t>
            </w:r>
          </w:p>
        </w:tc>
        <w:tc>
          <w:tcPr>
            <w:tcW w:type="dxa" w:w="11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3 weeks</w:t>
            </w:r>
          </w:p>
        </w:tc>
        <w:tc>
          <w:tcPr>
            <w:tcW w:type="dxa" w:w="5406"/>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List the obligated entities based in Bengal and the top 50 EU exporters; agree the OCEMS data feed with WBPCB; workshops in Durgapur and Haldia.</w:t>
            </w:r>
          </w:p>
        </w:tc>
        <w:tc>
          <w:tcPr>
            <w:tcW w:type="dxa" w:w="23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Pilot cohort</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1. Pilot</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8–10 weeks</w:t>
            </w:r>
          </w:p>
        </w:tc>
        <w:tc>
          <w:tcPr>
            <w:tcW w:type="dxa" w:w="5406"/>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Configure the prototype for 20 units (large obligated entities plus MSME exporters); first CCTS and CBAM reports.</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First compliance packs</w:t>
            </w:r>
          </w:p>
        </w:tc>
      </w:tr>
      <w:tr>
        <w:trPr>
          <w:cantSplit/>
        </w:trPr>
        <w:tc>
          <w:tcPr>
            <w:tcW w:type="dxa" w:w="15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2. Rollout</w:t>
            </w:r>
          </w:p>
        </w:tc>
        <w:tc>
          <w:tcPr>
            <w:tcW w:type="dxa" w:w="11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5 months</w:t>
            </w:r>
          </w:p>
        </w:tc>
        <w:tc>
          <w:tcPr>
            <w:tcW w:type="dxa" w:w="5406"/>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All willing obligated entities plus 500 MSMEs; aggregation; dashboard; incentive link.</w:t>
            </w:r>
          </w:p>
        </w:tc>
        <w:tc>
          <w:tcPr>
            <w:tcW w:type="dxa" w:w="2300"/>
            <w:tcBorders>
              <w:top w:val="single" w:color="CBD5E1" w:sz="4"/>
              <w:left w:val="single" w:color="CBD5E1" w:sz="4"/>
              <w:bottom w:val="single" w:color="CBD5E1" w:sz="4"/>
              <w:right w:val="single" w:color="CBD5E1" w:sz="4"/>
            </w:tcBorders>
            <w:shd w:fill="F7F9FC"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State DMRV service</w:t>
            </w:r>
          </w:p>
        </w:tc>
      </w:tr>
      <w:tr>
        <w:trPr>
          <w:cantSplit/>
        </w:trPr>
        <w:tc>
          <w:tcPr>
            <w:tcW w:type="dxa" w:w="15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bCs/>
                <w:color w:val="1F3A5F"/>
                <w:sz w:val="17"/>
                <w:szCs w:val="17"/>
              </w:rPr>
              <w:t xml:space="preserve">3. Sustain</w:t>
            </w:r>
          </w:p>
        </w:tc>
        <w:tc>
          <w:tcPr>
            <w:tcW w:type="dxa" w:w="11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Ongoing</w:t>
            </w:r>
          </w:p>
        </w:tc>
        <w:tc>
          <w:tcPr>
            <w:tcW w:type="dxa" w:w="5406"/>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Large units pay a modest subscription; the state funds access for MSMEs.</w:t>
            </w:r>
          </w:p>
        </w:tc>
        <w:tc>
          <w:tcPr>
            <w:tcW w:type="dxa" w:w="2300"/>
            <w:tcBorders>
              <w:top w:val="single" w:color="CBD5E1" w:sz="4"/>
              <w:left w:val="single" w:color="CBD5E1" w:sz="4"/>
              <w:bottom w:val="single" w:color="CBD5E1" w:sz="4"/>
              <w:right w:val="single" w:color="CBD5E1" w:sz="4"/>
            </w:tcBorders>
            <w:shd w:fill="FFFFFF" w:color="auto" w:val="clear"/>
            <w:tcMar>
              <w:top w:type="dxa" w:w="50"/>
              <w:left w:type="dxa" w:w="110"/>
              <w:bottom w:type="dxa" w:w="50"/>
              <w:right w:type="dxa" w:w="110"/>
            </w:tcMar>
            <w:vAlign w:val="top"/>
          </w:tcPr>
          <w:p>
            <w:pPr>
              <w:spacing w:after="0" w:before="0" w:line="230"/>
            </w:pPr>
            <w:r>
              <w:rPr>
                <w:rFonts w:ascii="Arial" w:cs="Arial" w:eastAsia="Arial" w:hAnsi="Arial"/>
                <w:b w:val="false"/>
                <w:bCs w:val="false"/>
                <w:color w:val="1F2937"/>
                <w:sz w:val="17"/>
                <w:szCs w:val="17"/>
              </w:rPr>
              <w:t xml:space="preserve">Self-funding core</w:t>
            </w:r>
          </w:p>
        </w:tc>
      </w:tr>
    </w:tbl>
    <w:p>
      <w:pPr>
        <w:spacing w:after="0" w:before="60" w:line="252"/>
      </w:pPr>
      <w:r>
        <w:rPr>
          <w:rFonts w:ascii="Arial" w:cs="Arial" w:eastAsia="Arial" w:hAnsi="Arial"/>
          <w:b/>
          <w:bCs/>
          <w:color w:val="1F3A5F"/>
          <w:sz w:val="19"/>
          <w:szCs w:val="19"/>
        </w:rPr>
        <w:t xml:space="preserve">Method: </w:t>
      </w:r>
      <w:r>
        <w:rPr>
          <w:rFonts w:ascii="Arial" w:cs="Arial" w:eastAsia="Arial" w:hAnsi="Arial"/>
          <w:color w:val="1F2937"/>
          <w:sz w:val="19"/>
          <w:szCs w:val="19"/>
        </w:rPr>
        <w:t xml:space="preserve">Methodologies aligned with BEE and CCTS, a full audit trail and lineage for every calculated number, and optional IoT energy meters for high-emitting units. Data stays within India.</w:t>
      </w:r>
    </w:p>
    <w:p>
      <w:pPr>
        <w:keepNext/>
        <w:pBdr>
          <w:bottom w:val="single" w:color="1F3A5F" w:sz="6" w:space="2"/>
        </w:pBdr>
        <w:spacing w:after="70" w:before="150"/>
      </w:pPr>
      <w:r>
        <w:rPr>
          <w:rFonts w:ascii="Arial" w:cs="Arial" w:eastAsia="Arial" w:hAnsi="Arial"/>
          <w:b/>
          <w:bCs/>
          <w:color w:val="B45309"/>
          <w:sz w:val="23"/>
          <w:szCs w:val="23"/>
        </w:rPr>
        <w:t xml:space="preserve">4  </w:t>
      </w:r>
      <w:r>
        <w:rPr>
          <w:rFonts w:ascii="Arial" w:cs="Arial" w:eastAsia="Arial" w:hAnsi="Arial"/>
          <w:b/>
          <w:bCs/>
          <w:color w:val="1F3A5F"/>
          <w:sz w:val="21"/>
          <w:szCs w:val="21"/>
        </w:rPr>
        <w:t xml:space="preserve">BENEFITS</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9"/>
        <w:gridCol w:w="5159"/>
      </w:tblGrid>
      <w:tr>
        <w:trPr>
          <w:cantSplit/>
        </w:trPr>
        <w:tc>
          <w:tcPr>
            <w:tcW w:type="dxa" w:w="5159"/>
            <w:tcBorders>
              <w:top w:val="single" w:color="CBD5E1" w:sz="4"/>
              <w:left w:val="none" w:color="FFFFFF" w:sz="0"/>
              <w:bottom w:val="none" w:color="FFFFFF" w:sz="0"/>
              <w:right w:val="none" w:color="FFFFFF" w:sz="0"/>
            </w:tcBorders>
            <w:tcMar>
              <w:top w:type="dxa" w:w="70"/>
              <w:left w:type="dxa" w:w="110"/>
              <w:bottom w:type="dxa" w:w="70"/>
              <w:right w:type="dxa" w:w="110"/>
            </w:tcMar>
            <w:vAlign w:val="top"/>
          </w:tcPr>
          <w:p>
            <w:pPr>
              <w:spacing w:after="40" w:before="0" w:line="252"/>
            </w:pPr>
            <w:r>
              <w:rPr>
                <w:rFonts w:ascii="Arial" w:cs="Arial" w:eastAsia="Arial" w:hAnsi="Arial"/>
                <w:b/>
                <w:bCs/>
                <w:color w:val="0F766E"/>
                <w:sz w:val="18"/>
                <w:szCs w:val="18"/>
              </w:rPr>
              <w:t xml:space="preserve">For the Government</w:t>
            </w:r>
          </w:p>
          <w:p>
            <w:pPr>
              <w:pStyle w:val="ListParagraph"/>
              <w:keepLines/>
              <w:numPr>
                <w:ilvl w:val="0"/>
                <w:numId w:val="2"/>
              </w:numPr>
              <w:spacing w:after="40" w:line="246"/>
            </w:pPr>
            <w:r>
              <w:rPr>
                <w:rFonts w:ascii="Arial" w:cs="Arial" w:eastAsia="Arial" w:hAnsi="Arial"/>
                <w:color w:val="1F2937"/>
                <w:sz w:val="19"/>
                <w:szCs w:val="19"/>
              </w:rPr>
              <w:t xml:space="preserve">The state's first industrial carbon map, useful for climate finance and for promoting green investment.</w:t>
            </w:r>
          </w:p>
          <w:p>
            <w:pPr>
              <w:pStyle w:val="ListParagraph"/>
              <w:keepLines/>
              <w:numPr>
                <w:ilvl w:val="0"/>
                <w:numId w:val="2"/>
              </w:numPr>
              <w:spacing w:after="40" w:line="246"/>
            </w:pPr>
            <w:r>
              <w:rPr>
                <w:rFonts w:ascii="Arial" w:cs="Arial" w:eastAsia="Arial" w:hAnsi="Arial"/>
                <w:color w:val="1F2937"/>
                <w:sz w:val="19"/>
                <w:szCs w:val="19"/>
              </w:rPr>
              <w:t xml:space="preserve">Keeps export jobs in the Durgapur–Asansol and Howrah engineering belts.</w:t>
            </w:r>
          </w:p>
          <w:p>
            <w:pPr>
              <w:pStyle w:val="ListParagraph"/>
              <w:keepLines/>
              <w:numPr>
                <w:ilvl w:val="0"/>
                <w:numId w:val="2"/>
              </w:numPr>
              <w:spacing w:after="40" w:line="246"/>
            </w:pPr>
            <w:r>
              <w:rPr>
                <w:rFonts w:ascii="Arial" w:cs="Arial" w:eastAsia="Arial" w:hAnsi="Arial"/>
                <w:color w:val="1F2937"/>
                <w:sz w:val="19"/>
                <w:szCs w:val="19"/>
              </w:rPr>
              <w:t xml:space="preserve">Low long-term cost to the state, because subscriptions and aggregation fees pay for the service.</w:t>
            </w:r>
          </w:p>
        </w:tc>
        <w:tc>
          <w:tcPr>
            <w:tcW w:type="dxa" w:w="5159"/>
            <w:tcBorders>
              <w:top w:val="single" w:color="CBD5E1" w:sz="4"/>
              <w:left w:val="none" w:color="FFFFFF" w:sz="0"/>
              <w:bottom w:val="none" w:color="FFFFFF" w:sz="0"/>
              <w:right w:val="none" w:color="FFFFFF" w:sz="0"/>
            </w:tcBorders>
            <w:tcMar>
              <w:top w:type="dxa" w:w="70"/>
              <w:left w:type="dxa" w:w="110"/>
              <w:bottom w:type="dxa" w:w="70"/>
              <w:right w:type="dxa" w:w="110"/>
            </w:tcMar>
            <w:vAlign w:val="top"/>
          </w:tcPr>
          <w:p>
            <w:pPr>
              <w:spacing w:after="40" w:before="0" w:line="252"/>
            </w:pPr>
            <w:r>
              <w:rPr>
                <w:rFonts w:ascii="Arial" w:cs="Arial" w:eastAsia="Arial" w:hAnsi="Arial"/>
                <w:b/>
                <w:bCs/>
                <w:color w:val="0F766E"/>
                <w:sz w:val="18"/>
                <w:szCs w:val="18"/>
              </w:rPr>
              <w:t xml:space="preserve">For industry, MSMEs &amp; citizens</w:t>
            </w:r>
          </w:p>
          <w:p>
            <w:pPr>
              <w:pStyle w:val="ListParagraph"/>
              <w:keepLines/>
              <w:numPr>
                <w:ilvl w:val="0"/>
                <w:numId w:val="2"/>
              </w:numPr>
              <w:spacing w:after="40" w:line="246"/>
            </w:pPr>
            <w:r>
              <w:rPr>
                <w:rFonts w:ascii="Arial" w:cs="Arial" w:eastAsia="Arial" w:hAnsi="Arial"/>
                <w:color w:val="1F2937"/>
                <w:sz w:val="19"/>
                <w:szCs w:val="19"/>
              </w:rPr>
              <w:t xml:space="preserve">Obligated units avoid penalties and can earn and sell Carbon Credit Certificates.</w:t>
            </w:r>
          </w:p>
          <w:p>
            <w:pPr>
              <w:pStyle w:val="ListParagraph"/>
              <w:keepLines/>
              <w:numPr>
                <w:ilvl w:val="0"/>
                <w:numId w:val="2"/>
              </w:numPr>
              <w:spacing w:after="40" w:line="246"/>
            </w:pPr>
            <w:r>
              <w:rPr>
                <w:rFonts w:ascii="Arial" w:cs="Arial" w:eastAsia="Arial" w:hAnsi="Arial"/>
                <w:color w:val="1F2937"/>
                <w:sz w:val="19"/>
                <w:szCs w:val="19"/>
              </w:rPr>
              <w:t xml:space="preserve">MSMEs keep their EU orders under CBAM.</w:t>
            </w:r>
          </w:p>
          <w:p>
            <w:pPr>
              <w:pStyle w:val="ListParagraph"/>
              <w:keepLines/>
              <w:numPr>
                <w:ilvl w:val="0"/>
                <w:numId w:val="2"/>
              </w:numPr>
              <w:spacing w:after="40" w:line="246"/>
            </w:pPr>
            <w:r>
              <w:rPr>
                <w:rFonts w:ascii="Arial" w:cs="Arial" w:eastAsia="Arial" w:hAnsi="Arial"/>
                <w:color w:val="1F2937"/>
                <w:sz w:val="19"/>
                <w:szCs w:val="19"/>
              </w:rPr>
              <w:t xml:space="preserve">Compliance at a fraction of what a consultant would charge.</w:t>
            </w:r>
          </w:p>
        </w:tc>
      </w:tr>
    </w:tbl>
    <w:p>
      <w:pPr>
        <w:keepNext/>
        <w:pBdr>
          <w:bottom w:val="single" w:color="1F3A5F" w:sz="6" w:space="2"/>
        </w:pBdr>
        <w:spacing w:after="70" w:before="150"/>
      </w:pPr>
      <w:r>
        <w:rPr>
          <w:rFonts w:ascii="Arial" w:cs="Arial" w:eastAsia="Arial" w:hAnsi="Arial"/>
          <w:b/>
          <w:bCs/>
          <w:color w:val="B45309"/>
          <w:sz w:val="23"/>
          <w:szCs w:val="23"/>
        </w:rPr>
        <w:t xml:space="preserve">5  </w:t>
      </w:r>
      <w:r>
        <w:rPr>
          <w:rFonts w:ascii="Arial" w:cs="Arial" w:eastAsia="Arial" w:hAnsi="Arial"/>
          <w:b/>
          <w:bCs/>
          <w:color w:val="1F3A5F"/>
          <w:sz w:val="21"/>
          <w:szCs w:val="21"/>
        </w:rPr>
        <w:t xml:space="preserve">LIKELY COST RANGE (DEVELOPMENT + INFRASTRUCTURE)</w:t>
      </w:r>
    </w:p>
    <w:tbl>
      <w:tblPr>
        <w:tblW w:type="dxa" w:w="10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6"/>
        <w:gridCol w:w="2500"/>
        <w:gridCol w:w="2500"/>
      </w:tblGrid>
      <w:tr>
        <w:trPr>
          <w:cantSplit/>
          <w:tblHeader/>
        </w:trPr>
        <w:tc>
          <w:tcPr>
            <w:tcW w:type="dxa" w:w="5306"/>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pPr>
            <w:r>
              <w:rPr>
                <w:rFonts w:ascii="Arial" w:cs="Arial" w:eastAsia="Arial" w:hAnsi="Arial"/>
                <w:b/>
                <w:bCs/>
                <w:color w:val="FFFFFF"/>
                <w:sz w:val="16"/>
                <w:szCs w:val="16"/>
              </w:rPr>
              <w:t xml:space="preserve">Component</w:t>
            </w:r>
          </w:p>
        </w:tc>
        <w:tc>
          <w:tcPr>
            <w:tcW w:type="dxa" w:w="2500"/>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FFFFFF"/>
                <w:sz w:val="16"/>
                <w:szCs w:val="16"/>
              </w:rPr>
              <w:t xml:space="preserve">Low</w:t>
            </w:r>
          </w:p>
        </w:tc>
        <w:tc>
          <w:tcPr>
            <w:tcW w:type="dxa" w:w="2500"/>
            <w:tcBorders>
              <w:top w:val="single" w:color="CBD5E1" w:sz="4"/>
              <w:left w:val="single" w:color="CBD5E1" w:sz="4"/>
              <w:bottom w:val="single" w:color="CBD5E1" w:sz="4"/>
              <w:right w:val="single" w:color="CBD5E1" w:sz="4"/>
            </w:tcBorders>
            <w:shd w:fill="0F766E"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FFFFFF"/>
                <w:sz w:val="16"/>
                <w:szCs w:val="16"/>
              </w:rPr>
              <w:t xml:space="preserve">High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Development: pilot (Phases 0–1)</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₹25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₹40 lakh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Development: full rollout (Phase 2), incl. security audit</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₹1.0 cr</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₹1.6 cr</w:t>
            </w:r>
          </w:p>
        </w:tc>
      </w:tr>
      <w:tr>
        <w:trPr>
          <w:cantSplit/>
        </w:trPr>
        <w:tc>
          <w:tcPr>
            <w:tcW w:type="dxa" w:w="5306"/>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pPr>
            <w:r>
              <w:rPr>
                <w:rFonts w:ascii="Arial" w:cs="Arial" w:eastAsia="Arial" w:hAnsi="Arial"/>
                <w:b/>
                <w:bCs/>
                <w:color w:val="1F3A5F"/>
                <w:sz w:val="17"/>
                <w:szCs w:val="17"/>
              </w:rPr>
              <w:t xml:space="preserve">One-time total</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₹1.25 cr</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₹2.0 cr</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Infrastructure per year (hosting, storage, gateways, data)</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₹20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₹35 lakh</w:t>
            </w:r>
          </w:p>
        </w:tc>
      </w:tr>
      <w:tr>
        <w:trPr>
          <w:cantSplit/>
        </w:trPr>
        <w:tc>
          <w:tcPr>
            <w:tcW w:type="dxa" w:w="5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pPr>
            <w:r>
              <w:rPr>
                <w:rFonts w:ascii="Arial" w:cs="Arial" w:eastAsia="Arial" w:hAnsi="Arial"/>
                <w:color w:val="1F2937"/>
                <w:sz w:val="17"/>
                <w:szCs w:val="17"/>
              </w:rPr>
              <w:t xml:space="preserve">Operations &amp; maintenance per year (support, updates, helpdesk)</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₹25 lakh</w:t>
            </w:r>
          </w:p>
        </w:tc>
        <w:tc>
          <w:tcPr>
            <w:tcW w:type="dxa" w:w="25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52"/>
              <w:jc w:val="right"/>
            </w:pPr>
            <w:r>
              <w:rPr>
                <w:rFonts w:ascii="Arial" w:cs="Arial" w:eastAsia="Arial" w:hAnsi="Arial"/>
                <w:color w:val="1F2937"/>
                <w:sz w:val="17"/>
                <w:szCs w:val="17"/>
              </w:rPr>
              <w:t xml:space="preserve">₹40 lakh</w:t>
            </w:r>
          </w:p>
        </w:tc>
      </w:tr>
      <w:tr>
        <w:trPr>
          <w:cantSplit/>
        </w:trPr>
        <w:tc>
          <w:tcPr>
            <w:tcW w:type="dxa" w:w="5306"/>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pPr>
            <w:r>
              <w:rPr>
                <w:rFonts w:ascii="Arial" w:cs="Arial" w:eastAsia="Arial" w:hAnsi="Arial"/>
                <w:b/>
                <w:bCs/>
                <w:color w:val="1F3A5F"/>
                <w:sz w:val="17"/>
                <w:szCs w:val="17"/>
              </w:rPr>
              <w:t xml:space="preserve">Recurring total per year</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₹45 lakh</w:t>
            </w:r>
          </w:p>
        </w:tc>
        <w:tc>
          <w:tcPr>
            <w:tcW w:type="dxa" w:w="2500"/>
            <w:tcBorders>
              <w:top w:val="single" w:color="CBD5E1" w:sz="4"/>
              <w:left w:val="single" w:color="CBD5E1" w:sz="4"/>
              <w:bottom w:val="single" w:color="CBD5E1" w:sz="4"/>
              <w:right w:val="single" w:color="CBD5E1" w:sz="4"/>
            </w:tcBorders>
            <w:shd w:fill="EAF0F7" w:color="auto" w:val="clear"/>
            <w:tcMar>
              <w:top w:type="dxa" w:w="45"/>
              <w:left w:type="dxa" w:w="110"/>
              <w:bottom w:type="dxa" w:w="45"/>
              <w:right w:type="dxa" w:w="110"/>
            </w:tcMar>
            <w:vAlign w:val="top"/>
          </w:tcPr>
          <w:p>
            <w:pPr>
              <w:spacing w:after="0" w:before="0" w:line="252"/>
              <w:jc w:val="right"/>
            </w:pPr>
            <w:r>
              <w:rPr>
                <w:rFonts w:ascii="Arial" w:cs="Arial" w:eastAsia="Arial" w:hAnsi="Arial"/>
                <w:b/>
                <w:bCs/>
                <w:color w:val="1F2937"/>
                <w:sz w:val="17"/>
                <w:szCs w:val="17"/>
              </w:rPr>
              <w:t xml:space="preserve">₹75 lakh</w:t>
            </w:r>
          </w:p>
        </w:tc>
      </w:tr>
    </w:tbl>
    <w:p>
      <w:pPr>
        <w:spacing w:after="0" w:before="50" w:line="252"/>
      </w:pPr>
      <w:r>
        <w:rPr>
          <w:rFonts w:ascii="Arial" w:cs="Arial" w:eastAsia="Arial" w:hAnsi="Arial"/>
          <w:i/>
          <w:iCs/>
          <w:color w:val="5B6472"/>
          <w:sz w:val="16"/>
          <w:szCs w:val="16"/>
        </w:rPr>
        <w:t xml:space="preserve">Lower than a greenfield build because the core prototype exists. Optional IoT energy meters cost ₹0.5–2 lakh per unit, borne by the industry or subsidised. Figures exclude GST and are ±25% until scoped.</w:t>
      </w:r>
    </w:p>
    <w:p>
      <w:pPr>
        <w:keepNext/>
        <w:pBdr>
          <w:bottom w:val="single" w:color="1F3A5F" w:sz="6" w:space="2"/>
        </w:pBdr>
        <w:spacing w:after="70" w:before="150"/>
      </w:pPr>
      <w:r>
        <w:rPr>
          <w:rFonts w:ascii="Arial" w:cs="Arial" w:eastAsia="Arial" w:hAnsi="Arial"/>
          <w:b/>
          <w:bCs/>
          <w:color w:val="B45309"/>
          <w:sz w:val="23"/>
          <w:szCs w:val="23"/>
        </w:rPr>
        <w:t xml:space="preserve">6  </w:t>
      </w:r>
      <w:r>
        <w:rPr>
          <w:rFonts w:ascii="Arial" w:cs="Arial" w:eastAsia="Arial" w:hAnsi="Arial"/>
          <w:b/>
          <w:bCs/>
          <w:color w:val="1F3A5F"/>
          <w:sz w:val="21"/>
          <w:szCs w:val="21"/>
        </w:rPr>
        <w:t xml:space="preserve">KEY RISKS &amp; HOW WE HANDLE THEM</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718"/>
      </w:tblGrid>
      <w:tr>
        <w:trPr>
          <w:cantSplit/>
        </w:trPr>
        <w:tc>
          <w:tcPr>
            <w:tcW w:type="dxa" w:w="3600"/>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Steel and fertiliser targets not yet notified</w:t>
            </w:r>
          </w:p>
        </w:tc>
        <w:tc>
          <w:tcPr>
            <w:tcW w:type="dxa" w:w="6718"/>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Configurable methodology library; build to the draft norms now.</w:t>
            </w:r>
          </w:p>
        </w:tc>
      </w:tr>
      <w:tr>
        <w:trPr>
          <w:cantSplit/>
        </w:trPr>
        <w:tc>
          <w:tcPr>
            <w:tcW w:type="dxa" w:w="3600"/>
            <w:tcBorders>
              <w:top w:val="none" w:color="FFFFFF" w:sz="0"/>
              <w:left w:val="none" w:color="FFFFFF" w:sz="0"/>
              <w:bottom w:val="single" w:color="CBD5E1" w:sz="4"/>
              <w:right w:val="none" w:color="FFFFFF" w:sz="0"/>
            </w:tcBorders>
            <w:shd w:fill="FFFFFF"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Units hesitant to share emission data</w:t>
            </w:r>
          </w:p>
        </w:tc>
        <w:tc>
          <w:tcPr>
            <w:tcW w:type="dxa" w:w="6718"/>
            <w:tcBorders>
              <w:top w:val="none" w:color="FFFFFF" w:sz="0"/>
              <w:left w:val="none" w:color="FFFFFF" w:sz="0"/>
              <w:bottom w:val="single" w:color="CBD5E1" w:sz="4"/>
              <w:right w:val="none" w:color="FFFFFF" w:sz="0"/>
            </w:tcBorders>
            <w:shd w:fill="FFFFFF"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Voluntary and confidential, and it gives value first (CBAM reports buyers demand).</w:t>
            </w:r>
          </w:p>
        </w:tc>
      </w:tr>
      <w:tr>
        <w:trPr>
          <w:cantSplit/>
        </w:trPr>
        <w:tc>
          <w:tcPr>
            <w:tcW w:type="dxa" w:w="3600"/>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b/>
                <w:bCs/>
                <w:color w:val="1F3A5F"/>
                <w:sz w:val="17"/>
                <w:szCs w:val="17"/>
              </w:rPr>
              <w:t xml:space="preserve">BEE or EU methodology changes</w:t>
            </w:r>
          </w:p>
        </w:tc>
        <w:tc>
          <w:tcPr>
            <w:tcW w:type="dxa" w:w="6718"/>
            <w:tcBorders>
              <w:top w:val="none" w:color="FFFFFF" w:sz="0"/>
              <w:left w:val="none" w:color="FFFFFF" w:sz="0"/>
              <w:bottom w:val="single" w:color="CBD5E1" w:sz="4"/>
              <w:right w:val="none" w:color="FFFFFF" w:sz="0"/>
            </w:tcBorders>
            <w:shd w:fill="F7F9FC" w:color="auto" w:val="clear"/>
            <w:tcMar>
              <w:top w:type="dxa" w:w="50"/>
              <w:left w:type="dxa" w:w="110"/>
              <w:bottom w:type="dxa" w:w="50"/>
              <w:right w:type="dxa" w:w="110"/>
            </w:tcMar>
            <w:vAlign w:val="top"/>
          </w:tcPr>
          <w:p>
            <w:pPr>
              <w:spacing w:after="0" w:before="0" w:line="252"/>
            </w:pPr>
            <w:r>
              <w:rPr>
                <w:rFonts w:ascii="Arial" w:cs="Arial" w:eastAsia="Arial" w:hAnsi="Arial"/>
                <w:color w:val="1F2937"/>
                <w:sz w:val="17"/>
                <w:szCs w:val="17"/>
              </w:rPr>
              <w:t xml:space="preserve">Versioned calculations with full lineage; re-run history on demand.</w:t>
            </w:r>
          </w:p>
        </w:tc>
      </w:tr>
    </w:tbl>
    <w:p>
      <w:r>
        <w:br w:type="page"/>
      </w:r>
    </w:p>
    <w:p>
      <w:pPr>
        <w:spacing w:after="120" w:before="0" w:line="252"/>
      </w:pPr>
      <w:r>
        <w:rPr>
          <w:rFonts w:ascii="Arial" w:cs="Arial" w:eastAsia="Arial" w:hAnsi="Arial"/>
          <w:b/>
          <w:bCs/>
          <w:color w:val="1F3A5F"/>
          <w:sz w:val="36"/>
          <w:szCs w:val="36"/>
        </w:rPr>
        <w:t xml:space="preserve">How we will work with the Department</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7618"/>
      </w:tblGrid>
      <w:tr>
        <w:trPr>
          <w:cantSplit/>
        </w:trPr>
        <w:tc>
          <w:tcPr>
            <w:tcW w:type="dxa" w:w="2700"/>
            <w:tcBorders>
              <w:top w:val="none" w:color="FFFFFF" w:sz="0"/>
              <w:left w:val="none" w:color="FFFFFF" w:sz="0"/>
              <w:bottom w:val="single" w:color="CBD5E1" w:sz="4"/>
              <w:right w:val="none" w:color="FFFFFF" w:sz="0"/>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9"/>
                <w:szCs w:val="19"/>
              </w:rPr>
              <w:t xml:space="preserve">Start small, prove value</w:t>
            </w:r>
          </w:p>
        </w:tc>
        <w:tc>
          <w:tcPr>
            <w:tcW w:type="dxa" w:w="7618"/>
            <w:tcBorders>
              <w:top w:val="none" w:color="FFFFFF" w:sz="0"/>
              <w:left w:val="none" w:color="FFFFFF" w:sz="0"/>
              <w:bottom w:val="single" w:color="CBD5E1" w:sz="4"/>
              <w:right w:val="none" w:color="FFFFFF" w:sz="0"/>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color w:val="1F2937"/>
                <w:sz w:val="19"/>
                <w:szCs w:val="19"/>
              </w:rPr>
              <w:t xml:space="preserve">A 6–8 week proof of concept on one initiative, using the Department's own data in its own environment, at no cost or a nominal one. Scale up only after the results are visible.</w:t>
            </w:r>
          </w:p>
        </w:tc>
      </w:tr>
      <w:tr>
        <w:trPr>
          <w:cantSplit/>
        </w:trPr>
        <w:tc>
          <w:tcPr>
            <w:tcW w:type="dxa" w:w="2700"/>
            <w:tcBorders>
              <w:top w:val="none" w:color="FFFFFF" w:sz="0"/>
              <w:left w:val="none" w:color="FFFFFF" w:sz="0"/>
              <w:bottom w:val="single" w:color="CBD5E1" w:sz="4"/>
              <w:right w:val="none" w:color="FFFFFF" w:sz="0"/>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9"/>
                <w:szCs w:val="19"/>
              </w:rPr>
              <w:t xml:space="preserve">Clean, transparent procurement</w:t>
            </w:r>
          </w:p>
        </w:tc>
        <w:tc>
          <w:tcPr>
            <w:tcW w:type="dxa" w:w="7618"/>
            <w:tcBorders>
              <w:top w:val="none" w:color="FFFFFF" w:sz="0"/>
              <w:left w:val="none" w:color="FFFFFF" w:sz="0"/>
              <w:bottom w:val="single" w:color="CBD5E1" w:sz="4"/>
              <w:right w:val="none" w:color="FFFFFF" w:sz="0"/>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color w:val="1F2937"/>
                <w:sz w:val="19"/>
                <w:szCs w:val="19"/>
              </w:rPr>
              <w:t xml:space="preserve">Engagement through GeM, Webel Technology Ltd (the state's nodal e-governance agency) or an empanelled system-integrator partner. Rollouts through open tender, where we compete on merit.</w:t>
            </w:r>
          </w:p>
        </w:tc>
      </w:tr>
      <w:tr>
        <w:trPr>
          <w:cantSplit/>
        </w:trPr>
        <w:tc>
          <w:tcPr>
            <w:tcW w:type="dxa" w:w="2700"/>
            <w:tcBorders>
              <w:top w:val="none" w:color="FFFFFF" w:sz="0"/>
              <w:left w:val="none" w:color="FFFFFF" w:sz="0"/>
              <w:bottom w:val="single" w:color="CBD5E1" w:sz="4"/>
              <w:right w:val="none" w:color="FFFFFF" w:sz="0"/>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9"/>
                <w:szCs w:val="19"/>
              </w:rPr>
              <w:t xml:space="preserve">Data stays with the state</w:t>
            </w:r>
          </w:p>
        </w:tc>
        <w:tc>
          <w:tcPr>
            <w:tcW w:type="dxa" w:w="7618"/>
            <w:tcBorders>
              <w:top w:val="none" w:color="FFFFFF" w:sz="0"/>
              <w:left w:val="none" w:color="FFFFFF" w:sz="0"/>
              <w:bottom w:val="single" w:color="CBD5E1" w:sz="4"/>
              <w:right w:val="none" w:color="FFFFFF" w:sz="0"/>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color w:val="1F2937"/>
                <w:sz w:val="19"/>
                <w:szCs w:val="19"/>
              </w:rPr>
              <w:t xml:space="preserve">Hosting in the WB State Data Centre or a MeitY-empanelled Indian cloud. Compliant with the DPDP Act 2023, with consent-based data sharing.</w:t>
            </w:r>
          </w:p>
        </w:tc>
      </w:tr>
      <w:tr>
        <w:trPr>
          <w:cantSplit/>
        </w:trPr>
        <w:tc>
          <w:tcPr>
            <w:tcW w:type="dxa" w:w="2700"/>
            <w:tcBorders>
              <w:top w:val="none" w:color="FFFFFF" w:sz="0"/>
              <w:left w:val="none" w:color="FFFFFF" w:sz="0"/>
              <w:bottom w:val="single" w:color="CBD5E1" w:sz="4"/>
              <w:right w:val="none" w:color="FFFFFF" w:sz="0"/>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9"/>
                <w:szCs w:val="19"/>
              </w:rPr>
              <w:t xml:space="preserve">Security first</w:t>
            </w:r>
          </w:p>
        </w:tc>
        <w:tc>
          <w:tcPr>
            <w:tcW w:type="dxa" w:w="7618"/>
            <w:tcBorders>
              <w:top w:val="none" w:color="FFFFFF" w:sz="0"/>
              <w:left w:val="none" w:color="FFFFFF" w:sz="0"/>
              <w:bottom w:val="single" w:color="CBD5E1" w:sz="4"/>
              <w:right w:val="none" w:color="FFFFFF" w:sz="0"/>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color w:val="1F2937"/>
                <w:sz w:val="19"/>
                <w:szCs w:val="19"/>
              </w:rPr>
              <w:t xml:space="preserve">A CERT-In-empanelled security audit before every go-live, with STQC certification where required. Role-based access and tamper-evident audit logs.</w:t>
            </w:r>
          </w:p>
        </w:tc>
      </w:tr>
      <w:tr>
        <w:trPr>
          <w:cantSplit/>
        </w:trPr>
        <w:tc>
          <w:tcPr>
            <w:tcW w:type="dxa" w:w="2700"/>
            <w:tcBorders>
              <w:top w:val="none" w:color="FFFFFF" w:sz="0"/>
              <w:left w:val="none" w:color="FFFFFF" w:sz="0"/>
              <w:bottom w:val="single" w:color="CBD5E1" w:sz="4"/>
              <w:right w:val="none" w:color="FFFFFF" w:sz="0"/>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9"/>
                <w:szCs w:val="19"/>
              </w:rPr>
              <w:t xml:space="preserve">No vendor lock-in</w:t>
            </w:r>
          </w:p>
        </w:tc>
        <w:tc>
          <w:tcPr>
            <w:tcW w:type="dxa" w:w="7618"/>
            <w:tcBorders>
              <w:top w:val="none" w:color="FFFFFF" w:sz="0"/>
              <w:left w:val="none" w:color="FFFFFF" w:sz="0"/>
              <w:bottom w:val="single" w:color="CBD5E1" w:sz="4"/>
              <w:right w:val="none" w:color="FFFFFF" w:sz="0"/>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color w:val="1F2937"/>
                <w:sz w:val="19"/>
                <w:szCs w:val="19"/>
              </w:rPr>
              <w:t xml:space="preserve">Open-source stack, source code in escrow, full documentation, and training for state officers. The state owns its configurations and data.</w:t>
            </w:r>
          </w:p>
        </w:tc>
      </w:tr>
      <w:tr>
        <w:trPr>
          <w:cantSplit/>
        </w:trPr>
        <w:tc>
          <w:tcPr>
            <w:tcW w:type="dxa" w:w="2700"/>
            <w:tcBorders>
              <w:top w:val="none" w:color="FFFFFF" w:sz="0"/>
              <w:left w:val="none" w:color="FFFFFF" w:sz="0"/>
              <w:bottom w:val="single" w:color="CBD5E1" w:sz="4"/>
              <w:right w:val="none" w:color="FFFFFF" w:sz="0"/>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9"/>
                <w:szCs w:val="19"/>
              </w:rPr>
              <w:t xml:space="preserve">Bengali-first</w:t>
            </w:r>
          </w:p>
        </w:tc>
        <w:tc>
          <w:tcPr>
            <w:tcW w:type="dxa" w:w="7618"/>
            <w:tcBorders>
              <w:top w:val="none" w:color="FFFFFF" w:sz="0"/>
              <w:left w:val="none" w:color="FFFFFF" w:sz="0"/>
              <w:bottom w:val="single" w:color="CBD5E1" w:sz="4"/>
              <w:right w:val="none" w:color="FFFFFF" w:sz="0"/>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color w:val="1F2937"/>
                <w:sz w:val="19"/>
                <w:szCs w:val="19"/>
              </w:rPr>
              <w:t xml:space="preserve">Screens for citizens and MSMEs in Bengali, Hindi and English, with voice-led flows for artisans and micro units.</w:t>
            </w:r>
          </w:p>
        </w:tc>
      </w:tr>
      <w:tr>
        <w:trPr>
          <w:cantSplit/>
        </w:trPr>
        <w:tc>
          <w:tcPr>
            <w:tcW w:type="dxa" w:w="2700"/>
            <w:tcBorders>
              <w:top w:val="none" w:color="FFFFFF" w:sz="0"/>
              <w:left w:val="none" w:color="FFFFFF" w:sz="0"/>
              <w:bottom w:val="single" w:color="CBD5E1" w:sz="4"/>
              <w:right w:val="none" w:color="FFFFFF" w:sz="0"/>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9"/>
                <w:szCs w:val="19"/>
              </w:rPr>
              <w:t xml:space="preserve">Outcome-linked contracts</w:t>
            </w:r>
          </w:p>
        </w:tc>
        <w:tc>
          <w:tcPr>
            <w:tcW w:type="dxa" w:w="7618"/>
            <w:tcBorders>
              <w:top w:val="none" w:color="FFFFFF" w:sz="0"/>
              <w:left w:val="none" w:color="FFFFFF" w:sz="0"/>
              <w:bottom w:val="single" w:color="CBD5E1" w:sz="4"/>
              <w:right w:val="none" w:color="FFFFFF" w:sz="0"/>
            </w:tcBorders>
            <w:shd w:fill="F7F9FC" w:color="auto" w:val="clear"/>
            <w:tcMar>
              <w:top w:type="dxa" w:w="70"/>
              <w:left w:type="dxa" w:w="110"/>
              <w:bottom w:type="dxa" w:w="70"/>
              <w:right w:type="dxa" w:w="110"/>
            </w:tcMar>
            <w:vAlign w:val="top"/>
          </w:tcPr>
          <w:p>
            <w:pPr>
              <w:spacing w:after="0" w:before="0" w:line="252"/>
            </w:pPr>
            <w:r>
              <w:rPr>
                <w:rFonts w:ascii="Arial" w:cs="Arial" w:eastAsia="Arial" w:hAnsi="Arial"/>
                <w:color w:val="1F2937"/>
                <w:sz w:val="19"/>
                <w:szCs w:val="19"/>
              </w:rPr>
              <w:t xml:space="preserve">Every engagement carries measurable KPIs (approval days, jobs verified, acres unlocked) and monthly public-facing reports.</w:t>
            </w:r>
          </w:p>
        </w:tc>
      </w:tr>
      <w:tr>
        <w:trPr>
          <w:cantSplit/>
        </w:trPr>
        <w:tc>
          <w:tcPr>
            <w:tcW w:type="dxa" w:w="2700"/>
            <w:tcBorders>
              <w:top w:val="none" w:color="FFFFFF" w:sz="0"/>
              <w:left w:val="none" w:color="FFFFFF" w:sz="0"/>
              <w:bottom w:val="single" w:color="CBD5E1" w:sz="4"/>
              <w:right w:val="none" w:color="FFFFFF" w:sz="0"/>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b/>
                <w:bCs/>
                <w:color w:val="1F3A5F"/>
                <w:sz w:val="19"/>
                <w:szCs w:val="19"/>
              </w:rPr>
              <w:t xml:space="preserve">Build in Bengal</w:t>
            </w:r>
          </w:p>
        </w:tc>
        <w:tc>
          <w:tcPr>
            <w:tcW w:type="dxa" w:w="7618"/>
            <w:tcBorders>
              <w:top w:val="none" w:color="FFFFFF" w:sz="0"/>
              <w:left w:val="none" w:color="FFFFFF" w:sz="0"/>
              <w:bottom w:val="single" w:color="CBD5E1" w:sz="4"/>
              <w:right w:val="none" w:color="FFFFFF" w:sz="0"/>
            </w:tcBorders>
            <w:shd w:fill="FFFFFF" w:color="auto" w:val="clear"/>
            <w:tcMar>
              <w:top w:type="dxa" w:w="70"/>
              <w:left w:type="dxa" w:w="110"/>
              <w:bottom w:type="dxa" w:w="70"/>
              <w:right w:type="dxa" w:w="110"/>
            </w:tcMar>
            <w:vAlign w:val="top"/>
          </w:tcPr>
          <w:p>
            <w:pPr>
              <w:spacing w:after="0" w:before="0" w:line="252"/>
            </w:pPr>
            <w:r>
              <w:rPr>
                <w:rFonts w:ascii="Arial" w:cs="Arial" w:eastAsia="Arial" w:hAnsi="Arial"/>
                <w:color w:val="1F2937"/>
                <w:sz w:val="19"/>
                <w:szCs w:val="19"/>
              </w:rPr>
              <w:t xml:space="preserve">Delivery team based in Kolkata, with internships and hiring from state engineering colleges and polytechnics.</w:t>
            </w:r>
          </w:p>
        </w:tc>
      </w:tr>
    </w:tbl>
    <w:p>
      <w:pPr>
        <w:keepNext/>
        <w:pBdr>
          <w:bottom w:val="single" w:color="1F3A5F" w:sz="6" w:space="2"/>
        </w:pBdr>
        <w:spacing w:after="70" w:before="150"/>
      </w:pPr>
      <w:r>
        <w:rPr>
          <w:rFonts w:ascii="Arial" w:cs="Arial" w:eastAsia="Arial" w:hAnsi="Arial"/>
          <w:b/>
          <w:bCs/>
          <w:color w:val="B45309"/>
          <w:sz w:val="23"/>
          <w:szCs w:val="23"/>
        </w:rPr>
        <w:t xml:space="preserve">i  </w:t>
      </w:r>
      <w:r>
        <w:rPr>
          <w:rFonts w:ascii="Arial" w:cs="Arial" w:eastAsia="Arial" w:hAnsi="Arial"/>
          <w:b/>
          <w:bCs/>
          <w:color w:val="1F3A5F"/>
          <w:sz w:val="21"/>
          <w:szCs w:val="21"/>
        </w:rPr>
        <w:t xml:space="preserve">COST ASSUMPTIONS</w:t>
      </w:r>
    </w:p>
    <w:p>
      <w:pPr>
        <w:pStyle w:val="ListParagraph"/>
        <w:keepLines/>
        <w:numPr>
          <w:ilvl w:val="0"/>
          <w:numId w:val="2"/>
        </w:numPr>
        <w:spacing w:after="40" w:line="246"/>
      </w:pPr>
      <w:r>
        <w:rPr>
          <w:rFonts w:ascii="Arial" w:cs="Arial" w:eastAsia="Arial" w:hAnsi="Arial"/>
          <w:color w:val="1F2937"/>
          <w:sz w:val="19"/>
          <w:szCs w:val="19"/>
        </w:rPr>
        <w:t xml:space="preserve">Blended delivery cost of ₹1.4–2.0 lakh per person-month for a Kolkata-based team (product, design, engineering, QA, project management).</w:t>
      </w:r>
    </w:p>
    <w:p>
      <w:pPr>
        <w:pStyle w:val="ListParagraph"/>
        <w:keepLines/>
        <w:numPr>
          <w:ilvl w:val="0"/>
          <w:numId w:val="2"/>
        </w:numPr>
        <w:spacing w:after="40" w:line="246"/>
      </w:pPr>
      <w:r>
        <w:rPr>
          <w:rFonts w:ascii="Arial" w:cs="Arial" w:eastAsia="Arial" w:hAnsi="Arial"/>
          <w:color w:val="1F2937"/>
          <w:sz w:val="19"/>
          <w:szCs w:val="19"/>
        </w:rPr>
        <w:t xml:space="preserve">Pilot = Phases 0–1; rollout = Phase 2. Operations and maintenance are typically 15–20% of build cost per year and include the helpdesk, bug fixes, minor enhancements and rule updates.</w:t>
      </w:r>
    </w:p>
    <w:p>
      <w:pPr>
        <w:pStyle w:val="ListParagraph"/>
        <w:keepLines/>
        <w:numPr>
          <w:ilvl w:val="0"/>
          <w:numId w:val="2"/>
        </w:numPr>
        <w:spacing w:after="40" w:line="246"/>
      </w:pPr>
      <w:r>
        <w:rPr>
          <w:rFonts w:ascii="Arial" w:cs="Arial" w:eastAsia="Arial" w:hAnsi="Arial"/>
          <w:color w:val="1F2937"/>
          <w:sz w:val="19"/>
          <w:szCs w:val="19"/>
        </w:rPr>
        <w:t xml:space="preserve">Infrastructure assumes a MeitY-empanelled cloud. If hosted in the State Data Centre, part of this cost is absorbed by the state.</w:t>
      </w:r>
    </w:p>
    <w:p>
      <w:pPr>
        <w:pStyle w:val="ListParagraph"/>
        <w:keepLines/>
        <w:numPr>
          <w:ilvl w:val="0"/>
          <w:numId w:val="2"/>
        </w:numPr>
        <w:spacing w:after="40" w:line="246"/>
      </w:pPr>
      <w:r>
        <w:rPr>
          <w:rFonts w:ascii="Arial" w:cs="Arial" w:eastAsia="Arial" w:hAnsi="Arial"/>
          <w:color w:val="1F2937"/>
          <w:sz w:val="19"/>
          <w:szCs w:val="19"/>
        </w:rPr>
        <w:t xml:space="preserve">All amounts exclude GST and are indicative (±25%) until scoped jointly with the Department.</w:t>
      </w:r>
    </w:p>
    <w:p>
      <w:pPr>
        <w:keepNext/>
        <w:pBdr>
          <w:bottom w:val="single" w:color="1F3A5F" w:sz="6" w:space="2"/>
        </w:pBdr>
        <w:spacing w:after="70" w:before="150"/>
      </w:pPr>
      <w:r>
        <w:rPr>
          <w:rFonts w:ascii="Arial" w:cs="Arial" w:eastAsia="Arial" w:hAnsi="Arial"/>
          <w:b/>
          <w:bCs/>
          <w:color w:val="B45309"/>
          <w:sz w:val="23"/>
          <w:szCs w:val="23"/>
        </w:rPr>
        <w:t xml:space="preserve">ii  </w:t>
      </w:r>
      <w:r>
        <w:rPr>
          <w:rFonts w:ascii="Arial" w:cs="Arial" w:eastAsia="Arial" w:hAnsi="Arial"/>
          <w:b/>
          <w:bCs/>
          <w:color w:val="1F3A5F"/>
          <w:sz w:val="21"/>
          <w:szCs w:val="21"/>
        </w:rPr>
        <w:t xml:space="preserve">SOURCES (PUBLIC INFORMATION, ACCESSED SEPTEMBER 2026)</w:t>
      </w:r>
    </w:p>
    <w:p>
      <w:pPr>
        <w:pStyle w:val="ListParagraph"/>
        <w:numPr>
          <w:ilvl w:val="0"/>
          <w:numId w:val="3"/>
        </w:numPr>
        <w:spacing w:after="20" w:line="220"/>
      </w:pPr>
      <w:r>
        <w:rPr>
          <w:rFonts w:ascii="Arial" w:cs="Arial" w:eastAsia="Arial" w:hAnsi="Arial"/>
          <w:color w:val="1F2937"/>
          <w:sz w:val="15"/>
          <w:szCs w:val="15"/>
        </w:rPr>
        <w:t xml:space="preserve">West Bengal cabinet portfolios: Tapas Roy gets Industry (ThePrint) — </w:t>
      </w:r>
      <w:r>
        <w:rPr>
          <w:rFonts w:ascii="Arial" w:cs="Arial" w:eastAsia="Arial" w:hAnsi="Arial"/>
          <w:color w:val="0F766E"/>
          <w:sz w:val="14"/>
          <w:szCs w:val="14"/>
        </w:rPr>
        <w:t xml:space="preserve">https://theprint.in/india/governance/west-bengal-cabinet-portfolios-swapan-gets-finance-tapas-roy-industry-cm-suvendu-keeps-home-land/2956201/</w:t>
      </w:r>
    </w:p>
    <w:p>
      <w:pPr>
        <w:pStyle w:val="ListParagraph"/>
        <w:numPr>
          <w:ilvl w:val="0"/>
          <w:numId w:val="3"/>
        </w:numPr>
        <w:spacing w:after="20" w:line="220"/>
      </w:pPr>
      <w:r>
        <w:rPr>
          <w:rFonts w:ascii="Arial" w:cs="Arial" w:eastAsia="Arial" w:hAnsi="Arial"/>
          <w:color w:val="1F2937"/>
          <w:sz w:val="15"/>
          <w:szCs w:val="15"/>
        </w:rPr>
        <w:t xml:space="preserve">Tapas Roy: portfolios incl. ICE, Public Enterprises, Non-Conventional &amp; Renewable Energy (Wikipedia) — </w:t>
      </w:r>
      <w:r>
        <w:rPr>
          <w:rFonts w:ascii="Arial" w:cs="Arial" w:eastAsia="Arial" w:hAnsi="Arial"/>
          <w:color w:val="0F766E"/>
          <w:sz w:val="14"/>
          <w:szCs w:val="14"/>
        </w:rPr>
        <w:t xml:space="preserve">https://en.wikipedia.org/wiki/Tapas_Roy</w:t>
      </w:r>
    </w:p>
    <w:p>
      <w:pPr>
        <w:pStyle w:val="ListParagraph"/>
        <w:numPr>
          <w:ilvl w:val="0"/>
          <w:numId w:val="3"/>
        </w:numPr>
        <w:spacing w:after="20" w:line="220"/>
      </w:pPr>
      <w:r>
        <w:rPr>
          <w:rFonts w:ascii="Arial" w:cs="Arial" w:eastAsia="Arial" w:hAnsi="Arial"/>
          <w:color w:val="1F2937"/>
          <w:sz w:val="15"/>
          <w:szCs w:val="15"/>
        </w:rPr>
        <w:t xml:space="preserve">Bengal to get new industrial policy before Durga Puja (The Statesman) — </w:t>
      </w:r>
      <w:r>
        <w:rPr>
          <w:rFonts w:ascii="Arial" w:cs="Arial" w:eastAsia="Arial" w:hAnsi="Arial"/>
          <w:color w:val="0F766E"/>
          <w:sz w:val="14"/>
          <w:szCs w:val="14"/>
        </w:rPr>
        <w:t xml:space="preserve">https://www.thestatesman.com/cities/kolkata/bengal-to-get-new-industrial-policy-before-durga-puja-says-suvendu-1503642181.html</w:t>
      </w:r>
    </w:p>
    <w:p>
      <w:pPr>
        <w:pStyle w:val="ListParagraph"/>
        <w:numPr>
          <w:ilvl w:val="0"/>
          <w:numId w:val="3"/>
        </w:numPr>
        <w:spacing w:after="20" w:line="220"/>
      </w:pPr>
      <w:r>
        <w:rPr>
          <w:rFonts w:ascii="Arial" w:cs="Arial" w:eastAsia="Arial" w:hAnsi="Arial"/>
          <w:color w:val="1F2937"/>
          <w:sz w:val="15"/>
          <w:szCs w:val="15"/>
        </w:rPr>
        <w:t xml:space="preserve">WB to link industrial incentives with job creation (Business Standard) — </w:t>
      </w:r>
      <w:r>
        <w:rPr>
          <w:rFonts w:ascii="Arial" w:cs="Arial" w:eastAsia="Arial" w:hAnsi="Arial"/>
          <w:color w:val="0F766E"/>
          <w:sz w:val="14"/>
          <w:szCs w:val="14"/>
        </w:rPr>
        <w:t xml:space="preserve">https://www.business-standard.com/economy/news/wb-plans-to-link-industrial-incentives-with-job-creation-industries-min-126080701652_1.html</w:t>
      </w:r>
    </w:p>
    <w:p>
      <w:pPr>
        <w:pStyle w:val="ListParagraph"/>
        <w:numPr>
          <w:ilvl w:val="0"/>
          <w:numId w:val="3"/>
        </w:numPr>
        <w:spacing w:after="20" w:line="220"/>
      </w:pPr>
      <w:r>
        <w:rPr>
          <w:rFonts w:ascii="Arial" w:cs="Arial" w:eastAsia="Arial" w:hAnsi="Arial"/>
          <w:color w:val="1F2937"/>
          <w:sz w:val="15"/>
          <w:szCs w:val="15"/>
        </w:rPr>
        <w:t xml:space="preserve">Bengal CM pitches business-friendly climate; ₹5,000 cr incentive; ₹100 cr fast track (Business Standard) — </w:t>
      </w:r>
      <w:r>
        <w:rPr>
          <w:rFonts w:ascii="Arial" w:cs="Arial" w:eastAsia="Arial" w:hAnsi="Arial"/>
          <w:color w:val="0F766E"/>
          <w:sz w:val="14"/>
          <w:szCs w:val="14"/>
        </w:rPr>
        <w:t xml:space="preserve">https://www.business-standard.com/industry/news/bengal-cm-suvendu-pitches-business-friendly-climate-to-industrialists-126091200545_1.html</w:t>
      </w:r>
    </w:p>
    <w:p>
      <w:pPr>
        <w:pStyle w:val="ListParagraph"/>
        <w:numPr>
          <w:ilvl w:val="0"/>
          <w:numId w:val="3"/>
        </w:numPr>
        <w:spacing w:after="20" w:line="220"/>
      </w:pPr>
      <w:r>
        <w:rPr>
          <w:rFonts w:ascii="Arial" w:cs="Arial" w:eastAsia="Arial" w:hAnsi="Arial"/>
          <w:color w:val="1F2937"/>
          <w:sz w:val="15"/>
          <w:szCs w:val="15"/>
        </w:rPr>
        <w:t xml:space="preserve">Investors eye West Bengal as new policy promises land, security and growth (The Week) — </w:t>
      </w:r>
      <w:r>
        <w:rPr>
          <w:rFonts w:ascii="Arial" w:cs="Arial" w:eastAsia="Arial" w:hAnsi="Arial"/>
          <w:color w:val="0F766E"/>
          <w:sz w:val="14"/>
          <w:szCs w:val="14"/>
        </w:rPr>
        <w:t xml:space="preserve">https://www.theweek.in/news/india/2026/08/08/investors-eye-west-bengal-as-new-policy-promises-land-security-and-growth.html</w:t>
      </w:r>
    </w:p>
    <w:p>
      <w:pPr>
        <w:pStyle w:val="ListParagraph"/>
        <w:numPr>
          <w:ilvl w:val="0"/>
          <w:numId w:val="3"/>
        </w:numPr>
        <w:spacing w:after="20" w:line="220"/>
      </w:pPr>
      <w:r>
        <w:rPr>
          <w:rFonts w:ascii="Arial" w:cs="Arial" w:eastAsia="Arial" w:hAnsi="Arial"/>
          <w:color w:val="1F2937"/>
          <w:sz w:val="15"/>
          <w:szCs w:val="15"/>
        </w:rPr>
        <w:t xml:space="preserve">New industrial policy likely to give landowners stake in units (Free Press Journal) — </w:t>
      </w:r>
      <w:r>
        <w:rPr>
          <w:rFonts w:ascii="Arial" w:cs="Arial" w:eastAsia="Arial" w:hAnsi="Arial"/>
          <w:color w:val="0F766E"/>
          <w:sz w:val="14"/>
          <w:szCs w:val="14"/>
        </w:rPr>
        <w:t xml:space="preserve">https://www.freepressjournal.in/business/bengals-new-industrial-policy-likely-to-give-landowners-stake-in-new-industrial-units</w:t>
      </w:r>
    </w:p>
    <w:p>
      <w:pPr>
        <w:pStyle w:val="ListParagraph"/>
        <w:numPr>
          <w:ilvl w:val="0"/>
          <w:numId w:val="3"/>
        </w:numPr>
        <w:spacing w:after="20" w:line="220"/>
      </w:pPr>
      <w:r>
        <w:rPr>
          <w:rFonts w:ascii="Arial" w:cs="Arial" w:eastAsia="Arial" w:hAnsi="Arial"/>
          <w:color w:val="1F2937"/>
          <w:sz w:val="15"/>
          <w:szCs w:val="15"/>
        </w:rPr>
        <w:t xml:space="preserve">Bengal govt to finalise new land policy after talks with industry (The Hans India) — </w:t>
      </w:r>
      <w:r>
        <w:rPr>
          <w:rFonts w:ascii="Arial" w:cs="Arial" w:eastAsia="Arial" w:hAnsi="Arial"/>
          <w:color w:val="0F766E"/>
          <w:sz w:val="14"/>
          <w:szCs w:val="14"/>
        </w:rPr>
        <w:t xml:space="preserve">https://www.thehansindia.com/kolkata/bengal-govt-to-finalise-new-land-policy-after-talks-with-industry-1106896</w:t>
      </w:r>
    </w:p>
    <w:p>
      <w:pPr>
        <w:pStyle w:val="ListParagraph"/>
        <w:numPr>
          <w:ilvl w:val="0"/>
          <w:numId w:val="3"/>
        </w:numPr>
        <w:spacing w:after="20" w:line="220"/>
      </w:pPr>
      <w:r>
        <w:rPr>
          <w:rFonts w:ascii="Arial" w:cs="Arial" w:eastAsia="Arial" w:hAnsi="Arial"/>
          <w:color w:val="1F2937"/>
          <w:sz w:val="15"/>
          <w:szCs w:val="15"/>
        </w:rPr>
        <w:t xml:space="preserve">Bengal to repurpose unused industrial land bank in Burdwan (The Statesman) — </w:t>
      </w:r>
      <w:r>
        <w:rPr>
          <w:rFonts w:ascii="Arial" w:cs="Arial" w:eastAsia="Arial" w:hAnsi="Arial"/>
          <w:color w:val="0F766E"/>
          <w:sz w:val="14"/>
          <w:szCs w:val="14"/>
        </w:rPr>
        <w:t xml:space="preserve">https://www.thestatesman.com/cities/kolkata/bengal-to-repurpose-unused-industrial-land-bank-in-burdwan-1503638399.html</w:t>
      </w:r>
    </w:p>
    <w:p>
      <w:pPr>
        <w:pStyle w:val="ListParagraph"/>
        <w:numPr>
          <w:ilvl w:val="0"/>
          <w:numId w:val="3"/>
        </w:numPr>
        <w:spacing w:after="20" w:line="220"/>
      </w:pPr>
      <w:r>
        <w:rPr>
          <w:rFonts w:ascii="Arial" w:cs="Arial" w:eastAsia="Arial" w:hAnsi="Arial"/>
          <w:color w:val="1F2937"/>
          <w:sz w:val="15"/>
          <w:szCs w:val="15"/>
        </w:rPr>
        <w:t xml:space="preserve">West Bengal overhauls Silpa Sathi portal (Whalesbook) — </w:t>
      </w:r>
      <w:r>
        <w:rPr>
          <w:rFonts w:ascii="Arial" w:cs="Arial" w:eastAsia="Arial" w:hAnsi="Arial"/>
          <w:color w:val="0F766E"/>
          <w:sz w:val="14"/>
          <w:szCs w:val="14"/>
        </w:rPr>
        <w:t xml:space="preserve">https://www.whalesbook.com/news/English/real-estate/West-Bengal-Overhauls-Silpa-Sathi-Portal-for-Faster-Business-Clearances/6a7fc8206ffbe1e6461d260a</w:t>
      </w:r>
    </w:p>
    <w:p>
      <w:pPr>
        <w:pStyle w:val="ListParagraph"/>
        <w:numPr>
          <w:ilvl w:val="0"/>
          <w:numId w:val="3"/>
        </w:numPr>
        <w:spacing w:after="20" w:line="220"/>
      </w:pPr>
      <w:r>
        <w:rPr>
          <w:rFonts w:ascii="Arial" w:cs="Arial" w:eastAsia="Arial" w:hAnsi="Arial"/>
          <w:color w:val="1F2937"/>
          <w:sz w:val="15"/>
          <w:szCs w:val="15"/>
        </w:rPr>
        <w:t xml:space="preserve">Silpa Sathi: About the portal — </w:t>
      </w:r>
      <w:r>
        <w:rPr>
          <w:rFonts w:ascii="Arial" w:cs="Arial" w:eastAsia="Arial" w:hAnsi="Arial"/>
          <w:color w:val="0F766E"/>
          <w:sz w:val="14"/>
          <w:szCs w:val="14"/>
        </w:rPr>
        <w:t xml:space="preserve">https://silpasathi.wb.gov.in/about-silpasathi</w:t>
      </w:r>
    </w:p>
    <w:p>
      <w:pPr>
        <w:pStyle w:val="ListParagraph"/>
        <w:numPr>
          <w:ilvl w:val="0"/>
          <w:numId w:val="3"/>
        </w:numPr>
        <w:spacing w:after="20" w:line="220"/>
      </w:pPr>
      <w:r>
        <w:rPr>
          <w:rFonts w:ascii="Arial" w:cs="Arial" w:eastAsia="Arial" w:hAnsi="Arial"/>
          <w:color w:val="1F2937"/>
          <w:sz w:val="15"/>
          <w:szCs w:val="15"/>
        </w:rPr>
        <w:t xml:space="preserve">West Bengal's manufacturing paradox: FY 2026-27 budget (ORF) — </w:t>
      </w:r>
      <w:r>
        <w:rPr>
          <w:rFonts w:ascii="Arial" w:cs="Arial" w:eastAsia="Arial" w:hAnsi="Arial"/>
          <w:color w:val="0F766E"/>
          <w:sz w:val="14"/>
          <w:szCs w:val="14"/>
        </w:rPr>
        <w:t xml:space="preserve">https://www.orfonline.org/expert-speak/west-bengal-s-manufacturing-paradox-reading-the-fy-2026-27-state-budget</w:t>
      </w:r>
    </w:p>
    <w:p>
      <w:pPr>
        <w:pStyle w:val="ListParagraph"/>
        <w:numPr>
          <w:ilvl w:val="0"/>
          <w:numId w:val="3"/>
        </w:numPr>
        <w:spacing w:after="20" w:line="220"/>
      </w:pPr>
      <w:r>
        <w:rPr>
          <w:rFonts w:ascii="Arial" w:cs="Arial" w:eastAsia="Arial" w:hAnsi="Arial"/>
          <w:color w:val="1F2937"/>
          <w:sz w:val="15"/>
          <w:szCs w:val="15"/>
        </w:rPr>
        <w:t xml:space="preserve">Bengal Budget 2026: GCC policy, AI incentives, ₹5,000 cr push (Kolkata Calling) — </w:t>
      </w:r>
      <w:r>
        <w:rPr>
          <w:rFonts w:ascii="Arial" w:cs="Arial" w:eastAsia="Arial" w:hAnsi="Arial"/>
          <w:color w:val="0F766E"/>
          <w:sz w:val="14"/>
          <w:szCs w:val="14"/>
        </w:rPr>
        <w:t xml:space="preserve">https://www.kolkatacalling.com/news-details/corporate-expansion-business-news/bengal-budget-2026-5000-crore-incentives-gcc-policy-and-ai-push-signal-new-growth-strategy</w:t>
      </w:r>
    </w:p>
    <w:p>
      <w:pPr>
        <w:pStyle w:val="ListParagraph"/>
        <w:numPr>
          <w:ilvl w:val="0"/>
          <w:numId w:val="3"/>
        </w:numPr>
        <w:spacing w:after="20" w:line="220"/>
      </w:pPr>
      <w:r>
        <w:rPr>
          <w:rFonts w:ascii="Arial" w:cs="Arial" w:eastAsia="Arial" w:hAnsi="Arial"/>
          <w:color w:val="1F2937"/>
          <w:sz w:val="15"/>
          <w:szCs w:val="15"/>
        </w:rPr>
        <w:t xml:space="preserve">Four toll-free helplines against extortion (News On AIR) — </w:t>
      </w:r>
      <w:r>
        <w:rPr>
          <w:rFonts w:ascii="Arial" w:cs="Arial" w:eastAsia="Arial" w:hAnsi="Arial"/>
          <w:color w:val="0F766E"/>
          <w:sz w:val="14"/>
          <w:szCs w:val="14"/>
        </w:rPr>
        <w:t xml:space="preserve">https://newsonair.gov.in/four-toll-free-helplines-launched-in-west-bengal-to-address-extortion-and-illegal-activities/</w:t>
      </w:r>
    </w:p>
    <w:p>
      <w:pPr>
        <w:pStyle w:val="ListParagraph"/>
        <w:numPr>
          <w:ilvl w:val="0"/>
          <w:numId w:val="3"/>
        </w:numPr>
        <w:spacing w:after="20" w:line="220"/>
      </w:pPr>
      <w:r>
        <w:rPr>
          <w:rFonts w:ascii="Arial" w:cs="Arial" w:eastAsia="Arial" w:hAnsi="Arial"/>
          <w:color w:val="1F2937"/>
          <w:sz w:val="15"/>
          <w:szCs w:val="15"/>
        </w:rPr>
        <w:t xml:space="preserve">Poor implementation track record of Bengal business summits (Business Standard) — </w:t>
      </w:r>
      <w:r>
        <w:rPr>
          <w:rFonts w:ascii="Arial" w:cs="Arial" w:eastAsia="Arial" w:hAnsi="Arial"/>
          <w:color w:val="0F766E"/>
          <w:sz w:val="14"/>
          <w:szCs w:val="14"/>
        </w:rPr>
        <w:t xml:space="preserve">https://www.business-standard.com/article/economy-policy/with-40-implementation-record-bengal-business-summit-was-bound-to-fail-117012400318_1.html</w:t>
      </w:r>
    </w:p>
    <w:p>
      <w:pPr>
        <w:pStyle w:val="ListParagraph"/>
        <w:numPr>
          <w:ilvl w:val="0"/>
          <w:numId w:val="3"/>
        </w:numPr>
        <w:spacing w:after="20" w:line="220"/>
      </w:pPr>
      <w:r>
        <w:rPr>
          <w:rFonts w:ascii="Arial" w:cs="Arial" w:eastAsia="Arial" w:hAnsi="Arial"/>
          <w:color w:val="1F2937"/>
          <w:sz w:val="15"/>
          <w:szCs w:val="15"/>
        </w:rPr>
        <w:t xml:space="preserve">EPFO may give states real-time PM-VBRY data (Business Standard) — </w:t>
      </w:r>
      <w:r>
        <w:rPr>
          <w:rFonts w:ascii="Arial" w:cs="Arial" w:eastAsia="Arial" w:hAnsi="Arial"/>
          <w:color w:val="0F766E"/>
          <w:sz w:val="14"/>
          <w:szCs w:val="14"/>
        </w:rPr>
        <w:t xml:space="preserve">https://www.business-standard.com/economy/news/epfo-states-real-time-pm-vbry-data-district-outreach-126082100793_1.html</w:t>
      </w:r>
    </w:p>
    <w:p>
      <w:pPr>
        <w:pStyle w:val="ListParagraph"/>
        <w:numPr>
          <w:ilvl w:val="0"/>
          <w:numId w:val="3"/>
        </w:numPr>
        <w:spacing w:after="20" w:line="220"/>
      </w:pPr>
      <w:r>
        <w:rPr>
          <w:rFonts w:ascii="Arial" w:cs="Arial" w:eastAsia="Arial" w:hAnsi="Arial"/>
          <w:color w:val="1F2937"/>
          <w:sz w:val="15"/>
          <w:szCs w:val="15"/>
        </w:rPr>
        <w:t xml:space="preserve">CCTS compliance obligations enter into force for seven sectors (ICAP) — </w:t>
      </w:r>
      <w:r>
        <w:rPr>
          <w:rFonts w:ascii="Arial" w:cs="Arial" w:eastAsia="Arial" w:hAnsi="Arial"/>
          <w:color w:val="0F766E"/>
          <w:sz w:val="14"/>
          <w:szCs w:val="14"/>
        </w:rPr>
        <w:t xml:space="preserve">https://icapcarbonaction.com/en/news/compliance-obligations-under-indias-carbon-credit-trading-scheme-enter-force-seven-sectors</w:t>
      </w:r>
    </w:p>
    <w:p>
      <w:pPr>
        <w:pStyle w:val="ListParagraph"/>
        <w:numPr>
          <w:ilvl w:val="0"/>
          <w:numId w:val="3"/>
        </w:numPr>
        <w:spacing w:after="20" w:line="220"/>
      </w:pPr>
      <w:r>
        <w:rPr>
          <w:rFonts w:ascii="Arial" w:cs="Arial" w:eastAsia="Arial" w:hAnsi="Arial"/>
          <w:color w:val="1F2937"/>
          <w:sz w:val="15"/>
          <w:szCs w:val="15"/>
        </w:rPr>
        <w:t xml:space="preserve">OCEMS status and CPCB online monitoring (PIB) — </w:t>
      </w:r>
      <w:r>
        <w:rPr>
          <w:rFonts w:ascii="Arial" w:cs="Arial" w:eastAsia="Arial" w:hAnsi="Arial"/>
          <w:color w:val="0F766E"/>
          <w:sz w:val="14"/>
          <w:szCs w:val="14"/>
        </w:rPr>
        <w:t xml:space="preserve">https://www.pib.gov.in/PressReleasePage.aspx?PRID=2225207&amp;reg=48&amp;lang=2</w:t>
      </w:r>
    </w:p>
    <w:p>
      <w:pPr>
        <w:pStyle w:val="ListParagraph"/>
        <w:numPr>
          <w:ilvl w:val="0"/>
          <w:numId w:val="3"/>
        </w:numPr>
        <w:spacing w:after="20" w:line="220"/>
      </w:pPr>
      <w:r>
        <w:rPr>
          <w:rFonts w:ascii="Arial" w:cs="Arial" w:eastAsia="Arial" w:hAnsi="Arial"/>
          <w:color w:val="1F2937"/>
          <w:sz w:val="15"/>
          <w:szCs w:val="15"/>
        </w:rPr>
        <w:t xml:space="preserve">Darjeeling tea adulteration and traceability (PIB summaries, May 2026) — </w:t>
      </w:r>
      <w:r>
        <w:rPr>
          <w:rFonts w:ascii="Arial" w:cs="Arial" w:eastAsia="Arial" w:hAnsi="Arial"/>
          <w:color w:val="0F766E"/>
          <w:sz w:val="14"/>
          <w:szCs w:val="14"/>
        </w:rPr>
        <w:t xml:space="preserve">https://www.legacyias.com/pib-summaries-06-may-2026/</w:t>
      </w:r>
    </w:p>
    <w:p>
      <w:pPr>
        <w:spacing w:after="60" w:before="80" w:line="252"/>
      </w:pPr>
      <w:r>
        <w:rPr>
          <w:rFonts w:ascii="Arial" w:cs="Arial" w:eastAsia="Arial" w:hAnsi="Arial"/>
          <w:i/>
          <w:iCs/>
          <w:color w:val="5B6472"/>
          <w:sz w:val="16"/>
          <w:szCs w:val="16"/>
        </w:rPr>
        <w:t xml:space="preserve">Status descriptions are based on public reports up to September 2026 and should be confirmed with the Department before formal submission.</w:t>
      </w:r>
    </w:p>
    <w:sectPr>
      <w:footerReference w:type="default" r:id="rId7"/>
      <w:pgSz w:w="11906" w:h="16838" w:orient="portrait"/>
      <w:pgMar w:top="700" w:right="794" w:bottom="700" w:left="794" w:header="708"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472"/>
        <w:sz w:val="14"/>
        <w:szCs w:val="14"/>
      </w:rPr>
      <w:t xml:space="preserve">[Company Name]  ·  Proposal to the ICE Department, Government of West Bengal  ·  Page </w:t>
    </w:r>
    <w:r>
      <w:rPr>
        <w:rFonts w:ascii="Arial" w:cs="Arial" w:eastAsia="Arial" w:hAnsi="Arial"/>
        <w:color w:val="5B64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rPr>
        <w:color w:val="0F766E"/>
      </w:rPr>
    </w:lvl>
  </w:abstractNum>
  <w:abstractNum w:abstractNumId="3" w15:restartNumberingAfterBreak="0">
    <w:multiLevelType w:val="hybridMultilevel"/>
    <w:lvl w:ilvl="0" w15:tentative="1">
      <w:start w:val="1"/>
      <w:numFmt w:val="decimal"/>
      <w:lvlText w:val="%1."/>
      <w:lvlJc w:val="left"/>
      <w:pPr>
        <w:ind w:left="360" w:hanging="300"/>
      </w:pPr>
      <w:rPr>
        <w:sz w:val="15"/>
        <w:szCs w:val="1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Shilpa Shakti Digital Stack: Six initiatives for the ICE Department, Government of West Bengal</dc:title>
  <dc:creator>[Company Name]</dc:creator>
  <cp:lastModifiedBy>Un-named</cp:lastModifiedBy>
  <cp:revision>1</cp:revision>
  <dcterms:created xsi:type="dcterms:W3CDTF">2026-09-24T05:32:07.550Z</dcterms:created>
  <dcterms:modified xsi:type="dcterms:W3CDTF">2026-09-24T05:32:07.550Z</dcterms:modified>
</cp:coreProperties>
</file>

<file path=docProps/custom.xml><?xml version="1.0" encoding="utf-8"?>
<Properties xmlns="http://schemas.openxmlformats.org/officeDocument/2006/custom-properties" xmlns:vt="http://schemas.openxmlformats.org/officeDocument/2006/docPropsVTypes"/>
</file>