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Aptos Display" w:hAnsi="Aptos Display"/>
          <w:b/>
          <w:color w:val="122430"/>
          <w:sz w:val="80"/>
        </w:rPr>
        <w:t>OTPROOF</w:t>
      </w:r>
    </w:p>
    <w:p>
      <w:pPr>
        <w:spacing w:after="440"/>
      </w:pPr>
      <w:r>
        <w:rPr>
          <w:color w:val="25A99A"/>
          <w:sz w:val="34"/>
        </w:rPr>
        <w:t>AI-powered industrial vulnerability applicability and remediation assurance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</w:tcPr>
          <w:p>
            <w:pPr>
              <w:jc w:val="center"/>
            </w:pPr>
            <w:r/>
            <w:r>
              <w:rPr>
                <w:b/>
                <w:color w:val="25A99A"/>
                <w:sz w:val="44"/>
              </w:rPr>
              <w:t>80</w:t>
              <w:br/>
            </w:r>
            <w:r>
              <w:rPr>
                <w:color w:val="63777C"/>
                <w:sz w:val="16"/>
              </w:rPr>
              <w:t>fictional assets</w:t>
            </w:r>
          </w:p>
        </w:tc>
        <w:tc>
          <w:tcPr>
            <w:tcW w:type="dxa" w:w="3278"/>
            <w:vAlign w:val="center"/>
          </w:tcPr>
          <w:p>
            <w:pPr>
              <w:jc w:val="center"/>
            </w:pPr>
            <w:r/>
            <w:r>
              <w:rPr>
                <w:b/>
                <w:color w:val="25A99A"/>
                <w:sz w:val="44"/>
              </w:rPr>
              <w:t>3</w:t>
              <w:br/>
            </w:r>
            <w:r>
              <w:rPr>
                <w:color w:val="63777C"/>
                <w:sz w:val="16"/>
              </w:rPr>
              <w:t>real CISA advisories</w:t>
            </w:r>
          </w:p>
        </w:tc>
        <w:tc>
          <w:tcPr>
            <w:tcW w:type="dxa" w:w="3278"/>
            <w:vAlign w:val="center"/>
          </w:tcPr>
          <w:p>
            <w:pPr>
              <w:jc w:val="center"/>
            </w:pPr>
            <w:r/>
            <w:r>
              <w:rPr>
                <w:b/>
                <w:color w:val="25A99A"/>
                <w:sz w:val="44"/>
              </w:rPr>
              <w:t>0</w:t>
              <w:br/>
            </w:r>
            <w:r>
              <w:rPr>
                <w:color w:val="63777C"/>
                <w:sz w:val="16"/>
              </w:rPr>
              <w:t>OT device actions</w:t>
            </w:r>
          </w:p>
        </w:tc>
      </w:tr>
    </w:tbl>
    <w:p>
      <w:pPr>
        <w:spacing w:after="0"/>
      </w:pPr>
    </w:p>
    <w:p>
      <w:pPr>
        <w:pStyle w:val="Heading2"/>
      </w:pPr>
      <w:r>
        <w:t>The idea</w:t>
      </w:r>
    </w:p>
    <w:p>
      <w:pPr>
        <w:keepLines/>
      </w:pPr>
      <w:r>
        <w:t>Turn public industrial security advisories and operator-maintained asset lists into a reviewable, evidence-backed workflow. Deterministic rules identify exact product and version candidates; people resolve uncertainty and verify remediation.</w:t>
      </w:r>
    </w:p>
    <w:p>
      <w:pPr>
        <w:pStyle w:val="Heading2"/>
      </w:pPr>
      <w:r>
        <w:t>A practical, safety-conscious MVP</w:t>
      </w:r>
    </w:p>
    <w:p>
      <w:pPr>
        <w:keepLines/>
      </w:pPr>
      <w:r>
        <w:t>A local dashboard, validated CSV/XLSX inventory import, official public-source ingestion, explainable applicability, engineer/reviewer/approver workflow, audit trail, and assurance report. No OT network interaction is required.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vAlign w:val="center"/>
          </w:tcPr>
          <w:p>
            <w:pPr>
              <w:spacing w:before="80" w:after="80"/>
            </w:pPr>
            <w:r>
              <w:rPr>
                <w:b/>
                <w:color w:val="122430"/>
                <w:sz w:val="16"/>
              </w:rPr>
              <w:t>Eureka Hackathon · Product concept and working MVP · 26 October 2026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b/>
          <w:color w:val="25A99A"/>
          <w:sz w:val="16"/>
        </w:rPr>
        <w:t>PROJECT IDEA  /  OT CYBERSECURITY</w:t>
      </w:r>
    </w:p>
    <w:p>
      <w:pPr>
        <w:pStyle w:val="Heading1"/>
      </w:pPr>
      <w:r>
        <w:t>The problem sits between the inventory and the advisory</w:t>
      </w:r>
    </w:p>
    <w:p>
      <w:pPr>
        <w:spacing w:after="260"/>
      </w:pPr>
      <w:r>
        <w:rPr>
          <w:color w:val="63777C"/>
          <w:sz w:val="22"/>
        </w:rPr>
        <w:t>A published CVE is not enough to know which operational asset needs engineering attention.</w:t>
      </w:r>
    </w:p>
    <w:p>
      <w:pPr>
        <w:pStyle w:val="Heading2"/>
      </w:pPr>
      <w:r>
        <w:t>Three records that rarely line up cleanly</w:t>
      </w:r>
    </w:p>
    <w:p>
      <w:pPr>
        <w:keepLines/>
      </w:pPr>
      <w:r>
        <w:t>Operators track asset names, models, software/firmware, site, criticality, and owners across maintenance records and spreadsheets. Advisory publishers use product families, version ranges, configuration conditions, and vendor terminology. Security and engineering teams reconcile them under time pressure.</w:t>
      </w:r>
    </w:p>
    <w:p>
      <w:pPr>
        <w:pStyle w:val="Heading2"/>
      </w:pPr>
      <w:r>
        <w:t>False certainty has a cost</w:t>
      </w:r>
    </w:p>
    <w:p>
      <w:pPr>
        <w:keepLines/>
      </w:pPr>
      <w:r>
        <w:t>A superficial product-name match can create noise; a missing or stale version can hide a relevant case. OT teams must also assess process impact, approved change windows, vendor support, and operational safety before acting.</w:t>
      </w:r>
    </w:p>
    <w:p>
      <w:pPr>
        <w:pStyle w:val="Heading2"/>
      </w:pPr>
      <w:r>
        <w:t>Why now</w:t>
      </w:r>
    </w:p>
    <w:p>
      <w:pPr>
        <w:keepLines/>
      </w:pPr>
      <w:r>
        <w:t>NIST SP 800-82 Rev. 3 identifies accurate inventory details such as vendor, model, software/firmware version, location, and roles as useful to OT risk management. It also recognizes that active collection methods may affect OT and need careful consideration. OTProof begins with an operator-supplied inventory and stays out of the control network.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vAlign w:val="center"/>
          </w:tcPr>
          <w:p>
            <w:pPr>
              <w:spacing w:before="80" w:after="80"/>
            </w:pPr>
            <w:r>
              <w:rPr>
                <w:b/>
                <w:color w:val="122430"/>
                <w:sz w:val="16"/>
              </w:rPr>
              <w:t>The product produces a source-backed triage candidate, not a safety, exploitability, or remediation verdict.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b/>
          <w:color w:val="25A99A"/>
          <w:sz w:val="16"/>
        </w:rPr>
        <w:t>PROJECT IDEA  /  OT CYBERSECURITY</w:t>
      </w:r>
    </w:p>
    <w:p>
      <w:pPr>
        <w:pStyle w:val="Heading1"/>
      </w:pPr>
      <w:r>
        <w:t>A single workflow from source to verified evidence</w:t>
      </w:r>
    </w:p>
    <w:p>
      <w:pPr>
        <w:spacing w:after="260"/>
      </w:pPr>
      <w:r>
        <w:rPr>
          <w:color w:val="63777C"/>
          <w:sz w:val="22"/>
        </w:rPr>
        <w:t>Every finding preserves the records and decisions needed to explain what happened.</w:t>
      </w:r>
    </w:p>
    <w:p>
      <w:pPr>
        <w:pStyle w:val="Heading2"/>
      </w:pPr>
      <w:r>
        <w:t>1 · Load and validate inventory</w:t>
      </w:r>
    </w:p>
    <w:p>
      <w:pPr>
        <w:keepLines/>
      </w:pPr>
      <w:r>
        <w:t>Import a CSV or XLSX file with asset identity, vendor, product/model, version, type, site, criticality, owner, and last verification date. Reject duplicate identifiers, oversized uploads, and macro-enabled workbooks.</w:t>
      </w:r>
    </w:p>
    <w:p>
      <w:pPr>
        <w:pStyle w:val="Heading2"/>
      </w:pPr>
      <w:r>
        <w:t>2 · Import approved advisory data</w:t>
      </w:r>
    </w:p>
    <w:p>
      <w:pPr>
        <w:keepLines/>
      </w:pPr>
      <w:r>
        <w:t>Fetch CISA ICS RSS/advisory/CSAF, CISA KEV JSON, NVD CVE API 2.0, or a bulletin on an approved vendor HTTPS domain. Cache payloads and preserve source URLs and timestamps.</w:t>
      </w:r>
    </w:p>
    <w:p>
      <w:pPr>
        <w:pStyle w:val="Heading2"/>
      </w:pPr>
      <w:r>
        <w:t>3–6 · Compare, review, and assure</w:t>
      </w:r>
    </w:p>
    <w:p>
      <w:pPr>
        <w:keepLines/>
      </w:pPr>
      <w:r>
        <w:t>The deterministic matcher returns applicable, not applicable, or manual verification. An engineer records the applicability decision and rationale; an approver accepts or rejects a proposed ticket; evidence is attached and separately verified by an approver; JSON/PDF reports retain sources and audit history.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vAlign w:val="center"/>
          </w:tcPr>
          <w:p>
            <w:pPr>
              <w:spacing w:before="80" w:after="80"/>
            </w:pPr>
            <w:r>
              <w:rPr>
                <w:b/>
                <w:color w:val="122430"/>
                <w:sz w:val="16"/>
              </w:rPr>
              <w:t>A ticket or generated narrative cannot mark a finding remediated. Only an approver verification tied to evidence can.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b/>
          <w:color w:val="25A99A"/>
          <w:sz w:val="16"/>
        </w:rPr>
        <w:t>PROJECT IDEA  /  OT CYBERSECURITY</w:t>
      </w:r>
    </w:p>
    <w:p>
      <w:pPr>
        <w:pStyle w:val="Heading1"/>
      </w:pPr>
      <w:r>
        <w:t>A modular, offline-capable architecture</w:t>
      </w:r>
    </w:p>
    <w:p>
      <w:pPr>
        <w:spacing w:after="260"/>
      </w:pPr>
      <w:r>
        <w:rPr>
          <w:color w:val="63777C"/>
          <w:sz w:val="22"/>
        </w:rPr>
        <w:t>One maintainable service keeps source ingestion, comparison, workflow, and evidence close together.</w:t>
      </w:r>
    </w:p>
    <w:p>
      <w:pPr>
        <w:pStyle w:val="Heading2"/>
      </w:pPr>
      <w:r>
        <w:t>Built for the demo and a controlled pilot</w:t>
      </w:r>
    </w:p>
    <w:p>
      <w:pPr>
        <w:keepLines/>
      </w:pPr>
      <w:r>
        <w:t>React + TypeScript dashboard → FastAPI/Pydantic API → SQLAlchemy and PostgreSQL. SQLite supports a quick local run. Alembic manages schema changes. ReportLab exports assurance reports. Docker Compose packages the database, API, and frontend.</w:t>
      </w:r>
    </w:p>
    <w:p>
      <w:pPr>
        <w:pStyle w:val="Heading2"/>
      </w:pPr>
      <w:r>
        <w:t>Public sources only</w:t>
      </w:r>
    </w:p>
    <w:p>
      <w:pPr>
        <w:keepLines/>
      </w:pPr>
      <w:r>
        <w:t>The ingestion service uses documented CISA RSS/JSON, NVD CVE API 2.0, CISA-linked CSAF documents, and an allowlist of vendor bulletin domains. Conditional cache headers, a configurable TTL, bounded retries, and stale-copy fallback support outages.</w:t>
      </w:r>
    </w:p>
    <w:p>
      <w:pPr>
        <w:pStyle w:val="Heading2"/>
      </w:pPr>
      <w:r>
        <w:t>Explicit trust boundaries</w:t>
      </w:r>
    </w:p>
    <w:p>
      <w:pPr>
        <w:keepLines/>
      </w:pPr>
      <w:r>
        <w:t>There is no OT interface, protocol client, scanner, exploit capability, or control action. The optional local LLM adapter receives advisory text only and cannot write applicability decisions or workflow status.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vAlign w:val="center"/>
          </w:tcPr>
          <w:p>
            <w:pPr>
              <w:spacing w:before="80" w:after="80"/>
            </w:pPr>
            <w:r>
              <w:rPr>
                <w:b/>
                <w:color w:val="122430"/>
                <w:sz w:val="16"/>
              </w:rPr>
              <w:t>Deployment for real operators requires managed identity, secret rotation, allowlisted egress, backup/restore, and independent security review.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b/>
          <w:color w:val="25A99A"/>
          <w:sz w:val="16"/>
        </w:rPr>
        <w:t>PROJECT IDEA  /  OT CYBERSECURITY</w:t>
      </w:r>
    </w:p>
    <w:p>
      <w:pPr>
        <w:pStyle w:val="Heading1"/>
      </w:pPr>
      <w:r>
        <w:t>Deterministic matching earns each conclusion</w:t>
      </w:r>
    </w:p>
    <w:p>
      <w:pPr>
        <w:spacing w:after="260"/>
      </w:pPr>
      <w:r>
        <w:rPr>
          <w:color w:val="63777C"/>
          <w:sz w:val="22"/>
        </w:rPr>
        <w:t>Product identity and version evidence are more useful than an unexplained similarity score.</w:t>
      </w:r>
    </w:p>
    <w:p>
      <w:pPr>
        <w:pStyle w:val="Heading2"/>
      </w:pPr>
      <w:r>
        <w:t>Supported comparisons</w:t>
      </w:r>
    </w:p>
    <w:p>
      <w:pPr>
        <w:keepLines/>
      </w:pPr>
      <w:r>
        <w:t>A curated alias map normalizes a small set of known vendor/product variants. Exact normalized product identity is followed by conservative dotted-numeric version comparison against published equality or inclusive/exclusive bounds. Constraints in one NVD CPE match are conjunctive; alternatives remain separate candidate products.</w:t>
      </w:r>
    </w:p>
    <w:p>
      <w:pPr>
        <w:pStyle w:val="Heading2"/>
      </w:pPr>
      <w:r>
        <w:t>Abstain when evidence is incomplete</w:t>
      </w:r>
    </w:p>
    <w:p>
      <w:pPr>
        <w:keepLines/>
      </w:pPr>
      <w:r>
        <w:t>Missing firmware, unknown model, possible duplicate asset, inventory older than 180 days, unsupported suffix/version syntax, ambiguous product identity, and compound or negated NVD configurations require an engineering review. Semantic similarity never decides applicability.</w:t>
      </w:r>
    </w:p>
    <w:p>
      <w:pPr>
        <w:pStyle w:val="Heading2"/>
      </w:pPr>
      <w:r>
        <w:t>AI assists with reading, not deciding</w:t>
      </w:r>
    </w:p>
    <w:p>
      <w:pPr>
        <w:keepLines/>
      </w:pPr>
      <w:r>
        <w:t>An optional local Ollama-compatible model can draft structured product/version/CVE extraction, summaries, uncertainty explanations, and review suggestions. Pydantic validates the response and extracted identifiers/quotes are checked against the source text. The LLM is not used by the matcher or state machine.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vAlign w:val="center"/>
          </w:tcPr>
          <w:p>
            <w:pPr>
              <w:spacing w:before="80" w:after="80"/>
            </w:pPr>
            <w:r>
              <w:rPr>
                <w:b/>
                <w:color w:val="122430"/>
                <w:sz w:val="16"/>
              </w:rPr>
              <w:t>Default model name: Qwen2.5 7B Instruct via Ollama (Apache-2.0 model repository, MIT runtime). No inference was run for this MVP evaluation.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b/>
          <w:color w:val="25A99A"/>
          <w:sz w:val="16"/>
        </w:rPr>
        <w:t>PROJECT IDEA  /  OT CYBERSECURITY</w:t>
      </w:r>
    </w:p>
    <w:p>
      <w:pPr>
        <w:pStyle w:val="Heading1"/>
      </w:pPr>
      <w:r>
        <w:t>Human decisions create the assurance record</w:t>
      </w:r>
    </w:p>
    <w:p>
      <w:pPr>
        <w:spacing w:after="260"/>
      </w:pPr>
      <w:r>
        <w:rPr>
          <w:color w:val="63777C"/>
          <w:sz w:val="22"/>
        </w:rPr>
        <w:t>Separate technical applicability, remediation planning, approval, and evidence verification.</w:t>
      </w:r>
    </w:p>
    <w:p>
      <w:pPr>
        <w:pStyle w:val="Heading2"/>
      </w:pPr>
      <w:r>
        <w:t>Role-gated lifecycle</w:t>
      </w:r>
    </w:p>
    <w:p>
      <w:pPr>
        <w:keepLines/>
      </w:pPr>
      <w:r>
        <w:t>A reviewer can run analysis and record an applicable/not-applicable decision with a rationale. An engineer can propose a mitigation, owner, and due date. An approver independently accepts/rejects the ticket. Evidence is then attached with a hash and reference; an approver verifies a selected record and supplies a rationale.</w:t>
      </w:r>
    </w:p>
    <w:p>
      <w:pPr>
        <w:pStyle w:val="Heading2"/>
      </w:pPr>
      <w:r>
        <w:t>Audit and exports</w:t>
      </w:r>
    </w:p>
    <w:p>
      <w:pPr>
        <w:keepLines/>
      </w:pPr>
      <w:r>
        <w:t>Application actions create append-only audit events with actor, role, timestamp, entity, and details. The report includes source publication/update dates, matching reasons, human decisions, remediation state, evidence references/hashes, and audit history.</w:t>
      </w:r>
    </w:p>
    <w:p>
      <w:pPr>
        <w:pStyle w:val="Heading2"/>
      </w:pPr>
      <w:r>
        <w:t>What the MVP does not claim</w:t>
      </w:r>
    </w:p>
    <w:p>
      <w:pPr>
        <w:keepLines/>
      </w:pPr>
      <w:r>
        <w:t>Demo bearer tokens are intentionally visible and unsafe for production. The audit database is not WORM or cryptographically immutable. Evidence is text/metadata rather than binary attachments. No certification, compliance determination, or verified operational-risk reduction is claimed.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vAlign w:val="center"/>
          </w:tcPr>
          <w:p>
            <w:pPr>
              <w:spacing w:before="80" w:after="80"/>
            </w:pPr>
            <w:r>
              <w:rPr>
                <w:b/>
                <w:color w:val="122430"/>
                <w:sz w:val="16"/>
              </w:rPr>
              <w:t>The demo evidence is simulated. Verification changes application workflow status; it does not attest to a real plant modification.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b/>
          <w:color w:val="25A99A"/>
          <w:sz w:val="16"/>
        </w:rPr>
        <w:t>PROJECT IDEA  /  OT CYBERSECURITY</w:t>
      </w:r>
    </w:p>
    <w:p>
      <w:pPr>
        <w:pStyle w:val="Heading1"/>
      </w:pPr>
      <w:r>
        <w:t>Commercial opportunity: focused assurance around OT data</w:t>
      </w:r>
    </w:p>
    <w:p>
      <w:pPr>
        <w:spacing w:after="260"/>
      </w:pPr>
      <w:r>
        <w:rPr>
          <w:color w:val="63777C"/>
          <w:sz w:val="22"/>
        </w:rPr>
        <w:t>Potential users span operators, contractors, and service providers with different inventory systems.</w:t>
      </w:r>
    </w:p>
    <w:p>
      <w:pPr>
        <w:pStyle w:val="Heading2"/>
      </w:pPr>
      <w:r>
        <w:t>Interview targets</w:t>
      </w:r>
    </w:p>
    <w:p>
      <w:pPr>
        <w:keepLines/>
      </w:pPr>
      <w:r>
        <w:t>Water and wastewater utilities; energy operators; oil and gas infrastructure; industrial maintenance contractors; managed OT security service providers; and defense-support facilities. Likely champions are OT security leads, plant engineering managers, asset owners, CISOs, and service-practice owners.</w:t>
      </w:r>
    </w:p>
    <w:p>
      <w:pPr>
        <w:pStyle w:val="Heading2"/>
      </w:pPr>
      <w:r>
        <w:t>Competitive landscape</w:t>
      </w:r>
    </w:p>
    <w:p>
      <w:pPr>
        <w:keepLines/>
      </w:pPr>
      <w:r>
        <w:t>Claroty, Tenable, and Nozomi publicly describe broad OT asset visibility, vulnerability/exposure management, monitoring, and remediation workflows. ServiceNow and other GRC/IRM suites manage enterprise risk, controls, audit, and work processes. OTProof's possible wedge is a local, source-linked and conservative review workflow that may complement existing products; this is a hypothesis, not a demonstrated product advantage. Better evidence handover may support audit preparation and help operators review exposure sooner, but neither compliance outcomes nor risk reduction have been measured.</w:t>
      </w:r>
    </w:p>
    <w:p>
      <w:pPr>
        <w:pStyle w:val="Heading2"/>
      </w:pPr>
      <w:r>
        <w:t>Illustrative annual revenue model</w:t>
      </w:r>
    </w:p>
    <w:p>
      <w:pPr>
        <w:keepLines/>
      </w:pPr>
      <w:r>
        <w:t>Assume 3 licensed sites per customer at $36,000/site/year; $25,000 onboarding per new customer; 78% recurring software gross margin; and 40% onboarding-services gross margin. The scenarios below are arithmetic examples only—not bookings, market sizing, or a forecast.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</w:tcPr>
          <w:p>
            <w:r>
              <w:rPr>
                <w:b/>
                <w:sz w:val="15"/>
              </w:rPr>
              <w:t>Customers</w:t>
            </w:r>
          </w:p>
        </w:tc>
        <w:tc>
          <w:tcPr>
            <w:tcW w:type="dxa" w:w="1967"/>
          </w:tcPr>
          <w:p>
            <w:r>
              <w:rPr>
                <w:b/>
                <w:sz w:val="15"/>
              </w:rPr>
              <w:t>Sites</w:t>
            </w:r>
          </w:p>
        </w:tc>
        <w:tc>
          <w:tcPr>
            <w:tcW w:type="dxa" w:w="1967"/>
          </w:tcPr>
          <w:p>
            <w:r>
              <w:rPr>
                <w:b/>
                <w:sz w:val="15"/>
              </w:rPr>
              <w:t>Recurring ARR</w:t>
            </w:r>
          </w:p>
        </w:tc>
        <w:tc>
          <w:tcPr>
            <w:tcW w:type="dxa" w:w="1967"/>
          </w:tcPr>
          <w:p>
            <w:r>
              <w:rPr>
                <w:b/>
                <w:sz w:val="15"/>
              </w:rPr>
              <w:t>Year-1 revenue</w:t>
            </w:r>
          </w:p>
        </w:tc>
        <w:tc>
          <w:tcPr>
            <w:tcW w:type="dxa" w:w="1967"/>
          </w:tcPr>
          <w:p>
            <w:r>
              <w:rPr>
                <w:b/>
                <w:sz w:val="15"/>
              </w:rPr>
              <w:t>Year-1 gross profit</w:t>
            </w:r>
          </w:p>
        </w:tc>
      </w:tr>
      <w:tr>
        <w:tc>
          <w:tcPr>
            <w:tcW w:type="dxa" w:w="196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$108k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$133k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$94k</w:t>
            </w:r>
          </w:p>
        </w:tc>
      </w:tr>
      <w:tr>
        <w:tc>
          <w:tcPr>
            <w:tcW w:type="dxa" w:w="196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$540k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$665k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$471k</w:t>
            </w:r>
          </w:p>
        </w:tc>
      </w:tr>
      <w:tr>
        <w:tc>
          <w:tcPr>
            <w:tcW w:type="dxa" w:w="196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$1.08m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$1.33m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$942k</w:t>
            </w:r>
          </w:p>
        </w:tc>
      </w:tr>
      <w:tr>
        <w:tc>
          <w:tcPr>
            <w:tcW w:type="dxa" w:w="196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$2.70m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$3.33m</w:t>
            </w:r>
          </w:p>
        </w:tc>
        <w:tc>
          <w:tcPr>
            <w:tcW w:type="dxa" w:w="1967"/>
          </w:tcPr>
          <w:p>
            <w:r>
              <w:rPr>
                <w:sz w:val="15"/>
              </w:rPr>
              <w:t>$2.36m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vAlign w:val="center"/>
          </w:tcPr>
          <w:p>
            <w:pPr>
              <w:spacing w:before="80" w:after="80"/>
            </w:pPr>
            <w:r>
              <w:rPr>
                <w:b/>
                <w:color w:val="122430"/>
                <w:sz w:val="16"/>
              </w:rPr>
              <w:t>Other revenue paths: enterprise license, integrations, deployment, and ongoing assurance services. Price and margin assumptions need buyer interviews and cost validation.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b/>
          <w:color w:val="25A99A"/>
          <w:sz w:val="16"/>
        </w:rPr>
        <w:t>PROJECT IDEA  /  OT CYBERSECURITY</w:t>
      </w:r>
    </w:p>
    <w:p>
      <w:pPr>
        <w:pStyle w:val="Heading1"/>
      </w:pPr>
      <w:r>
        <w:t>Measured MVP, open questions, and the next proof points</w:t>
      </w:r>
    </w:p>
    <w:p>
      <w:pPr>
        <w:spacing w:after="260"/>
      </w:pPr>
      <w:r>
        <w:rPr>
          <w:color w:val="63777C"/>
          <w:sz w:val="22"/>
        </w:rPr>
        <w:t>The first test is repeatable behavior against labeled edge cases—not a broad product claim.</w:t>
      </w:r>
    </w:p>
    <w:p>
      <w:pPr>
        <w:pStyle w:val="Heading2"/>
      </w:pPr>
      <w:r>
        <w:t>Fixture baseline (26 Oct 2026)</w:t>
      </w:r>
    </w:p>
    <w:p>
      <w:pPr>
        <w:keepLines/>
      </w:pPr>
      <w:r>
        <w:t>14 labeled asset/advisory pairs: 4 applicable, 4 not applicable, and 6 expected manual verification. The deterministic matcher produced 14/14 expected labels, 100% precision/recall on four positive fixture examples, 0 labeled false negatives, and 6/6 expected abstentions. Every labeled result retained source ID, URL, and excerpt.</w:t>
      </w:r>
    </w:p>
    <w:p>
      <w:pPr>
        <w:pStyle w:val="Heading2"/>
      </w:pPr>
      <w:r>
        <w:t>Performance and security checks</w:t>
      </w:r>
    </w:p>
    <w:p>
      <w:pPr>
        <w:keepLines/>
      </w:pPr>
      <w:r>
        <w:t>One in-process pass over 80 assets × 3 advisories (240 pairs) measured about 1.01 ms on the development machine; this excludes network, database, and human review. Tests cover stale-cache fallback, duplicate IDs, macro-enabled workbook rejection, source quote validation, prompt injection as untrusted data, role authorization, and remediation evidence verification.</w:t>
      </w:r>
    </w:p>
    <w:p>
      <w:pPr>
        <w:pStyle w:val="Heading2"/>
      </w:pPr>
      <w:r>
        <w:t>Roadmap and pilot ask</w:t>
      </w:r>
    </w:p>
    <w:p>
      <w:pPr>
        <w:keepLines/>
      </w:pPr>
      <w:r>
        <w:t>Next: (1) invite 3–5 operator design partners, (2) label a diverse, source-reviewed multi-vendor dataset, (3) run blinded engineering adjudication and measure false negatives/abstentions, (4) add SSO, durable audit export, and CMMS/GRC connectors, (5) conduct a threat model and deployment review. Ask: a water/energy operator and OT engineers to validate the workflow, data fields, and trust boundaries.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vAlign w:val="center"/>
          </w:tcPr>
          <w:p>
            <w:pPr>
              <w:spacing w:before="80" w:after="80"/>
            </w:pPr>
            <w:r>
              <w:rPr>
                <w:b/>
                <w:color w:val="122430"/>
                <w:sz w:val="16"/>
              </w:rPr>
              <w:t>Human review time, AI extraction accuracy, field accuracy, cost savings, and production performance remain unmeasured.</w:t>
            </w:r>
          </w:p>
        </w:tc>
      </w:tr>
    </w:tbl>
    <w:p>
      <w:pPr>
        <w:spacing w:after="20"/>
      </w:pPr>
      <w:r>
        <w:rPr>
          <w:color w:val="63777C"/>
          <w:sz w:val="14"/>
        </w:rPr>
        <w:t>NIST SP 800-82 Rev. 3 final: https://csrc.nist.gov/pubs/sp/800/82/r3/final</w:t>
      </w:r>
    </w:p>
    <w:p>
      <w:pPr>
        <w:spacing w:after="20"/>
      </w:pPr>
      <w:r>
        <w:rPr>
          <w:color w:val="63777C"/>
          <w:sz w:val="14"/>
        </w:rPr>
        <w:t>CISA advisory fixture provenance: data/fixtures/SOURCES.md</w:t>
      </w:r>
    </w:p>
    <w:p>
      <w:pPr>
        <w:spacing w:after="20"/>
      </w:pPr>
      <w:r>
        <w:rPr>
          <w:color w:val="63777C"/>
          <w:sz w:val="14"/>
        </w:rPr>
        <w:t>Technology and competitive references: docs/TECHNOLOGY_DECISIONS.md and docs/RESEARCH_NOTES.md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893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3777C"/>
        <w:sz w:val="14"/>
      </w:rPr>
      <w:t>PRODUCT IDEA   •   26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25A99A"/>
        <w:sz w:val="16"/>
      </w:rPr>
      <w:t>OTPROOF   /   EUREKA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8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43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A9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243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