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FB9" w:rsidRDefault="00981575">
      <w:pPr>
        <w:spacing w:before="480" w:after="80" w:line="276" w:lineRule="auto"/>
        <w:jc w:val="center"/>
      </w:pPr>
      <w:r>
        <w:rPr>
          <w:b/>
          <w:bCs/>
          <w:color w:val="1F3864"/>
          <w:sz w:val="56"/>
          <w:szCs w:val="56"/>
        </w:rPr>
        <w:t>ALKYL AMINES CHEMICALS LIMITED</w:t>
      </w:r>
    </w:p>
    <w:p w:rsidR="000C0FB9" w:rsidRDefault="00981575">
      <w:pPr>
        <w:spacing w:after="80" w:line="276" w:lineRule="auto"/>
        <w:jc w:val="center"/>
      </w:pPr>
      <w:r>
        <w:rPr>
          <w:b/>
          <w:bCs/>
          <w:color w:val="1E6091"/>
          <w:sz w:val="30"/>
          <w:szCs w:val="30"/>
        </w:rPr>
        <w:t>Equity Research Report</w:t>
      </w:r>
    </w:p>
    <w:p w:rsidR="000C0FB9" w:rsidRDefault="00981575">
      <w:pPr>
        <w:spacing w:after="60" w:line="276" w:lineRule="auto"/>
        <w:jc w:val="center"/>
      </w:pPr>
      <w:r>
        <w:rPr>
          <w:color w:val="666666"/>
        </w:rPr>
        <w:t xml:space="preserve">BSE: </w:t>
      </w:r>
      <w:proofErr w:type="gramStart"/>
      <w:r>
        <w:rPr>
          <w:color w:val="666666"/>
        </w:rPr>
        <w:t>506767  |</w:t>
      </w:r>
      <w:proofErr w:type="gramEnd"/>
      <w:r>
        <w:rPr>
          <w:color w:val="666666"/>
        </w:rPr>
        <w:t xml:space="preserve">  NSE: ALKYLAMINE  |  Sector: Specialty Chemicals</w:t>
      </w:r>
    </w:p>
    <w:p w:rsidR="000C0FB9" w:rsidRDefault="00981575">
      <w:pPr>
        <w:spacing w:after="400" w:line="276" w:lineRule="auto"/>
        <w:jc w:val="center"/>
      </w:pPr>
      <w:r>
        <w:rPr>
          <w:color w:val="888888"/>
          <w:sz w:val="20"/>
          <w:szCs w:val="20"/>
        </w:rPr>
        <w:t>May 2026</w:t>
      </w: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4"/>
        <w:gridCol w:w="3244"/>
        <w:gridCol w:w="3244"/>
      </w:tblGrid>
      <w:tr w:rsidR="00981575" w:rsidTr="00981575">
        <w:trPr>
          <w:trHeight w:val="1307"/>
        </w:trPr>
        <w:tc>
          <w:tcPr>
            <w:tcW w:w="3244"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81575" w:rsidRDefault="00981575">
            <w:pPr>
              <w:spacing w:after="40" w:line="276" w:lineRule="auto"/>
              <w:jc w:val="center"/>
            </w:pPr>
            <w:r>
              <w:rPr>
                <w:b/>
                <w:bCs/>
                <w:color w:val="F5A623"/>
                <w:sz w:val="26"/>
                <w:szCs w:val="26"/>
              </w:rPr>
              <w:t>Technocratic Leader</w:t>
            </w:r>
          </w:p>
          <w:p w:rsidR="00981575" w:rsidRDefault="00981575">
            <w:pPr>
              <w:spacing w:line="276" w:lineRule="auto"/>
              <w:jc w:val="center"/>
            </w:pPr>
            <w:r>
              <w:rPr>
                <w:color w:val="FFFFFF"/>
                <w:sz w:val="20"/>
                <w:szCs w:val="20"/>
              </w:rPr>
              <w:t>R&amp;D-driven specialty chemicals</w:t>
            </w:r>
          </w:p>
        </w:tc>
        <w:tc>
          <w:tcPr>
            <w:tcW w:w="3244"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81575" w:rsidRDefault="00981575">
            <w:pPr>
              <w:spacing w:after="40" w:line="276" w:lineRule="auto"/>
              <w:jc w:val="center"/>
            </w:pPr>
            <w:r>
              <w:rPr>
                <w:b/>
                <w:bCs/>
                <w:color w:val="F5A623"/>
                <w:sz w:val="26"/>
                <w:szCs w:val="26"/>
              </w:rPr>
              <w:t>Global Leader</w:t>
            </w:r>
          </w:p>
          <w:p w:rsidR="00981575" w:rsidRDefault="00981575">
            <w:pPr>
              <w:spacing w:line="276" w:lineRule="auto"/>
              <w:jc w:val="center"/>
            </w:pPr>
            <w:r>
              <w:rPr>
                <w:color w:val="FFFFFF"/>
                <w:sz w:val="20"/>
                <w:szCs w:val="20"/>
              </w:rPr>
              <w:t>Acetonitrile — unique process route</w:t>
            </w:r>
          </w:p>
        </w:tc>
        <w:tc>
          <w:tcPr>
            <w:tcW w:w="3244"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81575" w:rsidRDefault="00981575">
            <w:pPr>
              <w:spacing w:after="40" w:line="276" w:lineRule="auto"/>
              <w:jc w:val="center"/>
            </w:pPr>
            <w:r>
              <w:rPr>
                <w:b/>
                <w:bCs/>
                <w:color w:val="F5A623"/>
                <w:sz w:val="26"/>
                <w:szCs w:val="26"/>
              </w:rPr>
              <w:t>Zero Debt</w:t>
            </w:r>
          </w:p>
          <w:p w:rsidR="00981575" w:rsidRDefault="00981575">
            <w:pPr>
              <w:spacing w:line="276" w:lineRule="auto"/>
              <w:jc w:val="center"/>
            </w:pPr>
            <w:r>
              <w:rPr>
                <w:color w:val="FFFFFF"/>
                <w:sz w:val="20"/>
                <w:szCs w:val="20"/>
              </w:rPr>
              <w:t>Standalone; CRISIL AA-/Stable</w:t>
            </w:r>
          </w:p>
        </w:tc>
      </w:tr>
    </w:tbl>
    <w:p w:rsidR="000C0FB9" w:rsidRDefault="00981575">
      <w:pPr>
        <w:pStyle w:val="Heading1"/>
        <w:pBdr>
          <w:bottom w:val="single" w:sz="6" w:space="1" w:color="1E6091"/>
        </w:pBdr>
        <w:spacing w:line="276" w:lineRule="auto"/>
      </w:pPr>
      <w:r>
        <w:t>Section 1: About the Company</w:t>
      </w:r>
    </w:p>
    <w:p w:rsidR="000C0FB9" w:rsidRDefault="00981575">
      <w:pPr>
        <w:pStyle w:val="Heading2"/>
        <w:spacing w:line="276" w:lineRule="auto"/>
      </w:pPr>
      <w:proofErr w:type="gramStart"/>
      <w:r>
        <w:t>1.1  Corporate</w:t>
      </w:r>
      <w:proofErr w:type="gramEnd"/>
      <w:r>
        <w:t xml:space="preserve"> Identity &amp; Core Profile</w:t>
      </w:r>
    </w:p>
    <w:p w:rsidR="000C0FB9" w:rsidRDefault="00981575">
      <w:pPr>
        <w:spacing w:before="60" w:after="60" w:line="276" w:lineRule="auto"/>
      </w:pPr>
      <w:r>
        <w:t xml:space="preserve">Alkyl Amines Chemicals Limited (AACL), incorporated in </w:t>
      </w:r>
      <w:r>
        <w:rPr>
          <w:b/>
          <w:bCs/>
          <w:color w:val="1F3864"/>
        </w:rPr>
        <w:t>October 1979</w:t>
      </w:r>
      <w:r>
        <w:t xml:space="preserve"> by </w:t>
      </w:r>
      <w:r>
        <w:rPr>
          <w:b/>
          <w:bCs/>
          <w:color w:val="1F3864"/>
        </w:rPr>
        <w:t xml:space="preserve">Mr. </w:t>
      </w:r>
      <w:proofErr w:type="spellStart"/>
      <w:r>
        <w:rPr>
          <w:b/>
          <w:bCs/>
          <w:color w:val="1F3864"/>
        </w:rPr>
        <w:t>Yogesh</w:t>
      </w:r>
      <w:proofErr w:type="spellEnd"/>
      <w:r>
        <w:rPr>
          <w:b/>
          <w:bCs/>
          <w:color w:val="1F3864"/>
        </w:rPr>
        <w:t xml:space="preserve"> M. Kothari</w:t>
      </w:r>
      <w:r>
        <w:t xml:space="preserve">, is a premier Indian chemical company and a global leader in the aliphatic amines industry. Headquartered at </w:t>
      </w:r>
      <w:proofErr w:type="spellStart"/>
      <w:r>
        <w:t>Vashi</w:t>
      </w:r>
      <w:proofErr w:type="spellEnd"/>
      <w:r>
        <w:t xml:space="preserve">, </w:t>
      </w:r>
      <w:proofErr w:type="spellStart"/>
      <w:r>
        <w:t>Navi</w:t>
      </w:r>
      <w:proofErr w:type="spellEnd"/>
      <w:r>
        <w:t xml:space="preserve"> Mumbai (registered office) and </w:t>
      </w:r>
      <w:proofErr w:type="spellStart"/>
      <w:r>
        <w:t>Worli</w:t>
      </w:r>
      <w:proofErr w:type="spellEnd"/>
      <w:r>
        <w:t xml:space="preserve">, Mumbai (corporate office), the company has grown from a single </w:t>
      </w:r>
      <w:proofErr w:type="spellStart"/>
      <w:r>
        <w:t>Ethylamines</w:t>
      </w:r>
      <w:proofErr w:type="spellEnd"/>
      <w:r>
        <w:t xml:space="preserve"> plant into a technically sophisticated, multi-site manufacturer with presence in </w:t>
      </w:r>
      <w:r>
        <w:rPr>
          <w:b/>
          <w:bCs/>
          <w:color w:val="1F3864"/>
        </w:rPr>
        <w:t>22 Indian states</w:t>
      </w:r>
      <w:r>
        <w:t xml:space="preserve"> and exports to over </w:t>
      </w:r>
      <w:r>
        <w:rPr>
          <w:b/>
          <w:bCs/>
          <w:color w:val="1F3864"/>
        </w:rPr>
        <w:t>39 countries</w:t>
      </w:r>
      <w:r>
        <w:t xml:space="preserve">. Approximately </w:t>
      </w:r>
      <w:r>
        <w:rPr>
          <w:b/>
          <w:bCs/>
          <w:color w:val="1F3864"/>
        </w:rPr>
        <w:t>25% of total turnover</w:t>
      </w:r>
      <w:r>
        <w:t xml:space="preserve"> is derived from international markets.</w:t>
      </w:r>
    </w:p>
    <w:p w:rsidR="000C0FB9" w:rsidRDefault="00981575">
      <w:pPr>
        <w:spacing w:before="60" w:after="60" w:line="276" w:lineRule="auto"/>
      </w:pPr>
      <w:r>
        <w:t xml:space="preserve">AACL is defined by its </w:t>
      </w:r>
      <w:r>
        <w:rPr>
          <w:b/>
          <w:bCs/>
          <w:color w:val="1F3864"/>
        </w:rPr>
        <w:t>technocratic leadership</w:t>
      </w:r>
      <w:r>
        <w:t xml:space="preserve"> — a senior management team composed of chemical and mechanical engineers from premier institutions including ICT Mumbai, IIT Mumbai, and Cornell University. This heritage of technical excellence has produced the company's most enduring competitive advantage: the development of unique, proprietary manufacturing processes that make it a </w:t>
      </w:r>
      <w:r>
        <w:rPr>
          <w:b/>
          <w:bCs/>
          <w:color w:val="1F3864"/>
        </w:rPr>
        <w:t>technically indispensable partner</w:t>
      </w:r>
      <w:r>
        <w:t xml:space="preserve"> to the global pharmaceutical supply chain.</w:t>
      </w:r>
    </w:p>
    <w:p w:rsidR="000C0FB9" w:rsidRDefault="00981575">
      <w:pPr>
        <w:pStyle w:val="Heading2"/>
        <w:spacing w:line="276" w:lineRule="auto"/>
      </w:pPr>
      <w:proofErr w:type="gramStart"/>
      <w:r>
        <w:t>1.2  Business</w:t>
      </w:r>
      <w:proofErr w:type="gramEnd"/>
      <w:r>
        <w:t xml:space="preserve"> Segments &amp; Revenue Mix (FY 2024-25)</w:t>
      </w:r>
    </w:p>
    <w:p w:rsidR="000C0FB9" w:rsidRDefault="00981575">
      <w:pPr>
        <w:spacing w:before="60" w:after="60" w:line="276" w:lineRule="auto"/>
      </w:pPr>
      <w:r>
        <w:t xml:space="preserve">AACL derives </w:t>
      </w:r>
      <w:r>
        <w:rPr>
          <w:b/>
          <w:bCs/>
          <w:color w:val="1F3864"/>
        </w:rPr>
        <w:t>100% of its turnover</w:t>
      </w:r>
      <w:r>
        <w:t xml:space="preserve"> from chemicals — specifically aliphatic amines, specialty amines, and amine derivatives. Unlike peers, it has no non-chemical businesses, resulting in a pure-play chemical exposure. The revenue is disaggregated across three vertically connected categories:</w:t>
      </w:r>
    </w:p>
    <w:p w:rsidR="000C0FB9" w:rsidRDefault="00981575">
      <w:pPr>
        <w:pStyle w:val="ListParagraph"/>
        <w:numPr>
          <w:ilvl w:val="0"/>
          <w:numId w:val="2"/>
        </w:numPr>
        <w:spacing w:before="50" w:after="50" w:line="276" w:lineRule="auto"/>
      </w:pPr>
      <w:r>
        <w:rPr>
          <w:b/>
          <w:bCs/>
          <w:color w:val="1F3864"/>
        </w:rPr>
        <w:t>Aliphatic Amines (46.52% of revenue):</w:t>
      </w:r>
      <w:r>
        <w:t xml:space="preserve"> Foundational nitrogen-based compounds. AACL is the </w:t>
      </w:r>
      <w:r>
        <w:rPr>
          <w:b/>
          <w:bCs/>
          <w:color w:val="1F3864"/>
        </w:rPr>
        <w:t xml:space="preserve">largest manufacturer of </w:t>
      </w:r>
      <w:proofErr w:type="spellStart"/>
      <w:r>
        <w:rPr>
          <w:b/>
          <w:bCs/>
          <w:color w:val="1F3864"/>
        </w:rPr>
        <w:t>Ethylamines</w:t>
      </w:r>
      <w:proofErr w:type="spellEnd"/>
      <w:r>
        <w:rPr>
          <w:b/>
          <w:bCs/>
          <w:color w:val="1F3864"/>
        </w:rPr>
        <w:t xml:space="preserve"> in India</w:t>
      </w:r>
    </w:p>
    <w:p w:rsidR="000C0FB9" w:rsidRDefault="00981575">
      <w:pPr>
        <w:pStyle w:val="ListParagraph"/>
        <w:numPr>
          <w:ilvl w:val="0"/>
          <w:numId w:val="2"/>
        </w:numPr>
        <w:spacing w:before="50" w:after="50" w:line="276" w:lineRule="auto"/>
      </w:pPr>
      <w:r>
        <w:rPr>
          <w:b/>
          <w:bCs/>
          <w:color w:val="1F3864"/>
        </w:rPr>
        <w:t>Amine Derivatives (32.21% of revenue):</w:t>
      </w:r>
      <w:r>
        <w:t xml:space="preserve"> High-value salts and intermediates, including Dimethylamine Hydrochloride (DMA HCL) — the essential precursor for Metformin (the global Type 2 diabetes standard drug).</w:t>
      </w:r>
    </w:p>
    <w:p w:rsidR="000C0FB9" w:rsidRDefault="00981575">
      <w:pPr>
        <w:pStyle w:val="ListParagraph"/>
        <w:numPr>
          <w:ilvl w:val="0"/>
          <w:numId w:val="2"/>
        </w:numPr>
        <w:spacing w:before="50" w:after="50" w:line="276" w:lineRule="auto"/>
      </w:pPr>
      <w:r>
        <w:rPr>
          <w:b/>
          <w:bCs/>
          <w:color w:val="1F3864"/>
        </w:rPr>
        <w:lastRenderedPageBreak/>
        <w:t>Specialty Chemicals &amp; Amines (21.27% of revenue):</w:t>
      </w:r>
      <w:r>
        <w:t xml:space="preserve"> Niche, high-margin products including high-purity Acetonitrile — where AACL has established a dominant global position through a unique manufacturing route.</w:t>
      </w:r>
    </w:p>
    <w:p w:rsidR="000C0FB9" w:rsidRDefault="00981575">
      <w:pPr>
        <w:pStyle w:val="Heading2"/>
        <w:spacing w:line="276" w:lineRule="auto"/>
      </w:pPr>
      <w:proofErr w:type="gramStart"/>
      <w:r>
        <w:t>1.3  Strategic</w:t>
      </w:r>
      <w:proofErr w:type="gramEnd"/>
      <w:r>
        <w:t xml:space="preserve"> Philosophy</w:t>
      </w:r>
    </w:p>
    <w:p w:rsidR="000C0FB9" w:rsidRDefault="00981575">
      <w:pPr>
        <w:spacing w:before="60" w:after="60" w:line="276" w:lineRule="auto"/>
      </w:pPr>
      <w:r>
        <w:t>Three interlocking principles define how AACL operates and grows:</w:t>
      </w:r>
    </w:p>
    <w:p w:rsidR="000C0FB9" w:rsidRDefault="00981575">
      <w:pPr>
        <w:pStyle w:val="ListParagraph"/>
        <w:numPr>
          <w:ilvl w:val="0"/>
          <w:numId w:val="2"/>
        </w:numPr>
        <w:spacing w:before="50" w:after="50" w:line="276" w:lineRule="auto"/>
      </w:pPr>
      <w:r>
        <w:rPr>
          <w:b/>
          <w:bCs/>
          <w:color w:val="1F3864"/>
        </w:rPr>
        <w:t>Process Innovation over Scale:</w:t>
      </w:r>
      <w:r>
        <w:t xml:space="preserve"> Rather than competing on volume alone, AACL develops proprietary manufacturing routes that provide supply reliability and quality differentiation not easily replicated by competitors.</w:t>
      </w:r>
    </w:p>
    <w:p w:rsidR="000C0FB9" w:rsidRDefault="00981575">
      <w:pPr>
        <w:pStyle w:val="ListParagraph"/>
        <w:numPr>
          <w:ilvl w:val="0"/>
          <w:numId w:val="2"/>
        </w:numPr>
        <w:spacing w:before="50" w:after="50" w:line="276" w:lineRule="auto"/>
      </w:pPr>
      <w:r>
        <w:rPr>
          <w:b/>
          <w:bCs/>
          <w:color w:val="1F3864"/>
        </w:rPr>
        <w:t>SKU Depth &amp; Customization:</w:t>
      </w:r>
      <w:r>
        <w:t xml:space="preserve"> Managing approximately </w:t>
      </w:r>
      <w:r>
        <w:rPr>
          <w:b/>
          <w:bCs/>
          <w:color w:val="1F3864"/>
        </w:rPr>
        <w:t>100 SKUs</w:t>
      </w:r>
      <w:r>
        <w:t xml:space="preserve"> (nearly 4x closest domestic peers)</w:t>
      </w:r>
      <w:r w:rsidR="00C50041">
        <w:t xml:space="preserve"> </w:t>
      </w:r>
      <w:r w:rsidR="00C50041" w:rsidRPr="00C50041">
        <w:rPr>
          <w:bCs/>
          <w:color w:val="1F3864"/>
        </w:rPr>
        <w:t>(2020 data, Marcellus)</w:t>
      </w:r>
      <w:r>
        <w:t xml:space="preserve"> allows AACL to pivot production to meet niche customer needs and reduce over-dependence on any single molecule's price cycle.</w:t>
      </w:r>
    </w:p>
    <w:p w:rsidR="000C0FB9" w:rsidRDefault="00981575">
      <w:pPr>
        <w:pStyle w:val="ListParagraph"/>
        <w:numPr>
          <w:ilvl w:val="0"/>
          <w:numId w:val="2"/>
        </w:numPr>
        <w:spacing w:before="50" w:after="50" w:line="276" w:lineRule="auto"/>
      </w:pPr>
      <w:r>
        <w:rPr>
          <w:b/>
          <w:bCs/>
          <w:color w:val="1F3864"/>
        </w:rPr>
        <w:t>Institutionalized R&amp;D Funnel:</w:t>
      </w:r>
      <w:r>
        <w:t xml:space="preserve"> Every year, the company evaluates approximately </w:t>
      </w:r>
      <w:r>
        <w:rPr>
          <w:b/>
          <w:bCs/>
          <w:color w:val="1F3864"/>
        </w:rPr>
        <w:t>20 new product opportunities</w:t>
      </w:r>
      <w:r w:rsidR="00C50041">
        <w:rPr>
          <w:b/>
          <w:bCs/>
          <w:color w:val="1F3864"/>
        </w:rPr>
        <w:t xml:space="preserve"> </w:t>
      </w:r>
      <w:r w:rsidR="00C50041" w:rsidRPr="00C50041">
        <w:rPr>
          <w:bCs/>
          <w:color w:val="1F3864"/>
        </w:rPr>
        <w:t>(as per Marcellus, 2020)</w:t>
      </w:r>
      <w:r>
        <w:t xml:space="preserve"> through its Pune R&amp;D </w:t>
      </w:r>
      <w:proofErr w:type="spellStart"/>
      <w:r>
        <w:t>centre</w:t>
      </w:r>
      <w:proofErr w:type="spellEnd"/>
      <w:r>
        <w:t>, shortlisting a few for commercialization based on market size, process edge, and import substitution potential.</w:t>
      </w:r>
    </w:p>
    <w:tbl>
      <w:tblPr>
        <w:tblW w:w="9360" w:type="dxa"/>
        <w:tblBorders>
          <w:top w:val="single" w:sz="8" w:space="0" w:color="1E6091"/>
          <w:left w:val="single" w:sz="8" w:space="0" w:color="1E6091"/>
          <w:bottom w:val="single" w:sz="8" w:space="0" w:color="1E6091"/>
          <w:right w:val="single" w:sz="8" w:space="0" w:color="1E609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FB9">
        <w:tc>
          <w:tcPr>
            <w:tcW w:w="9360" w:type="dxa"/>
            <w:tcBorders>
              <w:top w:val="nil"/>
              <w:left w:val="nil"/>
              <w:bottom w:val="nil"/>
              <w:right w:val="nil"/>
            </w:tcBorders>
            <w:shd w:val="clear" w:color="auto" w:fill="D5E8F0"/>
            <w:tcMar>
              <w:top w:w="100" w:type="dxa"/>
              <w:left w:w="200" w:type="dxa"/>
              <w:bottom w:w="140" w:type="dxa"/>
              <w:right w:w="200" w:type="dxa"/>
            </w:tcMar>
          </w:tcPr>
          <w:p w:rsidR="000C0FB9" w:rsidRDefault="00981575">
            <w:pPr>
              <w:spacing w:line="276" w:lineRule="auto"/>
            </w:pPr>
            <w:r>
              <w:rPr>
                <w:b/>
                <w:bCs/>
                <w:color w:val="1E6091"/>
                <w:sz w:val="21"/>
                <w:szCs w:val="21"/>
              </w:rPr>
              <w:t xml:space="preserve">Note: </w:t>
            </w:r>
            <w:r>
              <w:rPr>
                <w:sz w:val="21"/>
                <w:szCs w:val="21"/>
              </w:rPr>
              <w:t xml:space="preserve">AACL is defined not by scale but by technical irreplaceability. Their products are a </w:t>
            </w:r>
            <w:r w:rsidRPr="00435CAE">
              <w:rPr>
                <w:b/>
                <w:sz w:val="21"/>
                <w:szCs w:val="21"/>
              </w:rPr>
              <w:t>'C item'</w:t>
            </w:r>
            <w:r>
              <w:rPr>
                <w:sz w:val="21"/>
                <w:szCs w:val="21"/>
              </w:rPr>
              <w:t xml:space="preserve"> — a small fraction of the total production cost — for their pharma giant customers, yet they are chemically essential and non-substitutable. This gives AACL a shallow but highly effective pricing power that allows them to pass on even 2.5x raw material price spikes without losing customers who prioritize supply reliability over marginal cost savings.</w:t>
            </w:r>
          </w:p>
        </w:tc>
      </w:tr>
    </w:tbl>
    <w:p w:rsidR="000C0FB9" w:rsidRDefault="00981575">
      <w:pPr>
        <w:pStyle w:val="Heading1"/>
        <w:pBdr>
          <w:bottom w:val="single" w:sz="6" w:space="1" w:color="1E6091"/>
        </w:pBdr>
        <w:spacing w:line="276" w:lineRule="auto"/>
      </w:pPr>
      <w:r>
        <w:t>Section 2: Historical Timeline &amp; Key Milestones</w:t>
      </w:r>
    </w:p>
    <w:p w:rsidR="000C0FB9" w:rsidRDefault="00981575">
      <w:pPr>
        <w:spacing w:before="60" w:after="60" w:line="276" w:lineRule="auto"/>
      </w:pPr>
      <w:r>
        <w:t>The history of Alkyl Amines is marked by a consistent focus on high-technology chemical manufacturing and the systematic identification of high-barrier, process-critical opportunities. The table below charts the company's key strategic milestones from inception through to the most recent commissioning activities:</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FB9">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1979</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0C0FB9" w:rsidRDefault="00981575">
            <w:pPr>
              <w:spacing w:line="276" w:lineRule="auto"/>
            </w:pPr>
            <w:r>
              <w:rPr>
                <w:sz w:val="21"/>
                <w:szCs w:val="21"/>
              </w:rPr>
              <w:t>Incorporation of Alkyl Amines Chemicals Limited</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1982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0C0FB9" w:rsidRDefault="00981575">
            <w:pPr>
              <w:spacing w:line="276" w:lineRule="auto"/>
            </w:pPr>
            <w:r>
              <w:rPr>
                <w:sz w:val="21"/>
                <w:szCs w:val="21"/>
              </w:rPr>
              <w:t xml:space="preserve">Commenced commercial production at first </w:t>
            </w:r>
            <w:proofErr w:type="spellStart"/>
            <w:r>
              <w:rPr>
                <w:sz w:val="21"/>
                <w:szCs w:val="21"/>
              </w:rPr>
              <w:t>Ethylamines</w:t>
            </w:r>
            <w:proofErr w:type="spellEnd"/>
            <w:r>
              <w:rPr>
                <w:sz w:val="21"/>
                <w:szCs w:val="21"/>
              </w:rPr>
              <w:t xml:space="preserve"> plant — technology collaboration with Leonard Process Company, USA</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Early–Mid 1990s</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0C0FB9" w:rsidRDefault="00981575">
            <w:pPr>
              <w:spacing w:line="276" w:lineRule="auto"/>
            </w:pPr>
            <w:r>
              <w:rPr>
                <w:sz w:val="21"/>
                <w:szCs w:val="21"/>
              </w:rPr>
              <w:t>Expanded into Methylamines; launched amine derivatives — DMA HCL and Diethyl Hydroxyl Amine (DEHA)</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2012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0C0FB9" w:rsidRDefault="00981575">
            <w:pPr>
              <w:spacing w:line="276" w:lineRule="auto"/>
            </w:pPr>
            <w:r>
              <w:rPr>
                <w:sz w:val="21"/>
                <w:szCs w:val="21"/>
              </w:rPr>
              <w:t>Commissioned Acetonitrile plant using unique synthetic route (acetic acid + ammonia) — first in India to do so independently</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2021</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0C0FB9" w:rsidRDefault="00981575">
            <w:pPr>
              <w:spacing w:line="276" w:lineRule="auto"/>
            </w:pPr>
            <w:r>
              <w:rPr>
                <w:sz w:val="21"/>
                <w:szCs w:val="21"/>
              </w:rPr>
              <w:t>Shareholders approved subdivision of equity share face value from INR 5 to INR 2 per share</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lastRenderedPageBreak/>
              <w:t>2022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0C0FB9" w:rsidRDefault="00981575">
            <w:pPr>
              <w:spacing w:line="276" w:lineRule="auto"/>
            </w:pPr>
            <w:r>
              <w:rPr>
                <w:sz w:val="21"/>
                <w:szCs w:val="21"/>
              </w:rPr>
              <w:t xml:space="preserve">Commissioned new plant at </w:t>
            </w:r>
            <w:proofErr w:type="spellStart"/>
            <w:r>
              <w:rPr>
                <w:sz w:val="21"/>
                <w:szCs w:val="21"/>
              </w:rPr>
              <w:t>Manwath</w:t>
            </w:r>
            <w:proofErr w:type="spellEnd"/>
            <w:r>
              <w:rPr>
                <w:sz w:val="21"/>
                <w:szCs w:val="21"/>
              </w:rPr>
              <w:t>, Maharashtra — expanded operational footprint</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2023</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0C0FB9" w:rsidRDefault="00981575">
            <w:pPr>
              <w:spacing w:line="276" w:lineRule="auto"/>
            </w:pPr>
            <w:proofErr w:type="spellStart"/>
            <w:r>
              <w:rPr>
                <w:sz w:val="21"/>
                <w:szCs w:val="21"/>
              </w:rPr>
              <w:t>Ethylamines</w:t>
            </w:r>
            <w:proofErr w:type="spellEnd"/>
            <w:r>
              <w:rPr>
                <w:sz w:val="21"/>
                <w:szCs w:val="21"/>
              </w:rPr>
              <w:t xml:space="preserve"> capacity expansion at </w:t>
            </w:r>
            <w:proofErr w:type="spellStart"/>
            <w:r>
              <w:rPr>
                <w:sz w:val="21"/>
                <w:szCs w:val="21"/>
              </w:rPr>
              <w:t>Kurkumbh</w:t>
            </w:r>
            <w:proofErr w:type="spellEnd"/>
            <w:r>
              <w:rPr>
                <w:sz w:val="21"/>
                <w:szCs w:val="21"/>
              </w:rPr>
              <w:t xml:space="preserve"> commissioned (October 2023); recertified for Responsible Care®</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0C0FB9" w:rsidRDefault="00981575">
            <w:pPr>
              <w:spacing w:line="276" w:lineRule="auto"/>
            </w:pPr>
            <w:r>
              <w:rPr>
                <w:sz w:val="21"/>
                <w:szCs w:val="21"/>
              </w:rPr>
              <w:t xml:space="preserve">New </w:t>
            </w:r>
            <w:proofErr w:type="spellStart"/>
            <w:r>
              <w:rPr>
                <w:sz w:val="21"/>
                <w:szCs w:val="21"/>
              </w:rPr>
              <w:t>Ethylamines</w:t>
            </w:r>
            <w:proofErr w:type="spellEnd"/>
            <w:r>
              <w:rPr>
                <w:sz w:val="21"/>
                <w:szCs w:val="21"/>
              </w:rPr>
              <w:t xml:space="preserve"> plant at </w:t>
            </w:r>
            <w:proofErr w:type="spellStart"/>
            <w:r>
              <w:rPr>
                <w:sz w:val="21"/>
                <w:szCs w:val="21"/>
              </w:rPr>
              <w:t>Kurkumbh</w:t>
            </w:r>
            <w:proofErr w:type="spellEnd"/>
            <w:r>
              <w:rPr>
                <w:sz w:val="21"/>
                <w:szCs w:val="21"/>
              </w:rPr>
              <w:t xml:space="preserve"> fully operational (May 2024); third solar plant commissioned at </w:t>
            </w:r>
            <w:proofErr w:type="spellStart"/>
            <w:r>
              <w:rPr>
                <w:sz w:val="21"/>
                <w:szCs w:val="21"/>
              </w:rPr>
              <w:t>Talegadh</w:t>
            </w:r>
            <w:proofErr w:type="spellEnd"/>
            <w:r>
              <w:rPr>
                <w:sz w:val="21"/>
                <w:szCs w:val="21"/>
              </w:rPr>
              <w:t>, Gujarat (January 2024)</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2025</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0C0FB9" w:rsidRDefault="00981575">
            <w:pPr>
              <w:spacing w:line="276" w:lineRule="auto"/>
            </w:pPr>
            <w:r>
              <w:rPr>
                <w:sz w:val="21"/>
                <w:szCs w:val="21"/>
              </w:rPr>
              <w:t>Revenue reaches ₹1,571.82 Cr in FY25; CRISIL AA-/Stable reaffirmed (December 2025); DEK specialty molecule successfully launched</w:t>
            </w:r>
          </w:p>
        </w:tc>
      </w:tr>
      <w:tr w:rsidR="000C0FB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0C0FB9" w:rsidRDefault="00981575">
            <w:pPr>
              <w:spacing w:line="276" w:lineRule="auto"/>
              <w:jc w:val="center"/>
            </w:pPr>
            <w:r>
              <w:rPr>
                <w:b/>
                <w:bCs/>
                <w:color w:val="1F3864"/>
                <w:sz w:val="21"/>
                <w:szCs w:val="21"/>
              </w:rPr>
              <w:t>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0C0FB9" w:rsidRDefault="00981575">
            <w:pPr>
              <w:spacing w:line="276" w:lineRule="auto"/>
            </w:pPr>
            <w:r>
              <w:rPr>
                <w:sz w:val="21"/>
                <w:szCs w:val="21"/>
              </w:rPr>
              <w:t xml:space="preserve">Ammonia supply disruption (March 2026) — temporary 1-2 week suspension; Q4 FY26 margin recovery; </w:t>
            </w:r>
            <w:proofErr w:type="spellStart"/>
            <w:r>
              <w:rPr>
                <w:sz w:val="21"/>
                <w:szCs w:val="21"/>
              </w:rPr>
              <w:t>Dahej</w:t>
            </w:r>
            <w:proofErr w:type="spellEnd"/>
            <w:r>
              <w:rPr>
                <w:sz w:val="21"/>
                <w:szCs w:val="21"/>
              </w:rPr>
              <w:t xml:space="preserve"> and </w:t>
            </w:r>
            <w:proofErr w:type="spellStart"/>
            <w:r>
              <w:rPr>
                <w:sz w:val="21"/>
                <w:szCs w:val="21"/>
              </w:rPr>
              <w:t>Kurkumbh</w:t>
            </w:r>
            <w:proofErr w:type="spellEnd"/>
            <w:r>
              <w:rPr>
                <w:sz w:val="21"/>
                <w:szCs w:val="21"/>
              </w:rPr>
              <w:t xml:space="preserve"> projects near completion</w:t>
            </w:r>
          </w:p>
        </w:tc>
      </w:tr>
    </w:tbl>
    <w:p w:rsidR="000C0FB9" w:rsidRDefault="00981575">
      <w:pPr>
        <w:pStyle w:val="Heading1"/>
        <w:pBdr>
          <w:bottom w:val="single" w:sz="6" w:space="1" w:color="1E6091"/>
        </w:pBdr>
        <w:spacing w:line="276" w:lineRule="auto"/>
      </w:pPr>
      <w:r>
        <w:t>Section 3: Product Portfolio &amp; Innovation Pipeline</w:t>
      </w:r>
    </w:p>
    <w:p w:rsidR="000C0FB9" w:rsidRDefault="00981575">
      <w:pPr>
        <w:pStyle w:val="Heading2"/>
        <w:spacing w:line="276" w:lineRule="auto"/>
      </w:pPr>
      <w:proofErr w:type="gramStart"/>
      <w:r>
        <w:t>3.1  Core</w:t>
      </w:r>
      <w:proofErr w:type="gramEnd"/>
      <w:r>
        <w:t xml:space="preserve"> Product Categories (FY 2024-25 Revenue Mix)</w:t>
      </w:r>
    </w:p>
    <w:p w:rsidR="000C0FB9" w:rsidRDefault="00981575">
      <w:pPr>
        <w:spacing w:before="60" w:after="60" w:line="276" w:lineRule="auto"/>
      </w:pPr>
      <w:r>
        <w:t xml:space="preserve">AACL's product portfolio spans three vertically connected segments, with a total basket of over </w:t>
      </w:r>
      <w:r>
        <w:rPr>
          <w:b/>
          <w:bCs/>
          <w:color w:val="1F3864"/>
        </w:rPr>
        <w:t>100 SKUs</w:t>
      </w:r>
      <w:r>
        <w:t xml:space="preserve"> </w:t>
      </w:r>
      <w:r w:rsidR="00915BC9">
        <w:t>(2020, Marcellus)</w:t>
      </w:r>
      <w:r>
        <w:t>— approximately four times the range of its closest domestic competitors. This breadth is a deliberate strategic choice, not a by-product of scale.</w:t>
      </w:r>
    </w:p>
    <w:p w:rsidR="000C0FB9" w:rsidRDefault="00981575">
      <w:pPr>
        <w:pStyle w:val="Heading3"/>
        <w:spacing w:line="276" w:lineRule="auto"/>
      </w:pPr>
      <w:r>
        <w:t>Aliphatic Amines — 46.52% of Revenue</w:t>
      </w:r>
    </w:p>
    <w:p w:rsidR="000C0FB9" w:rsidRDefault="00981575">
      <w:pPr>
        <w:spacing w:before="60" w:after="60" w:line="276" w:lineRule="auto"/>
      </w:pPr>
      <w:r>
        <w:t xml:space="preserve">These are the foundational building blocks of the amine value chain. AACL is the </w:t>
      </w:r>
      <w:r>
        <w:rPr>
          <w:b/>
          <w:bCs/>
          <w:color w:val="1F3864"/>
        </w:rPr>
        <w:t xml:space="preserve">largest manufacturer of </w:t>
      </w:r>
      <w:proofErr w:type="spellStart"/>
      <w:r>
        <w:rPr>
          <w:b/>
          <w:bCs/>
          <w:color w:val="1F3864"/>
        </w:rPr>
        <w:t>Ethylamines</w:t>
      </w:r>
      <w:proofErr w:type="spellEnd"/>
      <w:r>
        <w:rPr>
          <w:b/>
          <w:bCs/>
          <w:color w:val="1F3864"/>
        </w:rPr>
        <w:t xml:space="preserve"> in India</w:t>
      </w:r>
      <w:r>
        <w:t xml:space="preserve"> (</w:t>
      </w:r>
      <w:proofErr w:type="spellStart"/>
      <w:r>
        <w:t>Monoethylamine</w:t>
      </w:r>
      <w:proofErr w:type="spellEnd"/>
      <w:r>
        <w:t xml:space="preserve">/MEA, </w:t>
      </w:r>
      <w:proofErr w:type="spellStart"/>
      <w:r>
        <w:t>Diethylamine</w:t>
      </w:r>
      <w:proofErr w:type="spellEnd"/>
      <w:r>
        <w:t xml:space="preserve">/DEA, </w:t>
      </w:r>
      <w:proofErr w:type="spellStart"/>
      <w:r>
        <w:t>Triethylamine</w:t>
      </w:r>
      <w:proofErr w:type="spellEnd"/>
      <w:r>
        <w:t xml:space="preserve">/TEA) following the commissioning of a ₹400 crore plant at </w:t>
      </w:r>
      <w:proofErr w:type="spellStart"/>
      <w:r>
        <w:t>Kurkumbh</w:t>
      </w:r>
      <w:proofErr w:type="spellEnd"/>
      <w:r>
        <w:t xml:space="preserve">. The company also produces a significant volume of Methylamines (MMA, DMA, TMA). Approximately </w:t>
      </w:r>
      <w:r>
        <w:rPr>
          <w:b/>
          <w:bCs/>
          <w:color w:val="1F3864"/>
        </w:rPr>
        <w:t>~33% of total production</w:t>
      </w:r>
      <w:r w:rsidR="00915BC9">
        <w:rPr>
          <w:b/>
          <w:bCs/>
          <w:color w:val="1F3864"/>
        </w:rPr>
        <w:t xml:space="preserve"> </w:t>
      </w:r>
      <w:r w:rsidR="00915BC9" w:rsidRPr="00915BC9">
        <w:rPr>
          <w:bCs/>
          <w:color w:val="1F3864"/>
        </w:rPr>
        <w:t xml:space="preserve">(management said they consume one-third of the production themselves in a </w:t>
      </w:r>
      <w:proofErr w:type="spellStart"/>
      <w:r w:rsidR="00915BC9" w:rsidRPr="00915BC9">
        <w:rPr>
          <w:bCs/>
          <w:color w:val="1F3864"/>
        </w:rPr>
        <w:t>concall</w:t>
      </w:r>
      <w:proofErr w:type="spellEnd"/>
      <w:r w:rsidR="00915BC9" w:rsidRPr="00915BC9">
        <w:rPr>
          <w:bCs/>
          <w:color w:val="1F3864"/>
        </w:rPr>
        <w:t>)</w:t>
      </w:r>
      <w:r>
        <w:t xml:space="preserve"> is consumed </w:t>
      </w:r>
      <w:proofErr w:type="spellStart"/>
      <w:r>
        <w:t>captively</w:t>
      </w:r>
      <w:proofErr w:type="spellEnd"/>
      <w:r>
        <w:t xml:space="preserve"> to manufacture downstream derivatives.</w:t>
      </w:r>
    </w:p>
    <w:p w:rsidR="000C0FB9" w:rsidRDefault="00981575">
      <w:pPr>
        <w:pStyle w:val="Heading3"/>
        <w:spacing w:line="276" w:lineRule="auto"/>
      </w:pPr>
      <w:r>
        <w:t>Amine Derivatives — 32.21% of Revenue</w:t>
      </w:r>
    </w:p>
    <w:p w:rsidR="000C0FB9" w:rsidRDefault="00981575">
      <w:pPr>
        <w:spacing w:before="60" w:after="60" w:line="276" w:lineRule="auto"/>
      </w:pPr>
      <w:r>
        <w:t>These are higher-value salts and complex intermediates formed by reacting basic amines with other chemicals. Key products include:</w:t>
      </w:r>
    </w:p>
    <w:p w:rsidR="000C0FB9" w:rsidRDefault="00981575">
      <w:pPr>
        <w:pStyle w:val="ListParagraph"/>
        <w:numPr>
          <w:ilvl w:val="0"/>
          <w:numId w:val="2"/>
        </w:numPr>
        <w:spacing w:before="50" w:after="50" w:line="276" w:lineRule="auto"/>
      </w:pPr>
      <w:r>
        <w:rPr>
          <w:b/>
          <w:bCs/>
          <w:color w:val="1F3864"/>
        </w:rPr>
        <w:t>DMA HCL (Dimethylamine Hydrochloride):</w:t>
      </w:r>
      <w:r>
        <w:t xml:space="preserve"> The critical raw material for Metformin, the global standard drug for Type 2 diabetes.</w:t>
      </w:r>
    </w:p>
    <w:p w:rsidR="000C0FB9" w:rsidRDefault="00981575">
      <w:pPr>
        <w:pStyle w:val="ListParagraph"/>
        <w:numPr>
          <w:ilvl w:val="0"/>
          <w:numId w:val="2"/>
        </w:numPr>
        <w:spacing w:before="50" w:after="50" w:line="276" w:lineRule="auto"/>
      </w:pPr>
      <w:r>
        <w:rPr>
          <w:b/>
          <w:bCs/>
          <w:color w:val="1F3864"/>
        </w:rPr>
        <w:t>Diethyl Hydroxyl Amine (DEHA):</w:t>
      </w:r>
      <w:r>
        <w:t xml:space="preserve"> An oxygen scavenger used in boiler water treatment and the petrochemical industry.</w:t>
      </w:r>
    </w:p>
    <w:p w:rsidR="000C0FB9" w:rsidRDefault="00981575">
      <w:pPr>
        <w:pStyle w:val="ListParagraph"/>
        <w:numPr>
          <w:ilvl w:val="0"/>
          <w:numId w:val="2"/>
        </w:numPr>
        <w:spacing w:before="50" w:after="50" w:line="276" w:lineRule="auto"/>
      </w:pPr>
      <w:proofErr w:type="spellStart"/>
      <w:r>
        <w:rPr>
          <w:b/>
          <w:bCs/>
          <w:color w:val="1F3864"/>
        </w:rPr>
        <w:t>Morpholine</w:t>
      </w:r>
      <w:proofErr w:type="spellEnd"/>
      <w:r>
        <w:rPr>
          <w:b/>
          <w:bCs/>
          <w:color w:val="1F3864"/>
        </w:rPr>
        <w:t>:</w:t>
      </w:r>
      <w:r>
        <w:t xml:space="preserve"> A versatile intermediate used in pharma, rubber chemicals, and wax coatings for food-grade applications.</w:t>
      </w:r>
    </w:p>
    <w:p w:rsidR="000C0FB9" w:rsidRDefault="00981575">
      <w:pPr>
        <w:pStyle w:val="ListParagraph"/>
        <w:numPr>
          <w:ilvl w:val="0"/>
          <w:numId w:val="2"/>
        </w:numPr>
        <w:spacing w:before="50" w:after="50" w:line="276" w:lineRule="auto"/>
      </w:pPr>
      <w:r>
        <w:rPr>
          <w:b/>
          <w:bCs/>
          <w:color w:val="1F3864"/>
        </w:rPr>
        <w:t>Other derivatives:</w:t>
      </w:r>
      <w:r>
        <w:t xml:space="preserve"> A wide range of amine salts and complexes serving the pharma, agro, and industrial sectors.</w:t>
      </w:r>
    </w:p>
    <w:p w:rsidR="000C0FB9" w:rsidRDefault="00981575">
      <w:pPr>
        <w:pStyle w:val="Heading3"/>
        <w:spacing w:line="276" w:lineRule="auto"/>
      </w:pPr>
      <w:r>
        <w:t>Specialty Chemicals &amp; Amines — 21.27% of Revenue</w:t>
      </w:r>
    </w:p>
    <w:p w:rsidR="000C0FB9" w:rsidRDefault="00981575">
      <w:pPr>
        <w:spacing w:before="60" w:after="60" w:line="276" w:lineRule="auto"/>
      </w:pPr>
      <w:r>
        <w:t>This is the highest-margin segment and the focus of current and future capex. The standout product here is Acetonitrile.</w:t>
      </w:r>
    </w:p>
    <w:p w:rsidR="000C0FB9" w:rsidRDefault="00981575">
      <w:pPr>
        <w:pStyle w:val="ListParagraph"/>
        <w:numPr>
          <w:ilvl w:val="0"/>
          <w:numId w:val="2"/>
        </w:numPr>
        <w:spacing w:before="50" w:after="50" w:line="276" w:lineRule="auto"/>
      </w:pPr>
      <w:r>
        <w:rPr>
          <w:b/>
          <w:bCs/>
          <w:color w:val="1F3864"/>
        </w:rPr>
        <w:lastRenderedPageBreak/>
        <w:t>Acetonitrile (HPLC Grade):</w:t>
      </w:r>
      <w:r>
        <w:t xml:space="preserve"> AACL is a global leader in this critical pharmaceutical solvent. Unlike all major global competitors who produce Acetonitrile as a byproduct of Acrylonitrile (plastic manufacturing), AACL uses a unique synthetic route combining </w:t>
      </w:r>
      <w:r>
        <w:rPr>
          <w:b/>
          <w:bCs/>
          <w:color w:val="1F3864"/>
        </w:rPr>
        <w:t>acetic acid and ammonia</w:t>
      </w:r>
      <w:r>
        <w:t>. This independent process ensures supply reliability even when global plastic demand slows — making AACL a structurally more dependable supplier for pharmaceutical analysis labs and biotech companies.</w:t>
      </w:r>
    </w:p>
    <w:p w:rsidR="000C0FB9" w:rsidRDefault="00981575">
      <w:pPr>
        <w:pStyle w:val="ListParagraph"/>
        <w:numPr>
          <w:ilvl w:val="0"/>
          <w:numId w:val="2"/>
        </w:numPr>
        <w:spacing w:before="50" w:after="50" w:line="276" w:lineRule="auto"/>
      </w:pPr>
      <w:r>
        <w:rPr>
          <w:b/>
          <w:bCs/>
          <w:color w:val="1F3864"/>
        </w:rPr>
        <w:t>Diethyl Ketone (DEK):</w:t>
      </w:r>
      <w:r>
        <w:t xml:space="preserve"> Newly launched specialty molecule; currently in the </w:t>
      </w:r>
      <w:proofErr w:type="spellStart"/>
      <w:r>
        <w:t>stabilisation</w:t>
      </w:r>
      <w:proofErr w:type="spellEnd"/>
      <w:r>
        <w:t xml:space="preserve"> phase as of May 2025. First </w:t>
      </w:r>
      <w:proofErr w:type="spellStart"/>
      <w:r>
        <w:t>commercialised</w:t>
      </w:r>
      <w:proofErr w:type="spellEnd"/>
      <w:r>
        <w:t xml:space="preserve"> product from the new R&amp;D pipeline.</w:t>
      </w:r>
    </w:p>
    <w:p w:rsidR="000C0FB9" w:rsidRDefault="00981575">
      <w:pPr>
        <w:pStyle w:val="ListParagraph"/>
        <w:numPr>
          <w:ilvl w:val="0"/>
          <w:numId w:val="2"/>
        </w:numPr>
        <w:spacing w:before="50" w:after="50" w:line="276" w:lineRule="auto"/>
      </w:pPr>
      <w:r>
        <w:rPr>
          <w:b/>
          <w:bCs/>
          <w:color w:val="1F3864"/>
        </w:rPr>
        <w:t>Vapor Phase Chemistry Products:</w:t>
      </w:r>
      <w:r>
        <w:t xml:space="preserve"> Two complex specialty products involving backward integration to raw materials are in development, with technology transfer to production expected in FY 2025-26.</w:t>
      </w:r>
    </w:p>
    <w:p w:rsidR="000C0FB9" w:rsidRDefault="00981575">
      <w:pPr>
        <w:pStyle w:val="Heading2"/>
        <w:spacing w:line="276" w:lineRule="auto"/>
      </w:pPr>
      <w:proofErr w:type="gramStart"/>
      <w:r>
        <w:t>3.2  The</w:t>
      </w:r>
      <w:proofErr w:type="gramEnd"/>
      <w:r>
        <w:t xml:space="preserve"> Acetonitrile Process Moat — A Closer Look</w:t>
      </w:r>
    </w:p>
    <w:p w:rsidR="000C0FB9" w:rsidRDefault="00981575">
      <w:pPr>
        <w:spacing w:before="60" w:after="60" w:line="276" w:lineRule="auto"/>
      </w:pPr>
      <w:r>
        <w:t>The Acetonitrile business deserves special attention as it represents AACL's most significant and defensible technical advantage.</w:t>
      </w:r>
    </w:p>
    <w:p w:rsidR="000C0FB9" w:rsidRDefault="00981575">
      <w:pPr>
        <w:pStyle w:val="ListParagraph"/>
        <w:numPr>
          <w:ilvl w:val="0"/>
          <w:numId w:val="2"/>
        </w:numPr>
        <w:spacing w:before="50" w:after="50" w:line="276" w:lineRule="auto"/>
      </w:pPr>
      <w:r>
        <w:rPr>
          <w:b/>
          <w:bCs/>
          <w:color w:val="1F3864"/>
        </w:rPr>
        <w:t>Global Market Dynamics:</w:t>
      </w:r>
      <w:r>
        <w:t xml:space="preserve"> Most global producers generate Acetonitrile as a byproduct of the Acrylonitrile manufacturing process (used to make ABS and other plastics). When global plastic demand falls, these producers reduce Acrylonitrile output, and Acetonitrile supply contracts globally — creating supply crunches and price spikes.</w:t>
      </w:r>
    </w:p>
    <w:p w:rsidR="000C0FB9" w:rsidRDefault="00981575">
      <w:pPr>
        <w:pStyle w:val="ListParagraph"/>
        <w:numPr>
          <w:ilvl w:val="0"/>
          <w:numId w:val="2"/>
        </w:numPr>
        <w:spacing w:before="50" w:after="50" w:line="276" w:lineRule="auto"/>
      </w:pPr>
      <w:r>
        <w:rPr>
          <w:b/>
          <w:bCs/>
          <w:color w:val="1F3864"/>
        </w:rPr>
        <w:t>AACL's Independent Route:</w:t>
      </w:r>
      <w:r>
        <w:t xml:space="preserve"> By using acetic acid and ammonia as </w:t>
      </w:r>
      <w:proofErr w:type="spellStart"/>
      <w:r>
        <w:t>feedstocks</w:t>
      </w:r>
      <w:proofErr w:type="spellEnd"/>
      <w:r>
        <w:t>, AACL's supply is entirely decoupled from plastic market cycles. This makes it a significantly more reliable long-term supplier and allows it to capture supply-constrained premium pricing when global supply tightens.</w:t>
      </w:r>
    </w:p>
    <w:p w:rsidR="000C0FB9" w:rsidRDefault="00981575" w:rsidP="00422047">
      <w:pPr>
        <w:pStyle w:val="ListParagraph"/>
        <w:numPr>
          <w:ilvl w:val="0"/>
          <w:numId w:val="2"/>
        </w:numPr>
        <w:spacing w:before="50" w:after="50" w:line="276" w:lineRule="auto"/>
      </w:pPr>
      <w:r w:rsidRPr="00691AAA">
        <w:rPr>
          <w:b/>
          <w:bCs/>
          <w:color w:val="1F3864"/>
        </w:rPr>
        <w:t>Anti-Dumping Duty:</w:t>
      </w:r>
      <w:r>
        <w:t xml:space="preserve"> AACL has applied for anti-dumping duties on Chinese Acetonitrile imports. Management expects a </w:t>
      </w:r>
      <w:proofErr w:type="spellStart"/>
      <w:r>
        <w:t>favourable</w:t>
      </w:r>
      <w:proofErr w:type="spellEnd"/>
      <w:r>
        <w:t xml:space="preserve"> ruling could improve realizations by </w:t>
      </w:r>
      <w:r w:rsidRPr="00691AAA">
        <w:rPr>
          <w:b/>
          <w:bCs/>
          <w:color w:val="1F3864"/>
        </w:rPr>
        <w:t>15–20%</w:t>
      </w:r>
      <w:r>
        <w:t>, which would be a significant margin catalyst.</w:t>
      </w:r>
      <w:r w:rsidR="00691AAA">
        <w:t xml:space="preserve"> Anti-dumping imposed on acetonitrile imports from China, Russia, and Taiwan in June, 2025.Initially, the benefit was delayed because importers brought in large "anticipatory" stocks before the duty took effect. However, Alkyl Amines reported that by the end of the fiscal year (March 2026), Chinese imports had reduced, market share was increasing, and pricing had begun to improve.</w:t>
      </w:r>
    </w:p>
    <w:p w:rsidR="000C0FB9" w:rsidRDefault="006B4081">
      <w:pPr>
        <w:pStyle w:val="Heading2"/>
        <w:spacing w:line="276" w:lineRule="auto"/>
      </w:pPr>
      <w:r>
        <w:t>3.3</w:t>
      </w:r>
      <w:r w:rsidR="00981575">
        <w:t xml:space="preserve">  End-User Segment Analysis</w:t>
      </w:r>
    </w:p>
    <w:p w:rsidR="000C0FB9" w:rsidRDefault="00981575">
      <w:pPr>
        <w:pStyle w:val="ListParagraph"/>
        <w:numPr>
          <w:ilvl w:val="0"/>
          <w:numId w:val="2"/>
        </w:numPr>
        <w:spacing w:before="50" w:after="50" w:line="276" w:lineRule="auto"/>
      </w:pPr>
      <w:r>
        <w:rPr>
          <w:b/>
          <w:bCs/>
          <w:color w:val="1F3864"/>
        </w:rPr>
        <w:t>Pharmaceuticals (~61% of usage):</w:t>
      </w:r>
      <w:r>
        <w:t xml:space="preserve"> Primary use as solvents and intermediates for APIs and drug formulations. Acetonitrile (HPLC grade) is critical for pharma lab analysis. DMA HCL feeds Metformin synthesis. Once qualified in a customer's Drug Master File (DMF), switching to a competitor takes 2–3 years.</w:t>
      </w:r>
    </w:p>
    <w:p w:rsidR="000C0FB9" w:rsidRDefault="00981575">
      <w:pPr>
        <w:pStyle w:val="ListParagraph"/>
        <w:numPr>
          <w:ilvl w:val="0"/>
          <w:numId w:val="2"/>
        </w:numPr>
        <w:spacing w:before="50" w:after="50" w:line="276" w:lineRule="auto"/>
      </w:pPr>
      <w:r>
        <w:rPr>
          <w:b/>
          <w:bCs/>
          <w:color w:val="1F3864"/>
        </w:rPr>
        <w:t>Agrochemicals (~6% of usage):</w:t>
      </w:r>
      <w:r>
        <w:t xml:space="preserve"> Used in pesticides and fertilizers. Currently a small but strategically targeted growth area. AACL is actively working to increase this exposure.</w:t>
      </w:r>
    </w:p>
    <w:p w:rsidR="000C0FB9" w:rsidRDefault="00981575">
      <w:pPr>
        <w:pStyle w:val="ListParagraph"/>
        <w:numPr>
          <w:ilvl w:val="0"/>
          <w:numId w:val="2"/>
        </w:numPr>
        <w:spacing w:before="50" w:after="50" w:line="276" w:lineRule="auto"/>
      </w:pPr>
      <w:r>
        <w:rPr>
          <w:b/>
          <w:bCs/>
          <w:color w:val="1F3864"/>
        </w:rPr>
        <w:t>Industrial (~33% of usage):</w:t>
      </w:r>
      <w:r>
        <w:t xml:space="preserve"> Includes water treatment (corrosion inhibitors), rubber chemicals (</w:t>
      </w:r>
      <w:proofErr w:type="spellStart"/>
      <w:r>
        <w:t>vulcanisation</w:t>
      </w:r>
      <w:proofErr w:type="spellEnd"/>
      <w:r>
        <w:t xml:space="preserve"> accelerators), animal feed additives (Choline Chloride), foundry, and dyes sectors.</w:t>
      </w:r>
    </w:p>
    <w:p w:rsidR="000C0FB9" w:rsidRDefault="00981575">
      <w:pPr>
        <w:pStyle w:val="Heading1"/>
        <w:pBdr>
          <w:bottom w:val="single" w:sz="6" w:space="1" w:color="1E6091"/>
        </w:pBdr>
        <w:spacing w:line="276" w:lineRule="auto"/>
      </w:pPr>
      <w:r>
        <w:t>Section 4: Manufacturing Infrastructure &amp; Capacities</w:t>
      </w:r>
    </w:p>
    <w:p w:rsidR="000C0FB9" w:rsidRDefault="00981575">
      <w:pPr>
        <w:pStyle w:val="Heading2"/>
        <w:spacing w:line="276" w:lineRule="auto"/>
      </w:pPr>
      <w:proofErr w:type="gramStart"/>
      <w:r>
        <w:lastRenderedPageBreak/>
        <w:t>4.1  Site</w:t>
      </w:r>
      <w:proofErr w:type="gramEnd"/>
      <w:r>
        <w:t xml:space="preserve"> Overview</w:t>
      </w:r>
    </w:p>
    <w:p w:rsidR="000C0FB9" w:rsidRDefault="00981575">
      <w:pPr>
        <w:spacing w:before="60" w:after="60" w:line="276" w:lineRule="auto"/>
      </w:pPr>
      <w:r>
        <w:t xml:space="preserve">AACL operates three major multi-product manufacturing sites, all of which are </w:t>
      </w:r>
      <w:r>
        <w:rPr>
          <w:b/>
          <w:bCs/>
          <w:color w:val="1F3864"/>
        </w:rPr>
        <w:t>Zero Liquid Discharge (ZLD) certified</w:t>
      </w:r>
      <w:r>
        <w:t xml:space="preserve">. All plants use continuous-process technology rather than batch manufacturing, enabling consistent high-volume output at lower per-unit cost. Total installed capacity as of May 2026 is approximately </w:t>
      </w:r>
      <w:r>
        <w:rPr>
          <w:b/>
          <w:bCs/>
          <w:color w:val="1F3864"/>
        </w:rPr>
        <w:t>2,00,000 MTPA</w:t>
      </w:r>
      <w:r>
        <w:t>.</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000"/>
        <w:gridCol w:w="4160"/>
      </w:tblGrid>
      <w:tr w:rsidR="000C0FB9">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Site</w:t>
            </w:r>
          </w:p>
        </w:tc>
        <w:tc>
          <w:tcPr>
            <w:tcW w:w="18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Location</w:t>
            </w:r>
          </w:p>
        </w:tc>
        <w:tc>
          <w:tcPr>
            <w:tcW w:w="20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Focus</w:t>
            </w:r>
          </w:p>
        </w:tc>
        <w:tc>
          <w:tcPr>
            <w:tcW w:w="416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Key Products / Notes</w:t>
            </w:r>
          </w:p>
        </w:tc>
      </w:tr>
      <w:tr w:rsidR="000C0FB9">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Patalganga</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Maharashtra (Legacy site)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Varied amines &amp; specialty chemicals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rsidP="00691AAA">
            <w:pPr>
              <w:spacing w:line="276" w:lineRule="auto"/>
            </w:pPr>
            <w:r>
              <w:rPr>
                <w:sz w:val="20"/>
                <w:szCs w:val="20"/>
              </w:rPr>
              <w:t>Original production hub; broad product range</w:t>
            </w:r>
          </w:p>
        </w:tc>
      </w:tr>
      <w:tr w:rsidR="000C0FB9">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Maharashtra (Largest hub)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proofErr w:type="spellStart"/>
            <w:r>
              <w:rPr>
                <w:sz w:val="20"/>
                <w:szCs w:val="20"/>
              </w:rPr>
              <w:t>Ethylamines</w:t>
            </w:r>
            <w:proofErr w:type="spellEnd"/>
            <w:r>
              <w:rPr>
                <w:sz w:val="20"/>
                <w:szCs w:val="20"/>
              </w:rPr>
              <w:t xml:space="preserve"> leadership + new specialty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rsidP="00691AAA">
            <w:pPr>
              <w:spacing w:line="276" w:lineRule="auto"/>
            </w:pPr>
            <w:r>
              <w:rPr>
                <w:sz w:val="20"/>
                <w:szCs w:val="20"/>
              </w:rPr>
              <w:t>₹</w:t>
            </w:r>
            <w:r w:rsidR="00691AAA">
              <w:rPr>
                <w:sz w:val="20"/>
                <w:szCs w:val="20"/>
              </w:rPr>
              <w:t xml:space="preserve">400 Cr </w:t>
            </w:r>
            <w:proofErr w:type="spellStart"/>
            <w:r>
              <w:rPr>
                <w:sz w:val="20"/>
                <w:szCs w:val="20"/>
              </w:rPr>
              <w:t>Ethylamines</w:t>
            </w:r>
            <w:proofErr w:type="spellEnd"/>
            <w:r>
              <w:rPr>
                <w:sz w:val="20"/>
                <w:szCs w:val="20"/>
              </w:rPr>
              <w:t xml:space="preserve"> plant (commissioned Oct 2023, fully operational May 2024); new ₹120 Cr specialty project targeting Q2FY27; also produces Acetonitrile</w:t>
            </w:r>
          </w:p>
        </w:tc>
      </w:tr>
      <w:tr w:rsidR="000C0FB9">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Dahej</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Gujarat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New specialty products + logistics hub</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Strategically located in India's chemical belt; Acetonitrile plant; ₹110–120 Cr new specialty product project (mechanical completion Dec 2025–Jan 2026)</w:t>
            </w:r>
          </w:p>
        </w:tc>
      </w:tr>
      <w:tr w:rsidR="000C0FB9">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R&amp;D Centre / Tech Office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Pune, Maharashtra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Process innovation &amp; engineering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Handles indigenous process development for new plants; evaluates ~20 new molecules/year; manages technology transfer to manufacturing sites</w:t>
            </w:r>
          </w:p>
        </w:tc>
      </w:tr>
    </w:tbl>
    <w:p w:rsidR="000C0FB9" w:rsidRDefault="000C0FB9">
      <w:pPr>
        <w:spacing w:before="120" w:line="276" w:lineRule="auto"/>
      </w:pPr>
    </w:p>
    <w:p w:rsidR="000C0FB9" w:rsidRDefault="00981575">
      <w:pPr>
        <w:pStyle w:val="Heading2"/>
        <w:spacing w:line="276" w:lineRule="auto"/>
      </w:pPr>
      <w:proofErr w:type="gramStart"/>
      <w:r>
        <w:t>4.2  Capacity</w:t>
      </w:r>
      <w:proofErr w:type="gramEnd"/>
      <w:r>
        <w:t xml:space="preserve"> &amp; Utilisation (as of May 2026, Q4FY26)</w:t>
      </w:r>
    </w:p>
    <w:p w:rsidR="000C0FB9" w:rsidRDefault="00981575">
      <w:pPr>
        <w:pStyle w:val="ListParagraph"/>
        <w:numPr>
          <w:ilvl w:val="0"/>
          <w:numId w:val="2"/>
        </w:numPr>
        <w:spacing w:before="50" w:after="50" w:line="276" w:lineRule="auto"/>
      </w:pPr>
      <w:r>
        <w:rPr>
          <w:b/>
          <w:bCs/>
          <w:color w:val="1F3864"/>
        </w:rPr>
        <w:t>Total Installed Capacity:</w:t>
      </w:r>
      <w:r>
        <w:t xml:space="preserve"> ~2,00,000 MTPA (confirmed by management, May 2026).</w:t>
      </w:r>
    </w:p>
    <w:p w:rsidR="000C0FB9" w:rsidRDefault="00981575">
      <w:pPr>
        <w:pStyle w:val="ListParagraph"/>
        <w:numPr>
          <w:ilvl w:val="0"/>
          <w:numId w:val="2"/>
        </w:numPr>
        <w:spacing w:before="50" w:after="50" w:line="276" w:lineRule="auto"/>
      </w:pPr>
      <w:r>
        <w:rPr>
          <w:b/>
          <w:bCs/>
          <w:color w:val="1F3864"/>
        </w:rPr>
        <w:t>Overall Utilisation:</w:t>
      </w:r>
      <w:r>
        <w:t xml:space="preserve"> Plants operating at </w:t>
      </w:r>
      <w:r>
        <w:rPr>
          <w:b/>
          <w:bCs/>
          <w:color w:val="1F3864"/>
        </w:rPr>
        <w:t>60–85%</w:t>
      </w:r>
      <w:r>
        <w:t xml:space="preserve"> capacity </w:t>
      </w:r>
      <w:proofErr w:type="spellStart"/>
      <w:r>
        <w:t>utilisation</w:t>
      </w:r>
      <w:proofErr w:type="spellEnd"/>
      <w:r>
        <w:t xml:space="preserve"> — a consistent improvement from 60–70% reported in May 2025.</w:t>
      </w:r>
    </w:p>
    <w:p w:rsidR="000C0FB9" w:rsidRDefault="00981575">
      <w:pPr>
        <w:pStyle w:val="ListParagraph"/>
        <w:numPr>
          <w:ilvl w:val="0"/>
          <w:numId w:val="2"/>
        </w:numPr>
        <w:spacing w:before="50" w:after="50" w:line="276" w:lineRule="auto"/>
      </w:pPr>
      <w:proofErr w:type="spellStart"/>
      <w:r>
        <w:rPr>
          <w:b/>
          <w:bCs/>
          <w:color w:val="1F3864"/>
        </w:rPr>
        <w:t>Ethylamines</w:t>
      </w:r>
      <w:proofErr w:type="spellEnd"/>
      <w:r>
        <w:rPr>
          <w:b/>
          <w:bCs/>
          <w:color w:val="1F3864"/>
        </w:rPr>
        <w:t xml:space="preserve"> (</w:t>
      </w:r>
      <w:proofErr w:type="spellStart"/>
      <w:r>
        <w:rPr>
          <w:b/>
          <w:bCs/>
          <w:color w:val="1F3864"/>
        </w:rPr>
        <w:t>Kurkumbh</w:t>
      </w:r>
      <w:proofErr w:type="spellEnd"/>
      <w:r>
        <w:rPr>
          <w:b/>
          <w:bCs/>
          <w:color w:val="1F3864"/>
        </w:rPr>
        <w:t xml:space="preserve"> new plant):</w:t>
      </w:r>
      <w:r>
        <w:t xml:space="preserve"> The ₹400 crore plant commissioned October 2023 is expected to reach 60–70% </w:t>
      </w:r>
      <w:proofErr w:type="spellStart"/>
      <w:r>
        <w:t>utilisation</w:t>
      </w:r>
      <w:proofErr w:type="spellEnd"/>
      <w:r>
        <w:t xml:space="preserve"> as it ramps up to meet natural growth.</w:t>
      </w:r>
    </w:p>
    <w:p w:rsidR="000C0FB9" w:rsidRDefault="00981575">
      <w:pPr>
        <w:pStyle w:val="ListParagraph"/>
        <w:numPr>
          <w:ilvl w:val="0"/>
          <w:numId w:val="2"/>
        </w:numPr>
        <w:spacing w:before="50" w:after="50" w:line="276" w:lineRule="auto"/>
      </w:pPr>
      <w:r>
        <w:rPr>
          <w:b/>
          <w:bCs/>
          <w:color w:val="1F3864"/>
        </w:rPr>
        <w:t>Methylamines:</w:t>
      </w:r>
      <w:r>
        <w:t xml:space="preserve"> Management noted an industry-wide capacity overhang in Methylamines due to new domestic entrants (</w:t>
      </w:r>
      <w:proofErr w:type="spellStart"/>
      <w:r>
        <w:t>Aarti</w:t>
      </w:r>
      <w:proofErr w:type="spellEnd"/>
      <w:r>
        <w:t xml:space="preserve">, RCF) and expansions by both BAL and AACL — potential near-term </w:t>
      </w:r>
      <w:proofErr w:type="spellStart"/>
      <w:r>
        <w:t>underutilisation</w:t>
      </w:r>
      <w:proofErr w:type="spellEnd"/>
      <w:r>
        <w:t xml:space="preserve"> risk across the sector.</w:t>
      </w:r>
    </w:p>
    <w:p w:rsidR="000C0FB9" w:rsidRDefault="00981575">
      <w:pPr>
        <w:pStyle w:val="ListParagraph"/>
        <w:numPr>
          <w:ilvl w:val="0"/>
          <w:numId w:val="2"/>
        </w:numPr>
        <w:spacing w:before="50" w:after="50" w:line="276" w:lineRule="auto"/>
      </w:pPr>
      <w:r>
        <w:rPr>
          <w:b/>
          <w:bCs/>
          <w:color w:val="1F3864"/>
        </w:rPr>
        <w:t>Acetonitrile:</w:t>
      </w:r>
      <w:r>
        <w:t xml:space="preserve"> Two ACN plants operational (</w:t>
      </w:r>
      <w:proofErr w:type="spellStart"/>
      <w:r>
        <w:t>Kurkumbh</w:t>
      </w:r>
      <w:proofErr w:type="spellEnd"/>
      <w:r>
        <w:t xml:space="preserve"> and </w:t>
      </w:r>
      <w:proofErr w:type="spellStart"/>
      <w:r>
        <w:t>Dahej</w:t>
      </w:r>
      <w:proofErr w:type="spellEnd"/>
      <w:r>
        <w:t>), maintaining dominant domestic market share. Note: Data on original 12,000 TPA + 15,000 TPA expansion is sourced from 2020 independent analysis and may not reflect current capacity.</w:t>
      </w:r>
    </w:p>
    <w:p w:rsidR="000C0FB9" w:rsidRDefault="00981575">
      <w:pPr>
        <w:pStyle w:val="Heading2"/>
        <w:spacing w:line="276" w:lineRule="auto"/>
      </w:pPr>
      <w:proofErr w:type="gramStart"/>
      <w:r>
        <w:t>4.3  Captive</w:t>
      </w:r>
      <w:proofErr w:type="gramEnd"/>
      <w:r>
        <w:t xml:space="preserve"> Consumption &amp; Internal Integration</w:t>
      </w:r>
    </w:p>
    <w:p w:rsidR="000C0FB9" w:rsidRDefault="00981575">
      <w:pPr>
        <w:spacing w:before="60" w:after="60" w:line="276" w:lineRule="auto"/>
      </w:pPr>
      <w:r>
        <w:t xml:space="preserve">Approximately </w:t>
      </w:r>
      <w:r>
        <w:rPr>
          <w:b/>
          <w:bCs/>
          <w:color w:val="1F3864"/>
        </w:rPr>
        <w:t>one-third (~33%) of AACL's total production</w:t>
      </w:r>
      <w:r>
        <w:t xml:space="preserve"> is consumed </w:t>
      </w:r>
      <w:proofErr w:type="spellStart"/>
      <w:r>
        <w:t>captively</w:t>
      </w:r>
      <w:proofErr w:type="spellEnd"/>
      <w:r>
        <w:t xml:space="preserve"> to manufacture downstream derivatives (as of Q4 FY26 data). This internal integration provides a </w:t>
      </w:r>
      <w:r>
        <w:rPr>
          <w:b/>
          <w:bCs/>
          <w:color w:val="1F3864"/>
        </w:rPr>
        <w:t>natural margin hedge</w:t>
      </w:r>
      <w:r>
        <w:t xml:space="preserve"> — when basic amine prices fluctuate, the captive derivative business partly absorbs the impact through value addition. While lower than its primary peer's ~80% captive consumption, the </w:t>
      </w:r>
      <w:r>
        <w:lastRenderedPageBreak/>
        <w:t>~33% rate is meaningful and consistent with AACL's broader '100 SKU' strategy where external sales of basic amines to direct customers (agro, gas treatment, rubber) are also a deliberate revenue line.</w:t>
      </w:r>
    </w:p>
    <w:p w:rsidR="000C0FB9" w:rsidRDefault="00981575">
      <w:pPr>
        <w:pStyle w:val="Heading2"/>
        <w:spacing w:line="276" w:lineRule="auto"/>
      </w:pPr>
      <w:proofErr w:type="gramStart"/>
      <w:r>
        <w:t>4.4  ESG</w:t>
      </w:r>
      <w:proofErr w:type="gramEnd"/>
      <w:r>
        <w:t xml:space="preserve"> &amp; Sustainable Infrastructure</w:t>
      </w:r>
    </w:p>
    <w:p w:rsidR="000C0FB9" w:rsidRDefault="00981575">
      <w:pPr>
        <w:pStyle w:val="ListParagraph"/>
        <w:numPr>
          <w:ilvl w:val="0"/>
          <w:numId w:val="2"/>
        </w:numPr>
        <w:spacing w:before="50" w:after="50" w:line="276" w:lineRule="auto"/>
      </w:pPr>
      <w:r>
        <w:rPr>
          <w:b/>
          <w:bCs/>
          <w:color w:val="1F3864"/>
        </w:rPr>
        <w:t>Solar Power:</w:t>
      </w:r>
      <w:r>
        <w:t xml:space="preserve"> Three solar plants now operational — </w:t>
      </w:r>
      <w:proofErr w:type="spellStart"/>
      <w:r>
        <w:rPr>
          <w:b/>
          <w:bCs/>
          <w:color w:val="1F3864"/>
        </w:rPr>
        <w:t>Bhoom</w:t>
      </w:r>
      <w:proofErr w:type="spellEnd"/>
      <w:r>
        <w:rPr>
          <w:b/>
          <w:bCs/>
          <w:color w:val="1F3864"/>
        </w:rPr>
        <w:t xml:space="preserve"> (Maharashtra), </w:t>
      </w:r>
      <w:proofErr w:type="spellStart"/>
      <w:r>
        <w:rPr>
          <w:b/>
          <w:bCs/>
          <w:color w:val="1F3864"/>
        </w:rPr>
        <w:t>Manwath</w:t>
      </w:r>
      <w:proofErr w:type="spellEnd"/>
      <w:r>
        <w:rPr>
          <w:b/>
          <w:bCs/>
          <w:color w:val="1F3864"/>
        </w:rPr>
        <w:t xml:space="preserve"> (Maharashtra),</w:t>
      </w:r>
      <w:r>
        <w:t xml:space="preserve"> and </w:t>
      </w:r>
      <w:proofErr w:type="spellStart"/>
      <w:r>
        <w:rPr>
          <w:b/>
          <w:bCs/>
          <w:color w:val="1F3864"/>
        </w:rPr>
        <w:t>Talegadh</w:t>
      </w:r>
      <w:proofErr w:type="spellEnd"/>
      <w:r>
        <w:rPr>
          <w:b/>
          <w:bCs/>
          <w:color w:val="1F3864"/>
        </w:rPr>
        <w:t xml:space="preserve"> (Gujarat,</w:t>
      </w:r>
      <w:r>
        <w:t xml:space="preserve"> commissioned January 2024). Expanding renewable capacity reduces per-unit power costs and lowers the carbon footprint.</w:t>
      </w:r>
    </w:p>
    <w:p w:rsidR="000C0FB9" w:rsidRDefault="00981575">
      <w:pPr>
        <w:pStyle w:val="ListParagraph"/>
        <w:numPr>
          <w:ilvl w:val="0"/>
          <w:numId w:val="2"/>
        </w:numPr>
        <w:spacing w:before="50" w:after="50" w:line="276" w:lineRule="auto"/>
      </w:pPr>
      <w:r>
        <w:rPr>
          <w:b/>
          <w:bCs/>
          <w:color w:val="1F3864"/>
        </w:rPr>
        <w:t>Zero Liquid Discharge:</w:t>
      </w:r>
      <w:r>
        <w:t xml:space="preserve"> All three manufacturing sites have implemented ZLD systems for both organic and inorganic effluents.</w:t>
      </w:r>
    </w:p>
    <w:p w:rsidR="000C0FB9" w:rsidRDefault="00981575">
      <w:pPr>
        <w:pStyle w:val="ListParagraph"/>
        <w:numPr>
          <w:ilvl w:val="0"/>
          <w:numId w:val="2"/>
        </w:numPr>
        <w:spacing w:before="50" w:after="50" w:line="276" w:lineRule="auto"/>
      </w:pPr>
      <w:r>
        <w:rPr>
          <w:b/>
          <w:bCs/>
          <w:color w:val="1F3864"/>
        </w:rPr>
        <w:t>Responsible Care®:</w:t>
      </w:r>
      <w:r>
        <w:t xml:space="preserve"> The company is a signatory to the Responsible Care global initiative, recertified in 2023, ensuring ethical and safe management of chemicals from research through disposal.</w:t>
      </w:r>
    </w:p>
    <w:p w:rsidR="000C0FB9" w:rsidRDefault="00981575">
      <w:pPr>
        <w:pStyle w:val="Heading1"/>
        <w:pBdr>
          <w:bottom w:val="single" w:sz="6" w:space="1" w:color="1E6091"/>
        </w:pBdr>
        <w:spacing w:line="276" w:lineRule="auto"/>
      </w:pPr>
      <w:r>
        <w:t>Section 5: Competitive Moats &amp; SWOT Analysis</w:t>
      </w:r>
    </w:p>
    <w:p w:rsidR="000C0FB9" w:rsidRDefault="00981575">
      <w:pPr>
        <w:pStyle w:val="Heading2"/>
        <w:spacing w:line="276" w:lineRule="auto"/>
      </w:pPr>
      <w:proofErr w:type="gramStart"/>
      <w:r>
        <w:t>5.1  Core</w:t>
      </w:r>
      <w:proofErr w:type="gramEnd"/>
      <w:r>
        <w:t xml:space="preserve"> Competitive Moats</w:t>
      </w:r>
    </w:p>
    <w:p w:rsidR="000C0FB9" w:rsidRDefault="00981575">
      <w:pPr>
        <w:pStyle w:val="Heading3"/>
        <w:spacing w:line="276" w:lineRule="auto"/>
      </w:pPr>
      <w:r>
        <w:t>Moat 1: The Process Moat (Acetonitrile)</w:t>
      </w:r>
    </w:p>
    <w:p w:rsidR="000C0FB9" w:rsidRDefault="00981575">
      <w:pPr>
        <w:spacing w:before="60" w:after="60" w:line="276" w:lineRule="auto"/>
      </w:pPr>
      <w:r>
        <w:t>AACL's most significant and defensible technical advantage is its unique synthetic route for Acetonitrile using acetic acid and ammonia. Unlike all global competitors who produce Acetonitrile as a byproduct of plastic manufacturing, AACL's independent process ensures a steady, reliable supply regardless of plastic demand cycles. This supplies HPLC-grade solvents that are critical for pharmaceutical analysis and complex drug synthesis — products that pharma companies cannot easily source from an alternative supplier without a multi-year requalification process.</w:t>
      </w:r>
    </w:p>
    <w:p w:rsidR="000C0FB9" w:rsidRDefault="00981575">
      <w:pPr>
        <w:pStyle w:val="Heading3"/>
        <w:spacing w:line="276" w:lineRule="auto"/>
      </w:pPr>
      <w:r>
        <w:t>Moat 2: SKU Depth &amp; Customization Capability</w:t>
      </w:r>
    </w:p>
    <w:p w:rsidR="000C0FB9" w:rsidRDefault="00981575">
      <w:pPr>
        <w:spacing w:before="60" w:after="60" w:line="276" w:lineRule="auto"/>
      </w:pPr>
      <w:r>
        <w:t xml:space="preserve">With approximately </w:t>
      </w:r>
      <w:r>
        <w:rPr>
          <w:b/>
          <w:bCs/>
          <w:color w:val="1F3864"/>
        </w:rPr>
        <w:t>100 SKUs</w:t>
      </w:r>
      <w:r>
        <w:t xml:space="preserve"> — roughly four times the range of closest domestic peers — AACL can serve as a </w:t>
      </w:r>
      <w:r>
        <w:rPr>
          <w:b/>
          <w:bCs/>
          <w:color w:val="1F3864"/>
        </w:rPr>
        <w:t>one-stop specialty amine partner</w:t>
      </w:r>
      <w:r>
        <w:t xml:space="preserve"> for large pharmaceutical companies. This breadth reduces dependence on any single product's price cycle. When margins compress on </w:t>
      </w:r>
      <w:proofErr w:type="spellStart"/>
      <w:r>
        <w:t>Ethylamines</w:t>
      </w:r>
      <w:proofErr w:type="spellEnd"/>
      <w:r>
        <w:t xml:space="preserve"> due to Chinese imports or domestic oversupply, the company can shift production emphasis to higher-margin derivatives and specialty chemicals.</w:t>
      </w:r>
    </w:p>
    <w:p w:rsidR="000C0FB9" w:rsidRDefault="00981575">
      <w:pPr>
        <w:pStyle w:val="Heading3"/>
        <w:spacing w:line="276" w:lineRule="auto"/>
      </w:pPr>
      <w:r>
        <w:t>Moat 3: Technocratic Leadership &amp; R&amp;D Continuity</w:t>
      </w:r>
    </w:p>
    <w:p w:rsidR="000C0FB9" w:rsidRDefault="00981575">
      <w:pPr>
        <w:spacing w:before="60" w:after="60" w:line="276" w:lineRule="auto"/>
      </w:pPr>
      <w:r>
        <w:t xml:space="preserve">The leadership team's engineering pedigree — ICT Mumbai, IIT Mumbai, Cornell University — combined with </w:t>
      </w:r>
      <w:r>
        <w:rPr>
          <w:b/>
          <w:bCs/>
          <w:color w:val="1F3864"/>
        </w:rPr>
        <w:t xml:space="preserve">Mr. </w:t>
      </w:r>
      <w:proofErr w:type="spellStart"/>
      <w:r>
        <w:rPr>
          <w:b/>
          <w:bCs/>
          <w:color w:val="1F3864"/>
        </w:rPr>
        <w:t>Kirat</w:t>
      </w:r>
      <w:proofErr w:type="spellEnd"/>
      <w:r>
        <w:rPr>
          <w:b/>
          <w:bCs/>
          <w:color w:val="1F3864"/>
        </w:rPr>
        <w:t xml:space="preserve"> Patel's presence since the company's inception</w:t>
      </w:r>
      <w:r>
        <w:t xml:space="preserve"> has produced a culture of continuous process improvement. The Pune R&amp;D </w:t>
      </w:r>
      <w:proofErr w:type="spellStart"/>
      <w:r>
        <w:t>centre's</w:t>
      </w:r>
      <w:proofErr w:type="spellEnd"/>
      <w:r>
        <w:t xml:space="preserve"> </w:t>
      </w:r>
      <w:proofErr w:type="spellStart"/>
      <w:r>
        <w:t>institutionalised</w:t>
      </w:r>
      <w:proofErr w:type="spellEnd"/>
      <w:r>
        <w:t xml:space="preserve"> '20 molecules per year' evaluation funnel ensures AACL always has a pipeline of potential new high-barrier products to enter. This is a moat that cannot be hired overnight.</w:t>
      </w:r>
    </w:p>
    <w:p w:rsidR="000C0FB9" w:rsidRDefault="00981575">
      <w:pPr>
        <w:pStyle w:val="Heading3"/>
        <w:spacing w:line="276" w:lineRule="auto"/>
      </w:pPr>
      <w:r>
        <w:t>Moat 4: Market Duopoly &amp; Logistical Barriers</w:t>
      </w:r>
    </w:p>
    <w:p w:rsidR="000C0FB9" w:rsidRDefault="00981575">
      <w:pPr>
        <w:spacing w:before="60" w:after="60" w:line="276" w:lineRule="auto"/>
      </w:pPr>
      <w:r>
        <w:t xml:space="preserve">Together with </w:t>
      </w:r>
      <w:proofErr w:type="spellStart"/>
      <w:r>
        <w:t>Balaji</w:t>
      </w:r>
      <w:proofErr w:type="spellEnd"/>
      <w:r>
        <w:t xml:space="preserve"> Amines, AACL commands over </w:t>
      </w:r>
      <w:r>
        <w:rPr>
          <w:b/>
          <w:bCs/>
          <w:color w:val="1F3864"/>
        </w:rPr>
        <w:t>90% of the Indian aliphatic amines market</w:t>
      </w:r>
      <w:r>
        <w:t xml:space="preserve">. The hazardous and corrosive nature of amines creates significant logistical barriers — specialized </w:t>
      </w:r>
      <w:r>
        <w:lastRenderedPageBreak/>
        <w:t xml:space="preserve">transportation infrastructure, complex safety certifications, and proximity to end-users all </w:t>
      </w:r>
      <w:proofErr w:type="spellStart"/>
      <w:r>
        <w:t>favour</w:t>
      </w:r>
      <w:proofErr w:type="spellEnd"/>
      <w:r>
        <w:t xml:space="preserve"> the two incumbent players and make sustained international dumping structurally difficult.</w:t>
      </w:r>
    </w:p>
    <w:p w:rsidR="000C0FB9" w:rsidRDefault="00981575">
      <w:pPr>
        <w:pStyle w:val="Heading3"/>
        <w:spacing w:line="276" w:lineRule="auto"/>
      </w:pPr>
      <w:r>
        <w:t>Moat 5: Regulatory Lock-in via Drug Master Files</w:t>
      </w:r>
    </w:p>
    <w:p w:rsidR="000C0FB9" w:rsidRDefault="00981575">
      <w:pPr>
        <w:spacing w:before="60" w:after="60" w:line="276" w:lineRule="auto"/>
      </w:pPr>
      <w:r>
        <w:t xml:space="preserve">In the pharmaceutical sector (~61% of revenue), AACL's products are often formally registered in a customer's Drug Master File (DMF) as the specified raw material or solvent supplier. Once integrated, </w:t>
      </w:r>
      <w:r>
        <w:rPr>
          <w:b/>
          <w:bCs/>
          <w:color w:val="1F3864"/>
        </w:rPr>
        <w:t xml:space="preserve">switching to a competitor requires 2–3 years of regulatory </w:t>
      </w:r>
      <w:proofErr w:type="spellStart"/>
      <w:r>
        <w:rPr>
          <w:b/>
          <w:bCs/>
          <w:color w:val="1F3864"/>
        </w:rPr>
        <w:t>reapproval</w:t>
      </w:r>
      <w:proofErr w:type="spellEnd"/>
      <w:r>
        <w:t xml:space="preserve"> — creating durable revenue visibility and protecting AACL's pharma client relationships from competitive disruption.</w:t>
      </w:r>
    </w:p>
    <w:p w:rsidR="000C0FB9" w:rsidRDefault="00981575">
      <w:pPr>
        <w:pStyle w:val="Heading3"/>
        <w:spacing w:line="276" w:lineRule="auto"/>
      </w:pPr>
      <w:r>
        <w:t>Moat 6: Geographic Diversification</w:t>
      </w:r>
    </w:p>
    <w:p w:rsidR="000C0FB9" w:rsidRDefault="00981575">
      <w:pPr>
        <w:spacing w:before="60" w:after="60" w:line="276" w:lineRule="auto"/>
      </w:pPr>
      <w:r>
        <w:t>AACL's three-site footprint across both Maharashtra and Gujarat (</w:t>
      </w:r>
      <w:proofErr w:type="spellStart"/>
      <w:r>
        <w:t>Dahej</w:t>
      </w:r>
      <w:proofErr w:type="spellEnd"/>
      <w:r>
        <w:t xml:space="preserve">) provides broader customer reach compared to a peer concentrated in Solapur and Telangana. The </w:t>
      </w:r>
      <w:proofErr w:type="spellStart"/>
      <w:r>
        <w:t>Dahej</w:t>
      </w:r>
      <w:proofErr w:type="spellEnd"/>
      <w:r>
        <w:t xml:space="preserve"> site in Gujarat's chemical belt provides strategic access to downstream chemical manufacturers and raw material suppliers, strengthening both procurement and distribution logistics.</w:t>
      </w:r>
    </w:p>
    <w:p w:rsidR="000C0FB9" w:rsidRDefault="00981575">
      <w:pPr>
        <w:pStyle w:val="Heading2"/>
        <w:spacing w:line="276" w:lineRule="auto"/>
      </w:pPr>
      <w:proofErr w:type="gramStart"/>
      <w:r>
        <w:t>5.2  SWOT</w:t>
      </w:r>
      <w:proofErr w:type="gramEnd"/>
      <w:r>
        <w:t xml:space="preserve"> Analysis</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FB9">
        <w:tc>
          <w:tcPr>
            <w:tcW w:w="468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80" w:type="dxa"/>
              <w:bottom w:w="120" w:type="dxa"/>
              <w:right w:w="180" w:type="dxa"/>
            </w:tcMar>
          </w:tcPr>
          <w:p w:rsidR="000C0FB9" w:rsidRDefault="00981575">
            <w:pPr>
              <w:spacing w:after="80" w:line="276" w:lineRule="auto"/>
            </w:pPr>
            <w:proofErr w:type="gramStart"/>
            <w:r>
              <w:rPr>
                <w:b/>
                <w:bCs/>
                <w:color w:val="FFFFFF"/>
              </w:rPr>
              <w:t>S  Strengths</w:t>
            </w:r>
            <w:proofErr w:type="gramEnd"/>
          </w:p>
          <w:p w:rsidR="000C0FB9" w:rsidRDefault="00981575">
            <w:pPr>
              <w:spacing w:before="30" w:after="30" w:line="276" w:lineRule="auto"/>
            </w:pPr>
            <w:r>
              <w:rPr>
                <w:color w:val="FFFFFF"/>
                <w:sz w:val="20"/>
                <w:szCs w:val="20"/>
              </w:rPr>
              <w:t xml:space="preserve">• Largest Indian producer of </w:t>
            </w:r>
            <w:proofErr w:type="spellStart"/>
            <w:r>
              <w:rPr>
                <w:color w:val="FFFFFF"/>
                <w:sz w:val="20"/>
                <w:szCs w:val="20"/>
              </w:rPr>
              <w:t>Ethylamines</w:t>
            </w:r>
            <w:proofErr w:type="spellEnd"/>
            <w:r>
              <w:rPr>
                <w:color w:val="FFFFFF"/>
                <w:sz w:val="20"/>
                <w:szCs w:val="20"/>
              </w:rPr>
              <w:t xml:space="preserve"> and a global leader in Acetonitrile</w:t>
            </w:r>
          </w:p>
          <w:p w:rsidR="000C0FB9" w:rsidRDefault="00981575">
            <w:pPr>
              <w:spacing w:before="30" w:after="30" w:line="276" w:lineRule="auto"/>
            </w:pPr>
            <w:r>
              <w:rPr>
                <w:color w:val="FFFFFF"/>
                <w:sz w:val="20"/>
                <w:szCs w:val="20"/>
              </w:rPr>
              <w:t>• Unique synthetic route for Acetonitrile (acetic acid + ammonia) — supply-reliable, independent of plastics</w:t>
            </w:r>
          </w:p>
          <w:p w:rsidR="000C0FB9" w:rsidRDefault="00981575">
            <w:pPr>
              <w:spacing w:before="30" w:after="30" w:line="276" w:lineRule="auto"/>
            </w:pPr>
            <w:r>
              <w:rPr>
                <w:color w:val="FFFFFF"/>
                <w:sz w:val="20"/>
                <w:szCs w:val="20"/>
              </w:rPr>
              <w:t>• ~100 SKU portfolio — 4x the range of closest domestic peer</w:t>
            </w:r>
          </w:p>
          <w:p w:rsidR="000C0FB9" w:rsidRDefault="00981575">
            <w:pPr>
              <w:spacing w:before="30" w:after="30" w:line="276" w:lineRule="auto"/>
            </w:pPr>
            <w:r>
              <w:rPr>
                <w:color w:val="FFFFFF"/>
                <w:sz w:val="20"/>
                <w:szCs w:val="20"/>
              </w:rPr>
              <w:t>• Absolute zero-debt standalone balance sheet; growth funded via internal accruals</w:t>
            </w:r>
          </w:p>
          <w:p w:rsidR="000C0FB9" w:rsidRDefault="00981575">
            <w:pPr>
              <w:spacing w:before="30" w:after="30" w:line="276" w:lineRule="auto"/>
            </w:pPr>
            <w:r>
              <w:rPr>
                <w:color w:val="FFFFFF"/>
                <w:sz w:val="20"/>
                <w:szCs w:val="20"/>
              </w:rPr>
              <w:t>• All three sites are ZLD-certified; expanding renewable energy footprint (3 solar plants)</w:t>
            </w:r>
          </w:p>
          <w:p w:rsidR="000C0FB9" w:rsidRDefault="00981575">
            <w:pPr>
              <w:spacing w:before="30" w:after="30" w:line="276" w:lineRule="auto"/>
            </w:pPr>
            <w:r>
              <w:rPr>
                <w:color w:val="FFFFFF"/>
                <w:sz w:val="20"/>
                <w:szCs w:val="20"/>
              </w:rPr>
              <w:t>• Technocratic leadership: ICT Mumbai, IIT Mumbai, Cornell University backgrounds</w:t>
            </w:r>
          </w:p>
          <w:p w:rsidR="000C0FB9" w:rsidRDefault="00981575">
            <w:pPr>
              <w:spacing w:before="30" w:after="30" w:line="276" w:lineRule="auto"/>
            </w:pPr>
            <w:r>
              <w:rPr>
                <w:color w:val="FFFFFF"/>
                <w:sz w:val="20"/>
                <w:szCs w:val="20"/>
              </w:rPr>
              <w:t>• CRISIL AA-/Stable rating with industry-leading interest coverage of 291x</w:t>
            </w:r>
          </w:p>
        </w:tc>
        <w:tc>
          <w:tcPr>
            <w:tcW w:w="4680"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80" w:type="dxa"/>
              <w:bottom w:w="120" w:type="dxa"/>
              <w:right w:w="180" w:type="dxa"/>
            </w:tcMar>
          </w:tcPr>
          <w:p w:rsidR="000C0FB9" w:rsidRDefault="00981575">
            <w:pPr>
              <w:spacing w:after="80" w:line="276" w:lineRule="auto"/>
            </w:pPr>
            <w:proofErr w:type="gramStart"/>
            <w:r>
              <w:rPr>
                <w:b/>
                <w:bCs/>
                <w:color w:val="FFFFFF"/>
              </w:rPr>
              <w:t>W  Weaknesses</w:t>
            </w:r>
            <w:proofErr w:type="gramEnd"/>
          </w:p>
          <w:p w:rsidR="000C0FB9" w:rsidRDefault="00981575">
            <w:pPr>
              <w:spacing w:before="30" w:after="30" w:line="276" w:lineRule="auto"/>
            </w:pPr>
            <w:r>
              <w:rPr>
                <w:color w:val="FFFFFF"/>
                <w:sz w:val="20"/>
                <w:szCs w:val="20"/>
              </w:rPr>
              <w:t>• Greater vulnerability to raw material shocks — suspended manufacturing 1–2 weeks in March 2026 Ammonia crisis</w:t>
            </w:r>
          </w:p>
          <w:p w:rsidR="000C0FB9" w:rsidRDefault="00981575">
            <w:pPr>
              <w:spacing w:before="30" w:after="30" w:line="276" w:lineRule="auto"/>
            </w:pPr>
            <w:r>
              <w:rPr>
                <w:color w:val="FFFFFF"/>
                <w:sz w:val="20"/>
                <w:szCs w:val="20"/>
              </w:rPr>
              <w:t>• Low agrochemical exposure (~6%) vs peer — over-reliance on Pharma (61%) cycles</w:t>
            </w:r>
          </w:p>
          <w:p w:rsidR="000C0FB9" w:rsidRDefault="00981575">
            <w:pPr>
              <w:spacing w:before="30" w:after="30" w:line="276" w:lineRule="auto"/>
            </w:pPr>
            <w:r>
              <w:rPr>
                <w:color w:val="FFFFFF"/>
                <w:sz w:val="20"/>
                <w:szCs w:val="20"/>
              </w:rPr>
              <w:t>• Methylamines overhang: new domestic entrants (</w:t>
            </w:r>
            <w:proofErr w:type="spellStart"/>
            <w:r>
              <w:rPr>
                <w:color w:val="FFFFFF"/>
                <w:sz w:val="20"/>
                <w:szCs w:val="20"/>
              </w:rPr>
              <w:t>Aarti</w:t>
            </w:r>
            <w:proofErr w:type="spellEnd"/>
            <w:r>
              <w:rPr>
                <w:color w:val="FFFFFF"/>
                <w:sz w:val="20"/>
                <w:szCs w:val="20"/>
              </w:rPr>
              <w:t>, RCF) + peer expansions creating oversupply</w:t>
            </w:r>
          </w:p>
          <w:p w:rsidR="000C0FB9" w:rsidRDefault="00981575">
            <w:pPr>
              <w:spacing w:before="30" w:after="30" w:line="276" w:lineRule="auto"/>
            </w:pPr>
            <w:r>
              <w:rPr>
                <w:color w:val="FFFFFF"/>
                <w:sz w:val="20"/>
                <w:szCs w:val="20"/>
              </w:rPr>
              <w:t>• Inventory days slightly elevated during new capacity ramp-up phases</w:t>
            </w:r>
          </w:p>
          <w:p w:rsidR="000C0FB9" w:rsidRDefault="00981575">
            <w:pPr>
              <w:spacing w:before="30" w:after="30" w:line="276" w:lineRule="auto"/>
            </w:pPr>
            <w:r>
              <w:rPr>
                <w:color w:val="FFFFFF"/>
                <w:sz w:val="20"/>
                <w:szCs w:val="20"/>
              </w:rPr>
              <w:t>• Smaller absolute capacity (~2,00,000 MTPA) vs peer (~2,92,000 MTPA consolidated)</w:t>
            </w:r>
          </w:p>
        </w:tc>
      </w:tr>
      <w:tr w:rsidR="000C0FB9">
        <w:tc>
          <w:tcPr>
            <w:tcW w:w="4680" w:type="dxa"/>
            <w:tcBorders>
              <w:top w:val="single" w:sz="4" w:space="0" w:color="CCCCCC"/>
              <w:left w:val="single" w:sz="4" w:space="0" w:color="CCCCCC"/>
              <w:bottom w:val="single" w:sz="4" w:space="0" w:color="CCCCCC"/>
              <w:right w:val="single" w:sz="4" w:space="0" w:color="CCCCCC"/>
            </w:tcBorders>
            <w:shd w:val="clear" w:color="auto" w:fill="1A5E35"/>
            <w:tcMar>
              <w:top w:w="120" w:type="dxa"/>
              <w:left w:w="180" w:type="dxa"/>
              <w:bottom w:w="120" w:type="dxa"/>
              <w:right w:w="180" w:type="dxa"/>
            </w:tcMar>
          </w:tcPr>
          <w:p w:rsidR="000C0FB9" w:rsidRDefault="00981575">
            <w:pPr>
              <w:spacing w:after="80" w:line="276" w:lineRule="auto"/>
            </w:pPr>
            <w:proofErr w:type="gramStart"/>
            <w:r>
              <w:rPr>
                <w:b/>
                <w:bCs/>
                <w:color w:val="FFFFFF"/>
              </w:rPr>
              <w:t>O  Opportunities</w:t>
            </w:r>
            <w:proofErr w:type="gramEnd"/>
          </w:p>
          <w:p w:rsidR="000C0FB9" w:rsidRDefault="00981575">
            <w:pPr>
              <w:spacing w:before="30" w:after="30" w:line="276" w:lineRule="auto"/>
            </w:pPr>
            <w:r>
              <w:rPr>
                <w:color w:val="FFFFFF"/>
                <w:sz w:val="20"/>
                <w:szCs w:val="20"/>
              </w:rPr>
              <w:t>• Anti-dumping duty on Chinese Acetonitrile — potential 15–20% realization improvement once approved</w:t>
            </w:r>
          </w:p>
          <w:p w:rsidR="000C0FB9" w:rsidRDefault="00981575">
            <w:pPr>
              <w:spacing w:before="30" w:after="30" w:line="276" w:lineRule="auto"/>
            </w:pPr>
            <w:r>
              <w:rPr>
                <w:color w:val="FFFFFF"/>
                <w:sz w:val="20"/>
                <w:szCs w:val="20"/>
              </w:rPr>
              <w:t>• China+1 strategy: global pharma MNCs diversifying supply chains toward Indian specialty chemical players</w:t>
            </w:r>
          </w:p>
          <w:p w:rsidR="000C0FB9" w:rsidRDefault="00981575">
            <w:pPr>
              <w:spacing w:before="30" w:after="30" w:line="276" w:lineRule="auto"/>
            </w:pPr>
            <w:r>
              <w:rPr>
                <w:color w:val="FFFFFF"/>
                <w:sz w:val="20"/>
                <w:szCs w:val="20"/>
              </w:rPr>
              <w:t>• Specialty chemicals pivot: 20 new molecules evaluated annually; DEK already launched</w:t>
            </w:r>
          </w:p>
          <w:p w:rsidR="000C0FB9" w:rsidRDefault="00981575">
            <w:pPr>
              <w:spacing w:before="30" w:after="30" w:line="276" w:lineRule="auto"/>
            </w:pPr>
            <w:r>
              <w:rPr>
                <w:color w:val="FFFFFF"/>
                <w:sz w:val="20"/>
                <w:szCs w:val="20"/>
              </w:rPr>
              <w:lastRenderedPageBreak/>
              <w:t xml:space="preserve">• </w:t>
            </w:r>
            <w:proofErr w:type="spellStart"/>
            <w:r>
              <w:rPr>
                <w:color w:val="FFFFFF"/>
                <w:sz w:val="20"/>
                <w:szCs w:val="20"/>
              </w:rPr>
              <w:t>Dahej</w:t>
            </w:r>
            <w:proofErr w:type="spellEnd"/>
            <w:r>
              <w:rPr>
                <w:color w:val="FFFFFF"/>
                <w:sz w:val="20"/>
                <w:szCs w:val="20"/>
              </w:rPr>
              <w:t xml:space="preserve"> specialty project and </w:t>
            </w:r>
            <w:proofErr w:type="spellStart"/>
            <w:r>
              <w:rPr>
                <w:color w:val="FFFFFF"/>
                <w:sz w:val="20"/>
                <w:szCs w:val="20"/>
              </w:rPr>
              <w:t>Kurkumbh</w:t>
            </w:r>
            <w:proofErr w:type="spellEnd"/>
            <w:r>
              <w:rPr>
                <w:color w:val="FFFFFF"/>
                <w:sz w:val="20"/>
                <w:szCs w:val="20"/>
              </w:rPr>
              <w:t xml:space="preserve"> Q2FY27 expansion adding high-margin new molecules</w:t>
            </w:r>
          </w:p>
          <w:p w:rsidR="000C0FB9" w:rsidRDefault="00981575">
            <w:pPr>
              <w:spacing w:before="30" w:after="30" w:line="276" w:lineRule="auto"/>
            </w:pPr>
            <w:r>
              <w:rPr>
                <w:color w:val="FFFFFF"/>
                <w:sz w:val="20"/>
                <w:szCs w:val="20"/>
              </w:rPr>
              <w:t>• Vapor phase chemistry and new Methylamine derivatives in active R&amp;D pipeline</w:t>
            </w:r>
          </w:p>
        </w:tc>
        <w:tc>
          <w:tcPr>
            <w:tcW w:w="4680" w:type="dxa"/>
            <w:tcBorders>
              <w:top w:val="single" w:sz="4" w:space="0" w:color="CCCCCC"/>
              <w:left w:val="single" w:sz="4" w:space="0" w:color="CCCCCC"/>
              <w:bottom w:val="single" w:sz="4" w:space="0" w:color="CCCCCC"/>
              <w:right w:val="single" w:sz="4" w:space="0" w:color="CCCCCC"/>
            </w:tcBorders>
            <w:shd w:val="clear" w:color="auto" w:fill="7D4E00"/>
            <w:tcMar>
              <w:top w:w="120" w:type="dxa"/>
              <w:left w:w="180" w:type="dxa"/>
              <w:bottom w:w="120" w:type="dxa"/>
              <w:right w:w="180" w:type="dxa"/>
            </w:tcMar>
          </w:tcPr>
          <w:p w:rsidR="000C0FB9" w:rsidRDefault="00981575">
            <w:pPr>
              <w:spacing w:after="80" w:line="276" w:lineRule="auto"/>
            </w:pPr>
            <w:proofErr w:type="gramStart"/>
            <w:r>
              <w:rPr>
                <w:b/>
                <w:bCs/>
                <w:color w:val="FFFFFF"/>
              </w:rPr>
              <w:lastRenderedPageBreak/>
              <w:t>T  Threats</w:t>
            </w:r>
            <w:proofErr w:type="gramEnd"/>
          </w:p>
          <w:p w:rsidR="000C0FB9" w:rsidRDefault="00981575">
            <w:pPr>
              <w:spacing w:before="30" w:after="30" w:line="276" w:lineRule="auto"/>
            </w:pPr>
            <w:r>
              <w:rPr>
                <w:color w:val="FFFFFF"/>
                <w:sz w:val="20"/>
                <w:szCs w:val="20"/>
              </w:rPr>
              <w:t>• Aggressive dumping from China and Saudi Arabia — particularly in Acetonitrile, DMF, and EDA segments</w:t>
            </w:r>
          </w:p>
          <w:p w:rsidR="000C0FB9" w:rsidRDefault="00981575">
            <w:pPr>
              <w:spacing w:before="30" w:after="30" w:line="276" w:lineRule="auto"/>
            </w:pPr>
            <w:r>
              <w:rPr>
                <w:color w:val="FFFFFF"/>
                <w:sz w:val="20"/>
                <w:szCs w:val="20"/>
              </w:rPr>
              <w:t>• Raw material volatility: Ammonia and Methanol prices tied to crude oil and geopolitical stability</w:t>
            </w:r>
          </w:p>
          <w:p w:rsidR="000C0FB9" w:rsidRDefault="00981575">
            <w:pPr>
              <w:spacing w:before="30" w:after="30" w:line="276" w:lineRule="auto"/>
            </w:pPr>
            <w:r>
              <w:rPr>
                <w:color w:val="FFFFFF"/>
                <w:sz w:val="20"/>
                <w:szCs w:val="20"/>
              </w:rPr>
              <w:t xml:space="preserve">• Domestic Methylamines overcapacity — pricing pressure from </w:t>
            </w:r>
            <w:proofErr w:type="spellStart"/>
            <w:r>
              <w:rPr>
                <w:color w:val="FFFFFF"/>
                <w:sz w:val="20"/>
                <w:szCs w:val="20"/>
              </w:rPr>
              <w:t>Aarti</w:t>
            </w:r>
            <w:proofErr w:type="spellEnd"/>
            <w:r>
              <w:rPr>
                <w:color w:val="FFFFFF"/>
                <w:sz w:val="20"/>
                <w:szCs w:val="20"/>
              </w:rPr>
              <w:t xml:space="preserve"> Industries and RCF entry</w:t>
            </w:r>
          </w:p>
          <w:p w:rsidR="000C0FB9" w:rsidRDefault="00981575">
            <w:pPr>
              <w:spacing w:before="30" w:after="30" w:line="276" w:lineRule="auto"/>
            </w:pPr>
            <w:r>
              <w:rPr>
                <w:color w:val="FFFFFF"/>
                <w:sz w:val="20"/>
                <w:szCs w:val="20"/>
              </w:rPr>
              <w:lastRenderedPageBreak/>
              <w:t>• Customer backward integration risk — large pharma companies potentially in-housing some intermediates</w:t>
            </w:r>
          </w:p>
          <w:p w:rsidR="000C0FB9" w:rsidRDefault="00981575">
            <w:pPr>
              <w:spacing w:before="30" w:after="30" w:line="276" w:lineRule="auto"/>
            </w:pPr>
            <w:r>
              <w:rPr>
                <w:color w:val="FFFFFF"/>
                <w:sz w:val="20"/>
                <w:szCs w:val="20"/>
              </w:rPr>
              <w:t>• Regulatory approval cycle for new specialty products can take 2–3 years, delaying revenue contribution</w:t>
            </w:r>
          </w:p>
        </w:tc>
      </w:tr>
    </w:tbl>
    <w:p w:rsidR="000C0FB9" w:rsidRDefault="00981575">
      <w:pPr>
        <w:pStyle w:val="Heading1"/>
        <w:pBdr>
          <w:bottom w:val="single" w:sz="6" w:space="1" w:color="1E6091"/>
        </w:pBdr>
        <w:spacing w:line="276" w:lineRule="auto"/>
      </w:pPr>
      <w:r>
        <w:lastRenderedPageBreak/>
        <w:t>Section 6: Strategic Growth &amp; Capex Pipeline</w:t>
      </w:r>
    </w:p>
    <w:p w:rsidR="000C0FB9" w:rsidRDefault="00981575">
      <w:pPr>
        <w:pStyle w:val="Heading2"/>
        <w:spacing w:line="276" w:lineRule="auto"/>
      </w:pPr>
      <w:proofErr w:type="gramStart"/>
      <w:r>
        <w:t>6.1  Growth</w:t>
      </w:r>
      <w:proofErr w:type="gramEnd"/>
      <w:r>
        <w:t xml:space="preserve"> Philosophy</w:t>
      </w:r>
    </w:p>
    <w:p w:rsidR="000C0FB9" w:rsidRDefault="00981575">
      <w:pPr>
        <w:spacing w:before="60" w:after="60" w:line="276" w:lineRule="auto"/>
      </w:pPr>
      <w:r>
        <w:t xml:space="preserve">AACL follows a </w:t>
      </w:r>
      <w:r>
        <w:rPr>
          <w:b/>
          <w:bCs/>
          <w:color w:val="1F3864"/>
        </w:rPr>
        <w:t>'measured and R&amp;D-centric'</w:t>
      </w:r>
      <w:r>
        <w:t xml:space="preserve"> expansion strategy — a deliberate contrast to scale-heavy peers. Each major project is preceded by in-house process development at the Pune R&amp;D </w:t>
      </w:r>
      <w:proofErr w:type="spellStart"/>
      <w:r>
        <w:t>centre</w:t>
      </w:r>
      <w:proofErr w:type="spellEnd"/>
      <w:r>
        <w:t xml:space="preserve">, with indigenous engineering deployed for plant construction to lower capital costs. The company funds all expansions strictly through </w:t>
      </w:r>
      <w:r>
        <w:rPr>
          <w:b/>
          <w:bCs/>
          <w:color w:val="1F3864"/>
        </w:rPr>
        <w:t>internal accruals</w:t>
      </w:r>
      <w:r>
        <w:t>, ensuring zero-debt status is maintained throughout.</w:t>
      </w:r>
    </w:p>
    <w:p w:rsidR="000C0FB9" w:rsidRDefault="00981575">
      <w:pPr>
        <w:pStyle w:val="Heading2"/>
        <w:spacing w:line="276" w:lineRule="auto"/>
      </w:pPr>
      <w:proofErr w:type="gramStart"/>
      <w:r>
        <w:t>6.2  Full</w:t>
      </w:r>
      <w:proofErr w:type="gramEnd"/>
      <w:r>
        <w:t xml:space="preserve"> Capex Pipeline (Active &amp; Completed)</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330"/>
        <w:gridCol w:w="1296"/>
        <w:gridCol w:w="2071"/>
        <w:gridCol w:w="2694"/>
      </w:tblGrid>
      <w:tr w:rsidR="000C0FB9">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Project</w:t>
            </w:r>
          </w:p>
        </w:tc>
        <w:tc>
          <w:tcPr>
            <w:tcW w:w="13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Site</w:t>
            </w:r>
          </w:p>
        </w:tc>
        <w:tc>
          <w:tcPr>
            <w:tcW w:w="12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Investment</w:t>
            </w:r>
          </w:p>
        </w:tc>
        <w:tc>
          <w:tcPr>
            <w:tcW w:w="21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Status (as of May 2026)</w:t>
            </w:r>
          </w:p>
        </w:tc>
        <w:tc>
          <w:tcPr>
            <w:tcW w:w="276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0C0FB9" w:rsidRDefault="00981575">
            <w:pPr>
              <w:spacing w:line="276" w:lineRule="auto"/>
            </w:pPr>
            <w:r>
              <w:rPr>
                <w:b/>
                <w:bCs/>
                <w:color w:val="FFFFFF"/>
                <w:sz w:val="20"/>
                <w:szCs w:val="20"/>
              </w:rPr>
              <w:t>Strategic Rationale</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Ethylamines</w:t>
            </w:r>
            <w:proofErr w:type="spellEnd"/>
            <w:r>
              <w:rPr>
                <w:sz w:val="20"/>
                <w:szCs w:val="20"/>
              </w:rPr>
              <w:t xml:space="preserve"> Expansion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₹400 Cr</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Commissioned Oct 2023; fully operational May 2024; 60–70% utilization ramp-up</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 xml:space="preserve">Solidified No.1 position in </w:t>
            </w:r>
            <w:proofErr w:type="spellStart"/>
            <w:r>
              <w:rPr>
                <w:sz w:val="20"/>
                <w:szCs w:val="20"/>
              </w:rPr>
              <w:t>Ethylamines</w:t>
            </w:r>
            <w:proofErr w:type="spellEnd"/>
            <w:r>
              <w:rPr>
                <w:sz w:val="20"/>
                <w:szCs w:val="20"/>
              </w:rPr>
              <w:t xml:space="preserve">; old </w:t>
            </w:r>
            <w:proofErr w:type="spellStart"/>
            <w:r>
              <w:rPr>
                <w:sz w:val="20"/>
                <w:szCs w:val="20"/>
              </w:rPr>
              <w:t>Ethylamines</w:t>
            </w:r>
            <w:proofErr w:type="spellEnd"/>
            <w:r>
              <w:rPr>
                <w:sz w:val="20"/>
                <w:szCs w:val="20"/>
              </w:rPr>
              <w:t xml:space="preserve"> plant repurposed for Methylamines capacity</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proofErr w:type="spellStart"/>
            <w:r>
              <w:rPr>
                <w:sz w:val="20"/>
                <w:szCs w:val="20"/>
              </w:rPr>
              <w:t>Dahej</w:t>
            </w:r>
            <w:proofErr w:type="spellEnd"/>
            <w:r>
              <w:rPr>
                <w:sz w:val="20"/>
                <w:szCs w:val="20"/>
              </w:rPr>
              <w:t xml:space="preserve"> Specialty Product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proofErr w:type="spellStart"/>
            <w:r>
              <w:rPr>
                <w:sz w:val="20"/>
                <w:szCs w:val="20"/>
              </w:rPr>
              <w:t>Dahej</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₹110–120 Cr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Mechanical completion Dec 2025–Jan 2026</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New import-substitute specialty chemical; leverages </w:t>
            </w:r>
            <w:proofErr w:type="spellStart"/>
            <w:r>
              <w:rPr>
                <w:sz w:val="20"/>
                <w:szCs w:val="20"/>
              </w:rPr>
              <w:t>Dahej's</w:t>
            </w:r>
            <w:proofErr w:type="spellEnd"/>
            <w:r>
              <w:rPr>
                <w:sz w:val="20"/>
                <w:szCs w:val="20"/>
              </w:rPr>
              <w:t xml:space="preserve"> Gujarat chemical belt location</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r>
              <w:rPr>
                <w:sz w:val="20"/>
                <w:szCs w:val="20"/>
              </w:rPr>
              <w:t xml:space="preserve"> Specialty Expansion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~₹120 Cr</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Commissioning expected Q2FY27 (Jul–Sep 2026); minor mechanical delays</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Second specialty molecule launch; adds to high-margin specialty chemicals segment</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Diethyl Ketone (DEK)</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Part of R&amp;D pipeline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Successfully launched; currently in stabilization phase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First commercialized specialty molecule from the new R&amp;D funnel; high-margin niche</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Methylamines Repurposing</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proofErr w:type="spellStart"/>
            <w:r>
              <w:rPr>
                <w:sz w:val="20"/>
                <w:szCs w:val="20"/>
              </w:rPr>
              <w:t>Kurkumbh</w:t>
            </w:r>
            <w:proofErr w:type="spellEnd"/>
            <w:r>
              <w:rPr>
                <w:sz w:val="20"/>
                <w:szCs w:val="20"/>
              </w:rPr>
              <w:t xml:space="preserve"> (old </w:t>
            </w:r>
            <w:proofErr w:type="spellStart"/>
            <w:r>
              <w:rPr>
                <w:sz w:val="20"/>
                <w:szCs w:val="20"/>
              </w:rPr>
              <w:t>Ethylamines</w:t>
            </w:r>
            <w:proofErr w:type="spellEnd"/>
            <w:r>
              <w:rPr>
                <w:sz w:val="20"/>
                <w:szCs w:val="20"/>
              </w:rPr>
              <w:t xml:space="preserve"> lines)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Within existing capex</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 xml:space="preserve">Underway post </w:t>
            </w:r>
            <w:proofErr w:type="spellStart"/>
            <w:r>
              <w:rPr>
                <w:sz w:val="20"/>
                <w:szCs w:val="20"/>
              </w:rPr>
              <w:t>Ethylamines</w:t>
            </w:r>
            <w:proofErr w:type="spellEnd"/>
            <w:r>
              <w:rPr>
                <w:sz w:val="20"/>
                <w:szCs w:val="20"/>
              </w:rPr>
              <w:t xml:space="preserve"> plant commissioning</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Enhances Methylamines capacity without fresh investment; improves asset utilization</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lastRenderedPageBreak/>
              <w:t xml:space="preserve">Solar Plant – </w:t>
            </w:r>
            <w:proofErr w:type="spellStart"/>
            <w:r>
              <w:rPr>
                <w:sz w:val="20"/>
                <w:szCs w:val="20"/>
              </w:rPr>
              <w:t>Talegadh</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Gujarat (</w:t>
            </w:r>
            <w:proofErr w:type="spellStart"/>
            <w:r>
              <w:rPr>
                <w:sz w:val="20"/>
                <w:szCs w:val="20"/>
              </w:rPr>
              <w:t>Talegadh</w:t>
            </w:r>
            <w:proofErr w:type="spellEnd"/>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Part of ESG capex</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Commissioned January 2024</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Third solar plant; reduces per-unit power costs at </w:t>
            </w:r>
            <w:proofErr w:type="spellStart"/>
            <w:r>
              <w:rPr>
                <w:sz w:val="20"/>
                <w:szCs w:val="20"/>
              </w:rPr>
              <w:t>Dahej</w:t>
            </w:r>
            <w:proofErr w:type="spellEnd"/>
            <w:r>
              <w:rPr>
                <w:sz w:val="20"/>
                <w:szCs w:val="20"/>
              </w:rPr>
              <w:t xml:space="preserve"> cluster; part of renewable energy strategy</w:t>
            </w:r>
          </w:p>
        </w:tc>
      </w:tr>
      <w:tr w:rsidR="000C0FB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Vapor Phase Chemistry Projects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Multiple sites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Under evaluation</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Technology transfer to production expected FY2025–26</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Two complex specialty products involving backward integration to raw materials</w:t>
            </w:r>
          </w:p>
        </w:tc>
      </w:tr>
    </w:tbl>
    <w:p w:rsidR="000C0FB9" w:rsidRDefault="00180966">
      <w:pPr>
        <w:pStyle w:val="Heading2"/>
        <w:spacing w:line="276" w:lineRule="auto"/>
      </w:pPr>
      <w:proofErr w:type="gramStart"/>
      <w:r>
        <w:t>6.3</w:t>
      </w:r>
      <w:r w:rsidR="00981575">
        <w:t xml:space="preserve">  Capex</w:t>
      </w:r>
      <w:proofErr w:type="gramEnd"/>
      <w:r w:rsidR="00981575">
        <w:t xml:space="preserve"> Funding &amp; FY27 Guidance</w:t>
      </w:r>
    </w:p>
    <w:p w:rsidR="000C0FB9" w:rsidRDefault="00981575">
      <w:pPr>
        <w:pStyle w:val="ListParagraph"/>
        <w:numPr>
          <w:ilvl w:val="0"/>
          <w:numId w:val="2"/>
        </w:numPr>
        <w:spacing w:before="50" w:after="50" w:line="276" w:lineRule="auto"/>
      </w:pPr>
      <w:r>
        <w:rPr>
          <w:b/>
          <w:bCs/>
          <w:color w:val="1F3864"/>
        </w:rPr>
        <w:t>Funding Model:</w:t>
      </w:r>
      <w:r>
        <w:t xml:space="preserve"> All capex is funded entirely through internal accruals. The company has maintained a </w:t>
      </w:r>
      <w:r>
        <w:rPr>
          <w:b/>
          <w:bCs/>
          <w:color w:val="1F3864"/>
        </w:rPr>
        <w:t>zero-debt standalone balance sheet</w:t>
      </w:r>
      <w:r>
        <w:t xml:space="preserve"> across all historical expansion phases.</w:t>
      </w:r>
    </w:p>
    <w:p w:rsidR="000C0FB9" w:rsidRDefault="00981575">
      <w:pPr>
        <w:pStyle w:val="ListParagraph"/>
        <w:numPr>
          <w:ilvl w:val="0"/>
          <w:numId w:val="2"/>
        </w:numPr>
        <w:spacing w:before="50" w:after="50" w:line="276" w:lineRule="auto"/>
      </w:pPr>
      <w:r>
        <w:rPr>
          <w:b/>
          <w:bCs/>
          <w:color w:val="1F3864"/>
        </w:rPr>
        <w:t>FY 2026-27 Maintenance Capex:</w:t>
      </w:r>
      <w:r>
        <w:t xml:space="preserve"> Management has projected 'maintenance and engineering' capex of approximately </w:t>
      </w:r>
      <w:r>
        <w:rPr>
          <w:b/>
          <w:bCs/>
          <w:color w:val="1F3864"/>
        </w:rPr>
        <w:t>₹80–90 crore</w:t>
      </w:r>
      <w:r>
        <w:t xml:space="preserve"> for FY27, though successful R&amp;D breakthroughs could lead to sudden upward revisions.</w:t>
      </w:r>
    </w:p>
    <w:p w:rsidR="000C0FB9" w:rsidRDefault="00981575">
      <w:pPr>
        <w:pStyle w:val="ListParagraph"/>
        <w:numPr>
          <w:ilvl w:val="0"/>
          <w:numId w:val="2"/>
        </w:numPr>
        <w:spacing w:before="50" w:after="50" w:line="276" w:lineRule="auto"/>
      </w:pPr>
      <w:r>
        <w:rPr>
          <w:b/>
          <w:bCs/>
          <w:color w:val="1F3864"/>
        </w:rPr>
        <w:t>Specialty Focus:</w:t>
      </w:r>
      <w:r>
        <w:t xml:space="preserve"> The majority of new capex is directed toward high-margin specialty chemicals rather than basic amines — a deliberate shift to insulate margins from commodity pricing volatility.</w:t>
      </w:r>
    </w:p>
    <w:p w:rsidR="000C0FB9" w:rsidRDefault="00981575">
      <w:pPr>
        <w:pStyle w:val="Heading1"/>
        <w:pBdr>
          <w:bottom w:val="single" w:sz="6" w:space="1" w:color="1E6091"/>
        </w:pBdr>
        <w:spacing w:line="276" w:lineRule="auto"/>
      </w:pPr>
      <w:r>
        <w:t>Section 7: Promoter Group &amp; Corporate Leadership</w:t>
      </w:r>
    </w:p>
    <w:p w:rsidR="000C0FB9" w:rsidRDefault="00981575">
      <w:pPr>
        <w:pStyle w:val="Heading2"/>
        <w:spacing w:line="276" w:lineRule="auto"/>
      </w:pPr>
      <w:proofErr w:type="gramStart"/>
      <w:r>
        <w:t>7.1  The</w:t>
      </w:r>
      <w:proofErr w:type="gramEnd"/>
      <w:r>
        <w:t xml:space="preserve"> Promoter Group</w:t>
      </w:r>
    </w:p>
    <w:p w:rsidR="000C0FB9" w:rsidRDefault="00981575">
      <w:pPr>
        <w:spacing w:before="60" w:after="60" w:line="276" w:lineRule="auto"/>
      </w:pPr>
      <w:r>
        <w:t xml:space="preserve">AACL was founded in 1979 by </w:t>
      </w:r>
      <w:r>
        <w:rPr>
          <w:b/>
          <w:bCs/>
          <w:color w:val="1F3864"/>
        </w:rPr>
        <w:t xml:space="preserve">Mr. </w:t>
      </w:r>
      <w:proofErr w:type="spellStart"/>
      <w:r>
        <w:rPr>
          <w:b/>
          <w:bCs/>
          <w:color w:val="1F3864"/>
        </w:rPr>
        <w:t>Yogesh</w:t>
      </w:r>
      <w:proofErr w:type="spellEnd"/>
      <w:r>
        <w:rPr>
          <w:b/>
          <w:bCs/>
          <w:color w:val="1F3864"/>
        </w:rPr>
        <w:t xml:space="preserve"> M. Kothari</w:t>
      </w:r>
      <w:r>
        <w:t>, who continues to lead the organization as Chairman &amp; Managing Director alongside his family. The promoter group is structured around the Kothari family and associated entities:</w:t>
      </w:r>
    </w:p>
    <w:p w:rsidR="000C0FB9" w:rsidRDefault="00981575">
      <w:pPr>
        <w:pStyle w:val="ListParagraph"/>
        <w:numPr>
          <w:ilvl w:val="0"/>
          <w:numId w:val="2"/>
        </w:numPr>
        <w:spacing w:before="50" w:after="50" w:line="276" w:lineRule="auto"/>
      </w:pPr>
      <w:r>
        <w:rPr>
          <w:b/>
          <w:bCs/>
          <w:color w:val="1F3864"/>
        </w:rPr>
        <w:t xml:space="preserve">Mr. </w:t>
      </w:r>
      <w:proofErr w:type="spellStart"/>
      <w:r>
        <w:rPr>
          <w:b/>
          <w:bCs/>
          <w:color w:val="1F3864"/>
        </w:rPr>
        <w:t>Yogesh</w:t>
      </w:r>
      <w:proofErr w:type="spellEnd"/>
      <w:r>
        <w:rPr>
          <w:b/>
          <w:bCs/>
          <w:color w:val="1F3864"/>
        </w:rPr>
        <w:t xml:space="preserve"> M. Kothari:</w:t>
      </w:r>
      <w:r>
        <w:t xml:space="preserve"> The founding promoter. Chemical Engineer from ICT Mumbai with nearly four decades in the chemical sector. Primary visionary behind AACL's growth philosophy.</w:t>
      </w:r>
    </w:p>
    <w:p w:rsidR="000C0FB9" w:rsidRDefault="00981575">
      <w:pPr>
        <w:pStyle w:val="ListParagraph"/>
        <w:numPr>
          <w:ilvl w:val="0"/>
          <w:numId w:val="2"/>
        </w:numPr>
        <w:spacing w:before="50" w:after="50" w:line="276" w:lineRule="auto"/>
      </w:pPr>
      <w:r>
        <w:rPr>
          <w:b/>
          <w:bCs/>
          <w:color w:val="1F3864"/>
        </w:rPr>
        <w:t xml:space="preserve">Mr. </w:t>
      </w:r>
      <w:proofErr w:type="spellStart"/>
      <w:r>
        <w:rPr>
          <w:b/>
          <w:bCs/>
          <w:color w:val="1F3864"/>
        </w:rPr>
        <w:t>Suneet</w:t>
      </w:r>
      <w:proofErr w:type="spellEnd"/>
      <w:r>
        <w:rPr>
          <w:b/>
          <w:bCs/>
          <w:color w:val="1F3864"/>
        </w:rPr>
        <w:t xml:space="preserve"> Y. Kothari:</w:t>
      </w:r>
      <w:r>
        <w:t xml:space="preserve"> Son of Mr. </w:t>
      </w:r>
      <w:proofErr w:type="spellStart"/>
      <w:r>
        <w:t>Yogesh</w:t>
      </w:r>
      <w:proofErr w:type="spellEnd"/>
      <w:r>
        <w:t xml:space="preserve"> Kothari. Executive Director handling marketing and business management. Joined 2001.</w:t>
      </w:r>
    </w:p>
    <w:p w:rsidR="000C0FB9" w:rsidRDefault="00981575">
      <w:pPr>
        <w:pStyle w:val="ListParagraph"/>
        <w:numPr>
          <w:ilvl w:val="0"/>
          <w:numId w:val="2"/>
        </w:numPr>
        <w:spacing w:before="50" w:after="50" w:line="276" w:lineRule="auto"/>
      </w:pPr>
      <w:r>
        <w:rPr>
          <w:b/>
          <w:bCs/>
          <w:color w:val="1F3864"/>
        </w:rPr>
        <w:t xml:space="preserve">Mrs. </w:t>
      </w:r>
      <w:proofErr w:type="spellStart"/>
      <w:r>
        <w:rPr>
          <w:b/>
          <w:bCs/>
          <w:color w:val="1F3864"/>
        </w:rPr>
        <w:t>Nini</w:t>
      </w:r>
      <w:proofErr w:type="spellEnd"/>
      <w:r>
        <w:rPr>
          <w:b/>
          <w:bCs/>
          <w:color w:val="1F3864"/>
        </w:rPr>
        <w:t xml:space="preserve"> </w:t>
      </w:r>
      <w:proofErr w:type="spellStart"/>
      <w:r>
        <w:rPr>
          <w:b/>
          <w:bCs/>
          <w:color w:val="1F3864"/>
        </w:rPr>
        <w:t>Yogesh</w:t>
      </w:r>
      <w:proofErr w:type="spellEnd"/>
      <w:r>
        <w:rPr>
          <w:b/>
          <w:bCs/>
          <w:color w:val="1F3864"/>
        </w:rPr>
        <w:t xml:space="preserve"> Kothari:</w:t>
      </w:r>
      <w:r>
        <w:t xml:space="preserve"> Wife of Mr. </w:t>
      </w:r>
      <w:proofErr w:type="spellStart"/>
      <w:r>
        <w:t>Yogesh</w:t>
      </w:r>
      <w:proofErr w:type="spellEnd"/>
      <w:r>
        <w:t xml:space="preserve"> Kothari. Part of the promoter group.</w:t>
      </w:r>
    </w:p>
    <w:p w:rsidR="000C0FB9" w:rsidRDefault="00981575">
      <w:pPr>
        <w:pStyle w:val="ListParagraph"/>
        <w:numPr>
          <w:ilvl w:val="0"/>
          <w:numId w:val="2"/>
        </w:numPr>
        <w:spacing w:before="50" w:after="50" w:line="276" w:lineRule="auto"/>
      </w:pPr>
      <w:r>
        <w:rPr>
          <w:b/>
          <w:bCs/>
          <w:color w:val="1F3864"/>
        </w:rPr>
        <w:t xml:space="preserve">Mr. </w:t>
      </w:r>
      <w:proofErr w:type="spellStart"/>
      <w:r>
        <w:rPr>
          <w:b/>
          <w:bCs/>
          <w:color w:val="1F3864"/>
        </w:rPr>
        <w:t>Hemendra</w:t>
      </w:r>
      <w:proofErr w:type="spellEnd"/>
      <w:r>
        <w:rPr>
          <w:b/>
          <w:bCs/>
          <w:color w:val="1F3864"/>
        </w:rPr>
        <w:t xml:space="preserve"> M. Kothari:</w:t>
      </w:r>
      <w:r>
        <w:t xml:space="preserve"> Part of the extended promoter group.</w:t>
      </w:r>
    </w:p>
    <w:p w:rsidR="000C0FB9" w:rsidRDefault="00981575">
      <w:pPr>
        <w:pStyle w:val="ListParagraph"/>
        <w:numPr>
          <w:ilvl w:val="0"/>
          <w:numId w:val="2"/>
        </w:numPr>
        <w:spacing w:before="50" w:after="50" w:line="276" w:lineRule="auto"/>
      </w:pPr>
      <w:r>
        <w:rPr>
          <w:b/>
          <w:bCs/>
          <w:color w:val="1F3864"/>
        </w:rPr>
        <w:t>Promoter Entities:</w:t>
      </w:r>
      <w:r>
        <w:t xml:space="preserve"> Includes family-controlled investment vehicles — </w:t>
      </w:r>
      <w:proofErr w:type="spellStart"/>
      <w:r>
        <w:rPr>
          <w:b/>
          <w:bCs/>
          <w:color w:val="1F3864"/>
        </w:rPr>
        <w:t>Niyoko</w:t>
      </w:r>
      <w:proofErr w:type="spellEnd"/>
      <w:r>
        <w:rPr>
          <w:b/>
          <w:bCs/>
          <w:color w:val="1F3864"/>
        </w:rPr>
        <w:t xml:space="preserve">, </w:t>
      </w:r>
      <w:proofErr w:type="spellStart"/>
      <w:r>
        <w:rPr>
          <w:b/>
          <w:bCs/>
          <w:color w:val="1F3864"/>
        </w:rPr>
        <w:t>Purjeeko</w:t>
      </w:r>
      <w:proofErr w:type="spellEnd"/>
      <w:r>
        <w:rPr>
          <w:b/>
          <w:bCs/>
          <w:color w:val="1F3864"/>
        </w:rPr>
        <w:t>,</w:t>
      </w:r>
      <w:r>
        <w:t xml:space="preserve"> and </w:t>
      </w:r>
      <w:r>
        <w:rPr>
          <w:b/>
          <w:bCs/>
          <w:color w:val="1F3864"/>
        </w:rPr>
        <w:t>SYK Trading &amp; Consultancy LLP</w:t>
      </w:r>
    </w:p>
    <w:p w:rsidR="000C0FB9" w:rsidRDefault="00981575">
      <w:pPr>
        <w:pStyle w:val="Heading2"/>
        <w:spacing w:line="276" w:lineRule="auto"/>
      </w:pPr>
      <w:proofErr w:type="gramStart"/>
      <w:r>
        <w:t>7.2  Key</w:t>
      </w:r>
      <w:proofErr w:type="gramEnd"/>
      <w:r>
        <w:t xml:space="preserve"> Managerial Personnel (KMP)</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0C0FB9">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lastRenderedPageBreak/>
              <w:t>Name</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Designation</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Background &amp; Role</w:t>
            </w:r>
          </w:p>
        </w:tc>
      </w:tr>
      <w:tr w:rsidR="000C0FB9" w:rsidTr="00180966">
        <w:trPr>
          <w:trHeight w:val="724"/>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Yogesh</w:t>
            </w:r>
            <w:proofErr w:type="spellEnd"/>
            <w:r>
              <w:rPr>
                <w:sz w:val="20"/>
                <w:szCs w:val="20"/>
              </w:rPr>
              <w:t xml:space="preserve"> M. Kothari</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Chairman &amp; Managing Director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Chemical Engineer, ICT Mumbai. Founder with ~4 decades in chemical sector. Primary visionary behind AACL's growth; oversees sustainability and business policies.</w:t>
            </w:r>
          </w:p>
        </w:tc>
      </w:tr>
      <w:tr w:rsidR="000C0F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Suneet</w:t>
            </w:r>
            <w:proofErr w:type="spellEnd"/>
            <w:r>
              <w:rPr>
                <w:sz w:val="20"/>
                <w:szCs w:val="20"/>
              </w:rPr>
              <w:t xml:space="preserve"> Y. Kothari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Executive Director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Chemical Engineer; Chemistry/Biochemistry degree from Cornell University, USA. Son of Mr. </w:t>
            </w:r>
            <w:proofErr w:type="spellStart"/>
            <w:r>
              <w:rPr>
                <w:sz w:val="20"/>
                <w:szCs w:val="20"/>
              </w:rPr>
              <w:t>Yogesh</w:t>
            </w:r>
            <w:proofErr w:type="spellEnd"/>
            <w:r>
              <w:rPr>
                <w:sz w:val="20"/>
                <w:szCs w:val="20"/>
              </w:rPr>
              <w:t xml:space="preserve"> Kothari. Joined 2001. Focuses on marketing and business management.</w:t>
            </w:r>
          </w:p>
        </w:tc>
      </w:tr>
      <w:tr w:rsidR="000C0FB9">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Kirat</w:t>
            </w:r>
            <w:proofErr w:type="spellEnd"/>
            <w:r>
              <w:rPr>
                <w:sz w:val="20"/>
                <w:szCs w:val="20"/>
              </w:rPr>
              <w:t xml:space="preserve"> M. Patel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Executive Director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Mechanical Engineer, IIT Mumbai. With company since inception. Manages operations and technology transfers; served as CFO until May 2022.</w:t>
            </w:r>
          </w:p>
        </w:tc>
      </w:tr>
      <w:tr w:rsidR="000C0F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Mr. Rakesh S. </w:t>
            </w:r>
            <w:proofErr w:type="spellStart"/>
            <w:r>
              <w:rPr>
                <w:sz w:val="20"/>
                <w:szCs w:val="20"/>
              </w:rPr>
              <w:t>Goyal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Whole-time Director – Operations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Oversees manufacturing plants and technology transfer across all three manufacturing sites.</w:t>
            </w:r>
          </w:p>
        </w:tc>
      </w:tr>
      <w:tr w:rsidR="000C0FB9">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 xml:space="preserve">Mrs. </w:t>
            </w:r>
            <w:proofErr w:type="spellStart"/>
            <w:r>
              <w:rPr>
                <w:sz w:val="20"/>
                <w:szCs w:val="20"/>
              </w:rPr>
              <w:t>Kanchan</w:t>
            </w:r>
            <w:proofErr w:type="spellEnd"/>
            <w:r>
              <w:rPr>
                <w:sz w:val="20"/>
                <w:szCs w:val="20"/>
              </w:rPr>
              <w:t xml:space="preserve"> A. </w:t>
            </w:r>
            <w:proofErr w:type="spellStart"/>
            <w:r>
              <w:rPr>
                <w:sz w:val="20"/>
                <w:szCs w:val="20"/>
              </w:rPr>
              <w:t>Shinde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Chief Financial Officer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Appointed May 2022. Leads financial planning, accounting, and treasury functions.</w:t>
            </w:r>
          </w:p>
        </w:tc>
      </w:tr>
      <w:tr w:rsidR="000C0F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Chintamani</w:t>
            </w:r>
            <w:proofErr w:type="spellEnd"/>
            <w:r>
              <w:rPr>
                <w:sz w:val="20"/>
                <w:szCs w:val="20"/>
              </w:rPr>
              <w:t xml:space="preserve"> D. </w:t>
            </w:r>
            <w:proofErr w:type="spellStart"/>
            <w:r>
              <w:rPr>
                <w:sz w:val="20"/>
                <w:szCs w:val="20"/>
              </w:rPr>
              <w:t>Thatte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GM Legal &amp; Company Secretary</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Serves as Compliance Officer; handles all legal and secretarial matters.</w:t>
            </w:r>
          </w:p>
        </w:tc>
      </w:tr>
    </w:tbl>
    <w:p w:rsidR="000C0FB9" w:rsidRDefault="00981575">
      <w:pPr>
        <w:pStyle w:val="Heading1"/>
        <w:pBdr>
          <w:bottom w:val="single" w:sz="6" w:space="1" w:color="1E6091"/>
        </w:pBdr>
        <w:spacing w:line="276" w:lineRule="auto"/>
      </w:pPr>
      <w:r>
        <w:t>Section 8: Financial Profile &amp; Credit Metrics</w:t>
      </w:r>
    </w:p>
    <w:p w:rsidR="000C0FB9" w:rsidRDefault="00981575">
      <w:pPr>
        <w:pStyle w:val="Heading2"/>
        <w:spacing w:line="276" w:lineRule="auto"/>
      </w:pPr>
      <w:proofErr w:type="gramStart"/>
      <w:r>
        <w:t>8.1  Revenue</w:t>
      </w:r>
      <w:proofErr w:type="gramEnd"/>
      <w:r>
        <w:t xml:space="preserve"> &amp; Profitability Trends</w:t>
      </w:r>
    </w:p>
    <w:p w:rsidR="000C0FB9" w:rsidRDefault="00981575">
      <w:pPr>
        <w:spacing w:before="60" w:after="60" w:line="276" w:lineRule="auto"/>
      </w:pPr>
      <w:r>
        <w:t>AACL has demonstrated consistent top-line performance through a volatile global environment for raw materials. After industry-wide normalization following the post-pandemic pricing peak, the company returned to revenue growth in FY25:</w:t>
      </w:r>
    </w:p>
    <w:p w:rsidR="000C0FB9" w:rsidRDefault="00981575">
      <w:pPr>
        <w:pStyle w:val="ListParagraph"/>
        <w:numPr>
          <w:ilvl w:val="0"/>
          <w:numId w:val="2"/>
        </w:numPr>
        <w:spacing w:before="50" w:after="50" w:line="276" w:lineRule="auto"/>
      </w:pPr>
      <w:r>
        <w:rPr>
          <w:b/>
          <w:bCs/>
          <w:color w:val="1F3864"/>
        </w:rPr>
        <w:t>FY24 Revenue:</w:t>
      </w:r>
      <w:r>
        <w:t xml:space="preserve"> ₹1,440.60 </w:t>
      </w:r>
      <w:proofErr w:type="gramStart"/>
      <w:r>
        <w:t>crore</w:t>
      </w:r>
      <w:proofErr w:type="gramEnd"/>
      <w:r>
        <w:t>.</w:t>
      </w:r>
    </w:p>
    <w:p w:rsidR="000C0FB9" w:rsidRDefault="00981575">
      <w:pPr>
        <w:pStyle w:val="ListParagraph"/>
        <w:numPr>
          <w:ilvl w:val="0"/>
          <w:numId w:val="2"/>
        </w:numPr>
        <w:spacing w:before="50" w:after="50" w:line="276" w:lineRule="auto"/>
      </w:pPr>
      <w:r>
        <w:rPr>
          <w:b/>
          <w:bCs/>
          <w:color w:val="1F3864"/>
        </w:rPr>
        <w:t>FY25 Revenue:</w:t>
      </w:r>
      <w:r>
        <w:t xml:space="preserve"> ₹1,571.82 </w:t>
      </w:r>
      <w:proofErr w:type="gramStart"/>
      <w:r>
        <w:t>crore</w:t>
      </w:r>
      <w:proofErr w:type="gramEnd"/>
      <w:r>
        <w:t xml:space="preserve"> — growth of </w:t>
      </w:r>
      <w:r>
        <w:rPr>
          <w:b/>
          <w:bCs/>
          <w:color w:val="1F3864"/>
        </w:rPr>
        <w:t>8.83% year-on-year.</w:t>
      </w:r>
    </w:p>
    <w:p w:rsidR="000C0FB9" w:rsidRDefault="00981575" w:rsidP="00180966">
      <w:pPr>
        <w:pStyle w:val="ListParagraph"/>
        <w:numPr>
          <w:ilvl w:val="0"/>
          <w:numId w:val="2"/>
        </w:numPr>
        <w:spacing w:before="50" w:after="50" w:line="276" w:lineRule="auto"/>
      </w:pPr>
      <w:r>
        <w:rPr>
          <w:b/>
          <w:bCs/>
          <w:color w:val="1F3864"/>
        </w:rPr>
        <w:t>FY26 Revenue:</w:t>
      </w:r>
      <w:r>
        <w:t xml:space="preserve"> </w:t>
      </w:r>
      <w:r w:rsidR="00180966">
        <w:t xml:space="preserve">1,536 </w:t>
      </w:r>
      <w:proofErr w:type="gramStart"/>
      <w:r w:rsidR="00180966">
        <w:t>crore</w:t>
      </w:r>
      <w:proofErr w:type="gramEnd"/>
      <w:r w:rsidR="00180966">
        <w:t xml:space="preserve"> — growth of </w:t>
      </w:r>
      <w:r w:rsidR="00180966">
        <w:rPr>
          <w:b/>
          <w:bCs/>
          <w:color w:val="1F3864"/>
        </w:rPr>
        <w:t>-2.29% year-on-year.</w:t>
      </w:r>
    </w:p>
    <w:p w:rsidR="000C0FB9" w:rsidRDefault="00981575">
      <w:pPr>
        <w:pStyle w:val="ListParagraph"/>
        <w:numPr>
          <w:ilvl w:val="0"/>
          <w:numId w:val="2"/>
        </w:numPr>
        <w:spacing w:before="50" w:after="50" w:line="276" w:lineRule="auto"/>
      </w:pPr>
      <w:r>
        <w:rPr>
          <w:b/>
          <w:bCs/>
          <w:color w:val="1F3864"/>
        </w:rPr>
        <w:t>FY24 PAT:</w:t>
      </w:r>
      <w:r>
        <w:t xml:space="preserve"> ₹148.87 crore.</w:t>
      </w:r>
    </w:p>
    <w:p w:rsidR="000C0FB9" w:rsidRDefault="00981575">
      <w:pPr>
        <w:pStyle w:val="ListParagraph"/>
        <w:numPr>
          <w:ilvl w:val="0"/>
          <w:numId w:val="2"/>
        </w:numPr>
        <w:spacing w:before="50" w:after="50" w:line="276" w:lineRule="auto"/>
      </w:pPr>
      <w:r>
        <w:rPr>
          <w:b/>
          <w:bCs/>
          <w:color w:val="1F3864"/>
        </w:rPr>
        <w:t>FY25 PAT:</w:t>
      </w:r>
      <w:r>
        <w:t xml:space="preserve"> ₹186.11 crore — PAT margin improved to </w:t>
      </w:r>
      <w:r>
        <w:rPr>
          <w:b/>
          <w:bCs/>
          <w:color w:val="1F3864"/>
        </w:rPr>
        <w:t>11.84%</w:t>
      </w:r>
      <w:r>
        <w:t xml:space="preserve"> from 10.33% in FY24.</w:t>
      </w:r>
    </w:p>
    <w:p w:rsidR="00180966" w:rsidRDefault="00180966" w:rsidP="00180966">
      <w:pPr>
        <w:pStyle w:val="ListParagraph"/>
        <w:numPr>
          <w:ilvl w:val="0"/>
          <w:numId w:val="2"/>
        </w:numPr>
        <w:spacing w:before="50" w:after="50" w:line="276" w:lineRule="auto"/>
      </w:pPr>
      <w:r>
        <w:rPr>
          <w:b/>
          <w:bCs/>
          <w:color w:val="1F3864"/>
        </w:rPr>
        <w:t xml:space="preserve">FY26 PAT: </w:t>
      </w:r>
      <w:r>
        <w:t xml:space="preserve">₹180 </w:t>
      </w:r>
      <w:proofErr w:type="gramStart"/>
      <w:r>
        <w:t>crore</w:t>
      </w:r>
      <w:proofErr w:type="gramEnd"/>
      <w:r>
        <w:t xml:space="preserve"> — PAT margin, 11.71%</w:t>
      </w:r>
    </w:p>
    <w:p w:rsidR="000C0FB9" w:rsidRDefault="00981575" w:rsidP="00180966">
      <w:pPr>
        <w:pStyle w:val="ListParagraph"/>
        <w:numPr>
          <w:ilvl w:val="0"/>
          <w:numId w:val="2"/>
        </w:numPr>
        <w:spacing w:before="50" w:after="50" w:line="276" w:lineRule="auto"/>
      </w:pPr>
      <w:r>
        <w:rPr>
          <w:b/>
          <w:bCs/>
          <w:color w:val="1F3864"/>
        </w:rPr>
        <w:t>Q4 FY26 Margin Recovery:</w:t>
      </w:r>
      <w:r>
        <w:t xml:space="preserve"> Management noted a meaningful margin expansion in Q4 FY26, driven partly by the ammonia supply disruption creating an inventory gain phenomenon — finished goods priced at elevated market rates while raw materials were consumed from lower-cost safety stocks.</w:t>
      </w:r>
    </w:p>
    <w:p w:rsidR="000C0FB9" w:rsidRDefault="00981575">
      <w:pPr>
        <w:pStyle w:val="Heading2"/>
        <w:spacing w:line="276" w:lineRule="auto"/>
      </w:pPr>
      <w:proofErr w:type="gramStart"/>
      <w:r>
        <w:t>8</w:t>
      </w:r>
      <w:r w:rsidR="00180966">
        <w:t>.2</w:t>
      </w:r>
      <w:r>
        <w:t xml:space="preserve">  Capital</w:t>
      </w:r>
      <w:proofErr w:type="gramEnd"/>
      <w:r>
        <w:t xml:space="preserve"> Structure &amp; Debt Profile</w:t>
      </w:r>
    </w:p>
    <w:p w:rsidR="000C0FB9" w:rsidRDefault="00981575">
      <w:pPr>
        <w:pStyle w:val="ListParagraph"/>
        <w:numPr>
          <w:ilvl w:val="0"/>
          <w:numId w:val="2"/>
        </w:numPr>
        <w:spacing w:before="50" w:after="50" w:line="276" w:lineRule="auto"/>
      </w:pPr>
      <w:r>
        <w:rPr>
          <w:b/>
          <w:bCs/>
          <w:color w:val="1F3864"/>
        </w:rPr>
        <w:t>Zero Debt (Standalone):</w:t>
      </w:r>
      <w:r>
        <w:t xml:space="preserve"> AACL maintains an </w:t>
      </w:r>
      <w:r>
        <w:rPr>
          <w:b/>
          <w:bCs/>
          <w:color w:val="1F3864"/>
        </w:rPr>
        <w:t>absolute zero-debt status</w:t>
      </w:r>
      <w:r>
        <w:t xml:space="preserve"> on its standalone balance sheet as of September 30, 2025 — Debt/Equity ratio of 0.00x. This has been </w:t>
      </w:r>
      <w:r>
        <w:lastRenderedPageBreak/>
        <w:t xml:space="preserve">maintained consistently across all major expansion cycles including the ₹400 crore </w:t>
      </w:r>
      <w:proofErr w:type="spellStart"/>
      <w:r>
        <w:t>Ethylamines</w:t>
      </w:r>
      <w:proofErr w:type="spellEnd"/>
      <w:r>
        <w:t xml:space="preserve"> plant.</w:t>
      </w:r>
    </w:p>
    <w:p w:rsidR="000C0FB9" w:rsidRDefault="00981575">
      <w:pPr>
        <w:pStyle w:val="ListParagraph"/>
        <w:numPr>
          <w:ilvl w:val="0"/>
          <w:numId w:val="2"/>
        </w:numPr>
        <w:spacing w:before="50" w:after="50" w:line="276" w:lineRule="auto"/>
      </w:pPr>
      <w:r>
        <w:rPr>
          <w:b/>
          <w:bCs/>
          <w:color w:val="1F3864"/>
        </w:rPr>
        <w:t>Net Worth (Sep 2025):</w:t>
      </w:r>
      <w:r>
        <w:t xml:space="preserve"> ₹1,440.1 </w:t>
      </w:r>
      <w:proofErr w:type="gramStart"/>
      <w:r>
        <w:t>crore</w:t>
      </w:r>
      <w:proofErr w:type="gramEnd"/>
      <w:r>
        <w:t xml:space="preserve"> — a robust equity base supporting the company's expansion commitments without external leverage.</w:t>
      </w:r>
    </w:p>
    <w:p w:rsidR="000C0FB9" w:rsidRDefault="00981575">
      <w:pPr>
        <w:pStyle w:val="ListParagraph"/>
        <w:numPr>
          <w:ilvl w:val="0"/>
          <w:numId w:val="2"/>
        </w:numPr>
        <w:spacing w:before="50" w:after="50" w:line="276" w:lineRule="auto"/>
      </w:pPr>
      <w:r>
        <w:rPr>
          <w:b/>
          <w:bCs/>
          <w:color w:val="1F3864"/>
        </w:rPr>
        <w:t>Interest Coverage (FY25):</w:t>
      </w:r>
      <w:r>
        <w:t xml:space="preserve"> </w:t>
      </w:r>
      <w:r>
        <w:rPr>
          <w:b/>
          <w:bCs/>
          <w:color w:val="1F3864"/>
        </w:rPr>
        <w:t>291.08x</w:t>
      </w:r>
      <w:r>
        <w:t xml:space="preserve"> — effectively operating with no interest burden. Credit agencies project this to remain above 100x over the medium term.</w:t>
      </w:r>
    </w:p>
    <w:p w:rsidR="000C0FB9" w:rsidRDefault="00981575">
      <w:pPr>
        <w:pStyle w:val="ListParagraph"/>
        <w:numPr>
          <w:ilvl w:val="0"/>
          <w:numId w:val="2"/>
        </w:numPr>
        <w:spacing w:before="50" w:after="50" w:line="276" w:lineRule="auto"/>
      </w:pPr>
      <w:r>
        <w:rPr>
          <w:b/>
          <w:bCs/>
          <w:color w:val="1F3864"/>
        </w:rPr>
        <w:t>Cash Buffer:</w:t>
      </w:r>
      <w:r>
        <w:t xml:space="preserve"> Management maintains a deliberate policy of holding </w:t>
      </w:r>
      <w:r>
        <w:rPr>
          <w:b/>
          <w:bCs/>
          <w:color w:val="1F3864"/>
        </w:rPr>
        <w:t>₹150–200 crore</w:t>
      </w:r>
      <w:r>
        <w:t xml:space="preserve"> in free fixed deposits at all times. Cash and bank balance stood at ₹165.4 crore as of September 2025.</w:t>
      </w:r>
    </w:p>
    <w:p w:rsidR="000C0FB9" w:rsidRDefault="00981575">
      <w:pPr>
        <w:pStyle w:val="ListParagraph"/>
        <w:numPr>
          <w:ilvl w:val="0"/>
          <w:numId w:val="2"/>
        </w:numPr>
        <w:spacing w:before="50" w:after="50" w:line="276" w:lineRule="auto"/>
      </w:pPr>
      <w:r>
        <w:rPr>
          <w:b/>
          <w:bCs/>
          <w:color w:val="1F3864"/>
        </w:rPr>
        <w:t>Current Ratio:</w:t>
      </w:r>
      <w:r>
        <w:t xml:space="preserve"> Above 3x (Sep 2025), 2.57x (FY25) — superior short-term liquidity.</w:t>
      </w:r>
    </w:p>
    <w:p w:rsidR="006C5C25" w:rsidRDefault="006C5C25" w:rsidP="006C5C25">
      <w:pPr>
        <w:pStyle w:val="ListParagraph"/>
        <w:spacing w:before="50" w:after="50" w:line="276" w:lineRule="auto"/>
        <w:ind w:left="560"/>
        <w:jc w:val="center"/>
      </w:pPr>
      <w:r w:rsidRPr="006C5C25">
        <w:rPr>
          <w:noProof/>
        </w:rPr>
        <w:drawing>
          <wp:inline distT="0" distB="0" distL="0" distR="0" wp14:anchorId="681AFFE6" wp14:editId="70375C4C">
            <wp:extent cx="1228895" cy="1564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62684" cy="1607540"/>
                    </a:xfrm>
                    <a:prstGeom prst="rect">
                      <a:avLst/>
                    </a:prstGeom>
                  </pic:spPr>
                </pic:pic>
              </a:graphicData>
            </a:graphic>
          </wp:inline>
        </w:drawing>
      </w:r>
      <w:r w:rsidRPr="006C5C25">
        <w:rPr>
          <w:noProof/>
        </w:rPr>
        <w:drawing>
          <wp:inline distT="0" distB="0" distL="0" distR="0" wp14:anchorId="0B4811AB" wp14:editId="437DA882">
            <wp:extent cx="3719847" cy="1643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1350" cy="1662146"/>
                    </a:xfrm>
                    <a:prstGeom prst="rect">
                      <a:avLst/>
                    </a:prstGeom>
                  </pic:spPr>
                </pic:pic>
              </a:graphicData>
            </a:graphic>
          </wp:inline>
        </w:drawing>
      </w:r>
    </w:p>
    <w:p w:rsidR="006C5C25" w:rsidRDefault="006C5C25" w:rsidP="006C5C25">
      <w:pPr>
        <w:pStyle w:val="ListParagraph"/>
        <w:spacing w:before="50" w:after="50" w:line="276" w:lineRule="auto"/>
        <w:ind w:left="560"/>
        <w:jc w:val="center"/>
      </w:pPr>
      <w:r w:rsidRPr="006C5C25">
        <w:rPr>
          <w:noProof/>
        </w:rPr>
        <w:drawing>
          <wp:inline distT="0" distB="0" distL="0" distR="0" wp14:anchorId="5F370861" wp14:editId="6B8668D3">
            <wp:extent cx="2669202" cy="134984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7329" cy="1364065"/>
                    </a:xfrm>
                    <a:prstGeom prst="rect">
                      <a:avLst/>
                    </a:prstGeom>
                  </pic:spPr>
                </pic:pic>
              </a:graphicData>
            </a:graphic>
          </wp:inline>
        </w:drawing>
      </w:r>
    </w:p>
    <w:p w:rsidR="000C0FB9" w:rsidRDefault="00981575">
      <w:pPr>
        <w:pStyle w:val="Heading2"/>
        <w:spacing w:line="276" w:lineRule="auto"/>
      </w:pPr>
      <w:proofErr w:type="gramStart"/>
      <w:r>
        <w:t>8.4  Working</w:t>
      </w:r>
      <w:proofErr w:type="gramEnd"/>
      <w:r>
        <w:t xml:space="preserve"> Capital Efficiency</w:t>
      </w:r>
    </w:p>
    <w:p w:rsidR="000C0FB9" w:rsidRDefault="00981575">
      <w:pPr>
        <w:pStyle w:val="ListParagraph"/>
        <w:numPr>
          <w:ilvl w:val="0"/>
          <w:numId w:val="2"/>
        </w:numPr>
        <w:spacing w:before="50" w:after="50" w:line="276" w:lineRule="auto"/>
      </w:pPr>
      <w:r>
        <w:rPr>
          <w:b/>
          <w:bCs/>
          <w:color w:val="1F3864"/>
        </w:rPr>
        <w:t>Inventory Days:</w:t>
      </w:r>
      <w:r>
        <w:t xml:space="preserve"> 38 days in FY25 (up from 31 days in FY24) — slight increase due to ramp-up of new </w:t>
      </w:r>
      <w:proofErr w:type="spellStart"/>
      <w:r>
        <w:t>Ethylamines</w:t>
      </w:r>
      <w:proofErr w:type="spellEnd"/>
      <w:r>
        <w:t xml:space="preserve"> plant inventory. AACL actively manages working capital efficiency to improve operational cash generation and ROCE.</w:t>
      </w:r>
    </w:p>
    <w:p w:rsidR="000C0FB9" w:rsidRDefault="00981575">
      <w:pPr>
        <w:pStyle w:val="ListParagraph"/>
        <w:numPr>
          <w:ilvl w:val="0"/>
          <w:numId w:val="2"/>
        </w:numPr>
        <w:spacing w:before="50" w:after="50" w:line="276" w:lineRule="auto"/>
      </w:pPr>
      <w:r>
        <w:rPr>
          <w:b/>
          <w:bCs/>
          <w:color w:val="1F3864"/>
        </w:rPr>
        <w:t>Debtor Days:</w:t>
      </w:r>
      <w:r>
        <w:t xml:space="preserve"> Improved to 51 days in FY25 from 55 days in FY24 — reflecting better collections management.</w:t>
      </w:r>
    </w:p>
    <w:p w:rsidR="000C0FB9" w:rsidRDefault="00981575">
      <w:pPr>
        <w:pStyle w:val="ListParagraph"/>
        <w:numPr>
          <w:ilvl w:val="0"/>
          <w:numId w:val="2"/>
        </w:numPr>
        <w:spacing w:before="50" w:after="50" w:line="276" w:lineRule="auto"/>
      </w:pPr>
      <w:r>
        <w:rPr>
          <w:b/>
          <w:bCs/>
          <w:color w:val="1F3864"/>
        </w:rPr>
        <w:t>Creditor Days:</w:t>
      </w:r>
      <w:r>
        <w:t xml:space="preserve"> Maintained at 59 days in FY25.</w:t>
      </w:r>
    </w:p>
    <w:p w:rsidR="000C0FB9" w:rsidRDefault="00981575">
      <w:pPr>
        <w:pStyle w:val="ListParagraph"/>
        <w:numPr>
          <w:ilvl w:val="0"/>
          <w:numId w:val="2"/>
        </w:numPr>
        <w:spacing w:before="50" w:after="50" w:line="276" w:lineRule="auto"/>
      </w:pPr>
      <w:r>
        <w:rPr>
          <w:b/>
          <w:bCs/>
          <w:color w:val="1F3864"/>
        </w:rPr>
        <w:t>Peak Working Capital Utilisation:</w:t>
      </w:r>
      <w:r>
        <w:t xml:space="preserve"> Very low, indicating the company operates with substantial liquidity headroom relative to sanctioned limits.</w:t>
      </w:r>
    </w:p>
    <w:p w:rsidR="000C0FB9" w:rsidRDefault="00981575">
      <w:pPr>
        <w:pStyle w:val="Heading2"/>
        <w:spacing w:line="276" w:lineRule="auto"/>
      </w:pPr>
      <w:proofErr w:type="gramStart"/>
      <w:r>
        <w:t>8.5  Credit</w:t>
      </w:r>
      <w:proofErr w:type="gramEnd"/>
      <w:r>
        <w:t xml:space="preserve"> Ratings (Reaffirmed December 2025)</w:t>
      </w:r>
    </w:p>
    <w:p w:rsidR="000C0FB9" w:rsidRDefault="00981575">
      <w:pPr>
        <w:pStyle w:val="ListParagraph"/>
        <w:numPr>
          <w:ilvl w:val="0"/>
          <w:numId w:val="2"/>
        </w:numPr>
        <w:spacing w:before="50" w:after="50" w:line="276" w:lineRule="auto"/>
      </w:pPr>
      <w:r>
        <w:rPr>
          <w:b/>
          <w:bCs/>
          <w:color w:val="1F3864"/>
        </w:rPr>
        <w:t>Long-Term Rating:</w:t>
      </w:r>
      <w:r>
        <w:t xml:space="preserve"> </w:t>
      </w:r>
      <w:r>
        <w:rPr>
          <w:b/>
          <w:bCs/>
          <w:color w:val="1F3864"/>
        </w:rPr>
        <w:t>CRISIL AA-/Stable</w:t>
      </w:r>
      <w:r>
        <w:t xml:space="preserve"> — reflecting established market leadership, diversified product revenue, and a healthy financial risk profile.</w:t>
      </w:r>
    </w:p>
    <w:p w:rsidR="000C0FB9" w:rsidRDefault="00981575">
      <w:pPr>
        <w:pStyle w:val="ListParagraph"/>
        <w:numPr>
          <w:ilvl w:val="0"/>
          <w:numId w:val="2"/>
        </w:numPr>
        <w:spacing w:before="50" w:after="50" w:line="276" w:lineRule="auto"/>
      </w:pPr>
      <w:r>
        <w:rPr>
          <w:b/>
          <w:bCs/>
          <w:color w:val="1F3864"/>
        </w:rPr>
        <w:t>Short-Term Rating:</w:t>
      </w:r>
      <w:r>
        <w:t xml:space="preserve"> </w:t>
      </w:r>
      <w:r>
        <w:rPr>
          <w:b/>
          <w:bCs/>
          <w:color w:val="1F3864"/>
        </w:rPr>
        <w:t>CRISIL A1+</w:t>
      </w:r>
      <w:r>
        <w:t xml:space="preserve"> — highest short-term credit quality.</w:t>
      </w:r>
    </w:p>
    <w:p w:rsidR="000C0FB9" w:rsidRDefault="00981575">
      <w:pPr>
        <w:pStyle w:val="Heading2"/>
        <w:spacing w:line="276" w:lineRule="auto"/>
      </w:pPr>
      <w:proofErr w:type="gramStart"/>
      <w:r>
        <w:t>8.6  Return</w:t>
      </w:r>
      <w:proofErr w:type="gramEnd"/>
      <w:r>
        <w:t xml:space="preserve"> Ratios (FY 2024-25)</w:t>
      </w:r>
    </w:p>
    <w:p w:rsidR="000C0FB9" w:rsidRDefault="00981575">
      <w:pPr>
        <w:pStyle w:val="ListParagraph"/>
        <w:numPr>
          <w:ilvl w:val="0"/>
          <w:numId w:val="2"/>
        </w:numPr>
        <w:spacing w:before="50" w:after="50" w:line="276" w:lineRule="auto"/>
      </w:pPr>
      <w:r>
        <w:rPr>
          <w:b/>
          <w:bCs/>
          <w:color w:val="1F3864"/>
        </w:rPr>
        <w:lastRenderedPageBreak/>
        <w:t>ROCE:</w:t>
      </w:r>
      <w:r>
        <w:t xml:space="preserve"> 16.69% — healthy return on the capital base despite the heavy capex phase.</w:t>
      </w:r>
    </w:p>
    <w:p w:rsidR="000C0FB9" w:rsidRDefault="00981575">
      <w:pPr>
        <w:pStyle w:val="ListParagraph"/>
        <w:numPr>
          <w:ilvl w:val="0"/>
          <w:numId w:val="2"/>
        </w:numPr>
        <w:spacing w:before="50" w:after="50" w:line="276" w:lineRule="auto"/>
      </w:pPr>
      <w:r>
        <w:rPr>
          <w:b/>
          <w:bCs/>
          <w:color w:val="1F3864"/>
        </w:rPr>
        <w:t>ROE:</w:t>
      </w:r>
      <w:r>
        <w:t xml:space="preserve"> 13.94% — supported by strong PAT generation and a growing equity base.</w:t>
      </w:r>
    </w:p>
    <w:p w:rsidR="000C0FB9" w:rsidRDefault="00981575">
      <w:pPr>
        <w:pStyle w:val="Heading1"/>
        <w:pBdr>
          <w:bottom w:val="single" w:sz="6" w:space="1" w:color="1E6091"/>
        </w:pBdr>
        <w:spacing w:line="276" w:lineRule="auto"/>
      </w:pPr>
      <w:r>
        <w:t>Section 9: Risk Factors &amp; Mitigation Framework</w:t>
      </w:r>
    </w:p>
    <w:p w:rsidR="000C0FB9" w:rsidRDefault="00981575">
      <w:pPr>
        <w:pStyle w:val="Heading2"/>
        <w:spacing w:line="276" w:lineRule="auto"/>
      </w:pPr>
      <w:proofErr w:type="gramStart"/>
      <w:r>
        <w:t>9.1  Enterprise</w:t>
      </w:r>
      <w:proofErr w:type="gramEnd"/>
      <w:r>
        <w:t xml:space="preserve"> Risk Overview</w:t>
      </w:r>
    </w:p>
    <w:p w:rsidR="000C0FB9" w:rsidRDefault="00981575">
      <w:pPr>
        <w:spacing w:before="60" w:after="60" w:line="276" w:lineRule="auto"/>
      </w:pPr>
      <w:r>
        <w:t>AACL operates an industry where risks are multi-dimensional — raw material availability, competitive intensity, regulatory changes, and operational safety all interact. The following table presents the company's principal risks, descriptions, and mitigation strategies as sourced from management commentary (May 2026), credit assessments (December 2025), and earnings call transcripts.</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860"/>
      </w:tblGrid>
      <w:tr w:rsidR="000C0FB9">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Risk</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Description</w:t>
            </w:r>
          </w:p>
        </w:tc>
        <w:tc>
          <w:tcPr>
            <w:tcW w:w="3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Mitigation</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Raw Material Volatility</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Ammonia and Methanol are primary raw materials; the March 2026 crisis (war in West Asia) caused AACL to suspend all three sites for 1–2 weeks as ammonia prices doubled from ₹50 to ₹100/kg</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Daily supply monitoring; buying cycles compressed to 3–4 day windows; evaluating Green Ammonia as long-term alternative; pricing power used to pass costs to customers</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Chinese Dumping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Persistent aggressive pricing from China and Saudi Arabia in Acetonitrile, DMF, and EDA segments — compresses realizations and margins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Anti-dumping duty (ADD) application filed for Acetonitrile imports; management expects 15–20% realization boost on approval; unique process route provides quality differentiation</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Methylamines Overcapacity</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New domestic entrants (</w:t>
            </w:r>
            <w:proofErr w:type="spellStart"/>
            <w:r>
              <w:rPr>
                <w:sz w:val="20"/>
                <w:szCs w:val="20"/>
              </w:rPr>
              <w:t>Aarti</w:t>
            </w:r>
            <w:proofErr w:type="spellEnd"/>
            <w:r>
              <w:rPr>
                <w:sz w:val="20"/>
                <w:szCs w:val="20"/>
              </w:rPr>
              <w:t xml:space="preserve"> Industries, RCF) and expansions by BAL and AACL have created an industry-wide oversupply in Methylamines, pressuring near-term pricing</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Repurposing old facilities for new Methylamine derivatives currently in R&amp;D pipeline; moving away from commodity-end of the market toward high-value niche derivatives</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Segment Concentration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~61% revenue from Pharma sector creates over-dependence; low agro exposure (~6%) limits diversification compared to peers; any slowdown in India's generic API exports directly hits AACL</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100+ SKU portfolio reduces single-molecule dependence; active push to grow agrochemical exposure; specialty chemicals pivot decouples revenue from Pharma cycles</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Project Execution Risk</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Delays in commissioning specialty projects (</w:t>
            </w:r>
            <w:proofErr w:type="spellStart"/>
            <w:r>
              <w:rPr>
                <w:sz w:val="20"/>
                <w:szCs w:val="20"/>
              </w:rPr>
              <w:t>Dahej</w:t>
            </w:r>
            <w:proofErr w:type="spellEnd"/>
            <w:r>
              <w:rPr>
                <w:sz w:val="20"/>
                <w:szCs w:val="20"/>
              </w:rPr>
              <w:t xml:space="preserve">, </w:t>
            </w:r>
            <w:proofErr w:type="spellStart"/>
            <w:r>
              <w:rPr>
                <w:sz w:val="20"/>
                <w:szCs w:val="20"/>
              </w:rPr>
              <w:t>Kurkumbh</w:t>
            </w:r>
            <w:proofErr w:type="spellEnd"/>
            <w:r>
              <w:rPr>
                <w:sz w:val="20"/>
                <w:szCs w:val="20"/>
              </w:rPr>
              <w:t xml:space="preserve"> Q2FY27) push back revenue contribution from high-margin new molecules; customer approval for new specialty products takes 2–3 years</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0C0FB9" w:rsidRDefault="00981575">
            <w:pPr>
              <w:spacing w:line="276" w:lineRule="auto"/>
            </w:pPr>
            <w:r>
              <w:rPr>
                <w:sz w:val="20"/>
                <w:szCs w:val="20"/>
              </w:rPr>
              <w:t>Self-funded capex eliminates debt-servicing pressure during ramp-up; phased approach allows early cash flows to fund subsequent stages; customer sampling initiated in advance</w:t>
            </w:r>
          </w:p>
        </w:tc>
      </w:tr>
      <w:tr w:rsidR="000C0FB9">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Environmental &amp; Safety</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t xml:space="preserve">Handling of toxic and corrosive chemicals (Ammonia, Acetonitrile) involves inherent risks of fire, leakage, </w:t>
            </w:r>
            <w:r>
              <w:rPr>
                <w:sz w:val="20"/>
                <w:szCs w:val="20"/>
              </w:rPr>
              <w:lastRenderedPageBreak/>
              <w:t>or explosion; environmental non-compliance could result in regulatory shutdowns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C0FB9" w:rsidRDefault="00981575">
            <w:pPr>
              <w:spacing w:line="276" w:lineRule="auto"/>
            </w:pPr>
            <w:r>
              <w:rPr>
                <w:sz w:val="20"/>
                <w:szCs w:val="20"/>
              </w:rPr>
              <w:lastRenderedPageBreak/>
              <w:t xml:space="preserve">All three sites are Zero Liquid Discharge (ZLD) certified; signatory to Responsible Care®; three solar plants reduce carbon </w:t>
            </w:r>
            <w:r>
              <w:rPr>
                <w:sz w:val="20"/>
                <w:szCs w:val="20"/>
              </w:rPr>
              <w:lastRenderedPageBreak/>
              <w:t>footprint; rigorous MSDS protocols for every consignment</w:t>
            </w:r>
          </w:p>
        </w:tc>
      </w:tr>
    </w:tbl>
    <w:p w:rsidR="000C0FB9" w:rsidRDefault="000C0FB9" w:rsidP="00180966">
      <w:pPr>
        <w:pStyle w:val="ListParagraph"/>
        <w:spacing w:before="50" w:after="50" w:line="276" w:lineRule="auto"/>
      </w:pPr>
    </w:p>
    <w:p w:rsidR="000C0FB9" w:rsidRDefault="00981575">
      <w:pPr>
        <w:pStyle w:val="Heading1"/>
        <w:pBdr>
          <w:bottom w:val="single" w:sz="6" w:space="1" w:color="1E6091"/>
        </w:pBdr>
        <w:spacing w:line="276" w:lineRule="auto"/>
      </w:pPr>
      <w:r>
        <w:t xml:space="preserve">Section 10: Peer Comparison — AACL vs. </w:t>
      </w:r>
      <w:proofErr w:type="spellStart"/>
      <w:r>
        <w:t>Balaji</w:t>
      </w:r>
      <w:proofErr w:type="spellEnd"/>
      <w:r>
        <w:t xml:space="preserve"> Amines (BAL)</w:t>
      </w:r>
    </w:p>
    <w:p w:rsidR="000C0FB9" w:rsidRDefault="00981575">
      <w:pPr>
        <w:pStyle w:val="Heading2"/>
        <w:spacing w:line="276" w:lineRule="auto"/>
      </w:pPr>
      <w:proofErr w:type="gramStart"/>
      <w:r>
        <w:t>10.1  Industry</w:t>
      </w:r>
      <w:proofErr w:type="gramEnd"/>
      <w:r>
        <w:t xml:space="preserve"> Context: The Duopoly</w:t>
      </w:r>
    </w:p>
    <w:p w:rsidR="000C0FB9" w:rsidRDefault="00981575">
      <w:pPr>
        <w:spacing w:before="60" w:after="60" w:line="276" w:lineRule="auto"/>
      </w:pPr>
      <w:r>
        <w:t xml:space="preserve">Together, AACL and BAL command over </w:t>
      </w:r>
      <w:r>
        <w:rPr>
          <w:b/>
          <w:bCs/>
          <w:color w:val="1F3864"/>
        </w:rPr>
        <w:t>90% of the Indian aliphatic amines market</w:t>
      </w:r>
      <w:r>
        <w:t xml:space="preserve"> — effectively a duopoly. However, characterizing them as comparable companies beyond the sector level is a mistake. They are two fundamentally different businesses with different operating philosophies, different risk profiles, and different margin architectures. Understanding the distinction is essential for any investor or analyst covering Indian specialty chemicals.</w:t>
      </w:r>
    </w:p>
    <w:p w:rsidR="000C0FB9" w:rsidRDefault="00981575">
      <w:pPr>
        <w:pStyle w:val="Heading2"/>
        <w:spacing w:line="276" w:lineRule="auto"/>
      </w:pPr>
      <w:proofErr w:type="gramStart"/>
      <w:r>
        <w:t>10.2  Comprehensive</w:t>
      </w:r>
      <w:proofErr w:type="gramEnd"/>
      <w:r>
        <w:t xml:space="preserve"> Side-by-Side Comparison</w:t>
      </w:r>
    </w:p>
    <w:p w:rsidR="000C0FB9" w:rsidRDefault="000C0FB9">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3300"/>
        <w:gridCol w:w="3300"/>
      </w:tblGrid>
      <w:tr w:rsidR="000C0FB9">
        <w:trPr>
          <w:tblHeader/>
        </w:trPr>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Parameter</w:t>
            </w:r>
          </w:p>
        </w:tc>
        <w:tc>
          <w:tcPr>
            <w:tcW w:w="3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r>
              <w:rPr>
                <w:b/>
                <w:bCs/>
                <w:color w:val="FFFFFF"/>
                <w:sz w:val="20"/>
                <w:szCs w:val="20"/>
              </w:rPr>
              <w:t>Alkyl Amines (AACL)</w:t>
            </w:r>
          </w:p>
        </w:tc>
        <w:tc>
          <w:tcPr>
            <w:tcW w:w="3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0C0FB9" w:rsidRDefault="00981575">
            <w:pPr>
              <w:spacing w:line="276" w:lineRule="auto"/>
            </w:pPr>
            <w:proofErr w:type="spellStart"/>
            <w:r>
              <w:rPr>
                <w:b/>
                <w:bCs/>
                <w:color w:val="FFFFFF"/>
                <w:sz w:val="20"/>
                <w:szCs w:val="20"/>
              </w:rPr>
              <w:t>Balaji</w:t>
            </w:r>
            <w:proofErr w:type="spellEnd"/>
            <w:r>
              <w:rPr>
                <w:b/>
                <w:bCs/>
                <w:color w:val="FFFFFF"/>
                <w:sz w:val="20"/>
                <w:szCs w:val="20"/>
              </w:rPr>
              <w:t xml:space="preserve"> Amines (BAL)</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Founded</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1979</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1988</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Founder / Promoter</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Yogesh</w:t>
            </w:r>
            <w:proofErr w:type="spellEnd"/>
            <w:r>
              <w:rPr>
                <w:sz w:val="20"/>
                <w:szCs w:val="20"/>
              </w:rPr>
              <w:t xml:space="preserve"> M. Kothari (ICT Mumbai, Chemical Engineer)</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 xml:space="preserve">Mr. </w:t>
            </w:r>
            <w:proofErr w:type="spellStart"/>
            <w:r>
              <w:rPr>
                <w:sz w:val="20"/>
                <w:szCs w:val="20"/>
              </w:rPr>
              <w:t>Ande</w:t>
            </w:r>
            <w:proofErr w:type="spellEnd"/>
            <w:r>
              <w:rPr>
                <w:sz w:val="20"/>
                <w:szCs w:val="20"/>
              </w:rPr>
              <w:t xml:space="preserve"> </w:t>
            </w:r>
            <w:proofErr w:type="spellStart"/>
            <w:r>
              <w:rPr>
                <w:sz w:val="20"/>
                <w:szCs w:val="20"/>
              </w:rPr>
              <w:t>Prathap</w:t>
            </w:r>
            <w:proofErr w:type="spellEnd"/>
            <w:r>
              <w:rPr>
                <w:sz w:val="20"/>
                <w:szCs w:val="20"/>
              </w:rPr>
              <w:t xml:space="preserve"> Reddy — family promoter group</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Manufacturing Sites</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 xml:space="preserve">3 sites: </w:t>
            </w:r>
            <w:proofErr w:type="spellStart"/>
            <w:r>
              <w:rPr>
                <w:sz w:val="20"/>
                <w:szCs w:val="20"/>
              </w:rPr>
              <w:t>Patalganga</w:t>
            </w:r>
            <w:proofErr w:type="spellEnd"/>
            <w:r>
              <w:rPr>
                <w:sz w:val="20"/>
                <w:szCs w:val="20"/>
              </w:rPr>
              <w:t xml:space="preserve">, </w:t>
            </w:r>
            <w:proofErr w:type="spellStart"/>
            <w:r>
              <w:rPr>
                <w:sz w:val="20"/>
                <w:szCs w:val="20"/>
              </w:rPr>
              <w:t>Kurkumbh</w:t>
            </w:r>
            <w:proofErr w:type="spellEnd"/>
            <w:r>
              <w:rPr>
                <w:sz w:val="20"/>
                <w:szCs w:val="20"/>
              </w:rPr>
              <w:t xml:space="preserve">, </w:t>
            </w:r>
            <w:proofErr w:type="spellStart"/>
            <w:r>
              <w:rPr>
                <w:sz w:val="20"/>
                <w:szCs w:val="20"/>
              </w:rPr>
              <w:t>Dahej</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4 sites: Solapur (x3) + Medak, Telangana</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Installed Capacity</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~2,00,000 MTPA</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~2,92,000 MTPA (standalone + BSCL)</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SKU Count</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~100 SKUs (4x closest peer)</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rsidP="004A7F71">
            <w:pPr>
              <w:spacing w:line="276" w:lineRule="auto"/>
            </w:pPr>
            <w:r>
              <w:rPr>
                <w:sz w:val="20"/>
                <w:szCs w:val="20"/>
              </w:rPr>
              <w:t>~</w:t>
            </w:r>
            <w:r w:rsidR="004A7F71">
              <w:rPr>
                <w:sz w:val="20"/>
                <w:szCs w:val="20"/>
              </w:rPr>
              <w:t xml:space="preserve">40 </w:t>
            </w:r>
            <w:r>
              <w:rPr>
                <w:sz w:val="20"/>
                <w:szCs w:val="20"/>
              </w:rPr>
              <w:t>SKUs; deep scale on each</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Captive Consumption</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 xml:space="preserve">~33% (one-third) consumed </w:t>
            </w:r>
            <w:proofErr w:type="spellStart"/>
            <w:r>
              <w:rPr>
                <w:sz w:val="20"/>
                <w:szCs w:val="20"/>
              </w:rPr>
              <w:t>captively</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 xml:space="preserve">~80% consumed </w:t>
            </w:r>
            <w:proofErr w:type="spellStart"/>
            <w:r>
              <w:rPr>
                <w:sz w:val="20"/>
                <w:szCs w:val="20"/>
              </w:rPr>
              <w:t>captively</w:t>
            </w:r>
            <w:proofErr w:type="spellEnd"/>
            <w:r>
              <w:rPr>
                <w:sz w:val="20"/>
                <w:szCs w:val="20"/>
              </w:rPr>
              <w:t xml:space="preserve"> — core moat</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Market Leadership</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proofErr w:type="spellStart"/>
            <w:r>
              <w:rPr>
                <w:sz w:val="20"/>
                <w:szCs w:val="20"/>
              </w:rPr>
              <w:t>Ethylamines</w:t>
            </w:r>
            <w:proofErr w:type="spellEnd"/>
            <w:r>
              <w:rPr>
                <w:sz w:val="20"/>
                <w:szCs w:val="20"/>
              </w:rPr>
              <w:t xml:space="preserve"> (No.1 India) + Acetonitrile (global leader)</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Methylamines (No.1 India) + DMAHCL (No.1 globally, ~70% share)</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Pharma Exposure</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~61% of revenue</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51–61% of revenue</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Agro Exposure</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~6% of revenue</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~26% of revenue</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Key Moat</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Process moat (unique ACN route) + SKU depth + Technocratic leadership</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Vertical integration (80% captive) + Import substitution first-mover</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lastRenderedPageBreak/>
              <w:t>Strategic Philosophy</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R&amp;D-led: evaluate 20 molecules/year; measured capex (₹80–120 Cr per project)</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Scale-led: massive Blue Ocean plays; ₹750 Cr Cyanide complex + ₹1L TPA DME</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Subsidiary</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No listed subsidiary</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BSCL (55% owned) — sole Indian EDA/</w:t>
            </w:r>
            <w:proofErr w:type="spellStart"/>
            <w:r>
              <w:rPr>
                <w:sz w:val="20"/>
                <w:szCs w:val="20"/>
              </w:rPr>
              <w:t>Piperazine</w:t>
            </w:r>
            <w:proofErr w:type="spellEnd"/>
            <w:r>
              <w:rPr>
                <w:sz w:val="20"/>
                <w:szCs w:val="20"/>
              </w:rPr>
              <w:t>/DETA producer</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Revenue FY25 (Consol.)</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₹1,571.82 Cr</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₹1,430 Cr</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EBITDA Margin FY26</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~17–18% (management guidance range)</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20% (full year); 25% (Q4FY26)</w:t>
            </w:r>
            <w:r w:rsidR="004A7F71">
              <w:rPr>
                <w:sz w:val="20"/>
                <w:szCs w:val="20"/>
              </w:rPr>
              <w:t xml:space="preserve"> (management guidance ~ 22-23%)</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ROCE FY25</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16.69%</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~11–13% (core chemical)</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Debt Status</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Absolute zero debt (standalone)</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Zero (standalone); ₹133 Cr consolidated (BSCL capex)</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Credit Rating</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CRISIL AA-/Stable (Dec 2025)</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IND AA/Negative (Jun 2025)</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Market Cap (May 2026)</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4A7F71">
            <w:pPr>
              <w:spacing w:line="276" w:lineRule="auto"/>
            </w:pPr>
            <w:r>
              <w:rPr>
                <w:sz w:val="20"/>
                <w:szCs w:val="20"/>
              </w:rPr>
              <w:t>~₹9,000</w:t>
            </w:r>
            <w:r w:rsidR="00981575">
              <w:rPr>
                <w:sz w:val="20"/>
                <w:szCs w:val="20"/>
              </w:rPr>
              <w:t xml:space="preserve"> Cr</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rsidP="004A7F71">
            <w:pPr>
              <w:spacing w:line="276" w:lineRule="auto"/>
            </w:pPr>
            <w:r>
              <w:rPr>
                <w:sz w:val="20"/>
                <w:szCs w:val="20"/>
              </w:rPr>
              <w:t>~₹</w:t>
            </w:r>
            <w:r w:rsidR="004A7F71">
              <w:rPr>
                <w:sz w:val="20"/>
                <w:szCs w:val="20"/>
              </w:rPr>
              <w:t>6,600</w:t>
            </w:r>
            <w:r>
              <w:rPr>
                <w:sz w:val="20"/>
                <w:szCs w:val="20"/>
              </w:rPr>
              <w:t xml:space="preserve"> Cr</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Ammonia Crisis Response (Mar 2026)</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Suspended all 3 sites for 1–2 weeks; costs doubled to ₹100/kg</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Brief impact only; managed via larger safety stock buffers</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New-Age Products</w:t>
            </w:r>
          </w:p>
        </w:tc>
        <w:tc>
          <w:tcPr>
            <w:tcW w:w="3300" w:type="dxa"/>
            <w:tcBorders>
              <w:top w:val="single" w:sz="4" w:space="0" w:color="CCCCCC"/>
              <w:left w:val="single" w:sz="4" w:space="0" w:color="CCCCCC"/>
              <w:bottom w:val="single" w:sz="4" w:space="0" w:color="CCCCCC"/>
              <w:right w:val="single" w:sz="4" w:space="0" w:color="CCCCCC"/>
            </w:tcBorders>
            <w:shd w:val="clear" w:color="auto" w:fill="D6EEF8"/>
            <w:tcMar>
              <w:top w:w="80" w:type="dxa"/>
              <w:left w:w="120" w:type="dxa"/>
              <w:bottom w:w="80" w:type="dxa"/>
              <w:right w:w="120" w:type="dxa"/>
            </w:tcMar>
          </w:tcPr>
          <w:p w:rsidR="000C0FB9" w:rsidRDefault="00981575">
            <w:pPr>
              <w:spacing w:line="276" w:lineRule="auto"/>
            </w:pPr>
            <w:r>
              <w:rPr>
                <w:sz w:val="20"/>
                <w:szCs w:val="20"/>
              </w:rPr>
              <w:t>DEK launched; new specialty molecules Q2FY27; ACN ADD pending</w:t>
            </w:r>
          </w:p>
        </w:tc>
        <w:tc>
          <w:tcPr>
            <w:tcW w:w="3300" w:type="dxa"/>
            <w:tcBorders>
              <w:top w:val="single" w:sz="4" w:space="0" w:color="CCCCCC"/>
              <w:left w:val="single" w:sz="4" w:space="0" w:color="CCCCCC"/>
              <w:bottom w:val="single" w:sz="4" w:space="0" w:color="CCCCCC"/>
              <w:right w:val="single" w:sz="4" w:space="0" w:color="CCCCCC"/>
            </w:tcBorders>
            <w:shd w:val="clear" w:color="auto" w:fill="F5E0C0"/>
            <w:tcMar>
              <w:top w:w="80" w:type="dxa"/>
              <w:left w:w="120" w:type="dxa"/>
              <w:bottom w:w="80" w:type="dxa"/>
              <w:right w:w="120" w:type="dxa"/>
            </w:tcMar>
          </w:tcPr>
          <w:p w:rsidR="000C0FB9" w:rsidRDefault="00981575">
            <w:pPr>
              <w:spacing w:line="276" w:lineRule="auto"/>
            </w:pPr>
            <w:r>
              <w:rPr>
                <w:sz w:val="20"/>
                <w:szCs w:val="20"/>
              </w:rPr>
              <w:t>DME (1L TPA, India's only); Electronic Grade DMC; Cyanide complex</w:t>
            </w:r>
          </w:p>
        </w:tc>
      </w:tr>
      <w:tr w:rsidR="000C0FB9">
        <w:tc>
          <w:tcPr>
            <w:tcW w:w="276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Green Energy</w:t>
            </w:r>
          </w:p>
        </w:tc>
        <w:tc>
          <w:tcPr>
            <w:tcW w:w="3300" w:type="dxa"/>
            <w:tcBorders>
              <w:top w:val="single" w:sz="4" w:space="0" w:color="CCCCCC"/>
              <w:left w:val="single" w:sz="4" w:space="0" w:color="CCCCCC"/>
              <w:bottom w:val="single" w:sz="4" w:space="0" w:color="CCCCCC"/>
              <w:right w:val="single" w:sz="4" w:space="0" w:color="CCCCCC"/>
            </w:tcBorders>
            <w:shd w:val="clear" w:color="auto" w:fill="EAF5FB"/>
            <w:tcMar>
              <w:top w:w="80" w:type="dxa"/>
              <w:left w:w="120" w:type="dxa"/>
              <w:bottom w:w="80" w:type="dxa"/>
              <w:right w:w="120" w:type="dxa"/>
            </w:tcMar>
          </w:tcPr>
          <w:p w:rsidR="000C0FB9" w:rsidRDefault="00981575">
            <w:pPr>
              <w:spacing w:line="276" w:lineRule="auto"/>
            </w:pPr>
            <w:r>
              <w:rPr>
                <w:sz w:val="20"/>
                <w:szCs w:val="20"/>
              </w:rPr>
              <w:t>3 solar plants (</w:t>
            </w:r>
            <w:proofErr w:type="spellStart"/>
            <w:r>
              <w:rPr>
                <w:sz w:val="20"/>
                <w:szCs w:val="20"/>
              </w:rPr>
              <w:t>Bhoom</w:t>
            </w:r>
            <w:proofErr w:type="spellEnd"/>
            <w:r>
              <w:rPr>
                <w:sz w:val="20"/>
                <w:szCs w:val="20"/>
              </w:rPr>
              <w:t xml:space="preserve">, </w:t>
            </w:r>
            <w:proofErr w:type="spellStart"/>
            <w:r>
              <w:rPr>
                <w:sz w:val="20"/>
                <w:szCs w:val="20"/>
              </w:rPr>
              <w:t>Manwath</w:t>
            </w:r>
            <w:proofErr w:type="spellEnd"/>
            <w:r>
              <w:rPr>
                <w:sz w:val="20"/>
                <w:szCs w:val="20"/>
              </w:rPr>
              <w:t xml:space="preserve">, </w:t>
            </w:r>
            <w:proofErr w:type="spellStart"/>
            <w:r>
              <w:rPr>
                <w:sz w:val="20"/>
                <w:szCs w:val="20"/>
              </w:rPr>
              <w:t>Talegadh</w:t>
            </w:r>
            <w:proofErr w:type="spellEnd"/>
            <w:r>
              <w:rPr>
                <w:sz w:val="20"/>
                <w:szCs w:val="20"/>
              </w:rPr>
              <w:t>); all sites ZLD</w:t>
            </w:r>
          </w:p>
        </w:tc>
        <w:tc>
          <w:tcPr>
            <w:tcW w:w="33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rsidR="000C0FB9" w:rsidRDefault="00981575">
            <w:pPr>
              <w:spacing w:line="276" w:lineRule="auto"/>
            </w:pPr>
            <w:r>
              <w:rPr>
                <w:sz w:val="20"/>
                <w:szCs w:val="20"/>
              </w:rPr>
              <w:t>8 MW solar (scaling to 20 MW); all sites ZLD; Air Cooled condensers</w:t>
            </w:r>
          </w:p>
        </w:tc>
      </w:tr>
    </w:tbl>
    <w:p w:rsidR="000C0FB9" w:rsidRDefault="00981575">
      <w:pPr>
        <w:pStyle w:val="Heading2"/>
        <w:spacing w:line="276" w:lineRule="auto"/>
      </w:pPr>
      <w:proofErr w:type="gramStart"/>
      <w:r>
        <w:t>10.3  Strategic</w:t>
      </w:r>
      <w:proofErr w:type="gramEnd"/>
      <w:r>
        <w:t xml:space="preserve"> Philosophy — The Core Divergence</w:t>
      </w:r>
    </w:p>
    <w:p w:rsidR="000C0FB9" w:rsidRDefault="00981575">
      <w:pPr>
        <w:spacing w:before="60" w:after="60" w:line="276" w:lineRule="auto"/>
      </w:pPr>
      <w:r>
        <w:t>This is the most important distinction to internalize:</w:t>
      </w:r>
    </w:p>
    <w:p w:rsidR="000C0FB9" w:rsidRDefault="00981575">
      <w:pPr>
        <w:pStyle w:val="ListParagraph"/>
        <w:numPr>
          <w:ilvl w:val="0"/>
          <w:numId w:val="2"/>
        </w:numPr>
        <w:spacing w:before="50" w:after="50" w:line="276" w:lineRule="auto"/>
      </w:pPr>
      <w:r>
        <w:rPr>
          <w:b/>
          <w:bCs/>
          <w:color w:val="1F3864"/>
        </w:rPr>
        <w:t>AACL (The Technocrat):</w:t>
      </w:r>
      <w:r>
        <w:t xml:space="preserve"> Competes through </w:t>
      </w:r>
      <w:r>
        <w:rPr>
          <w:b/>
          <w:bCs/>
          <w:color w:val="1F3864"/>
        </w:rPr>
        <w:t>process innovation and SKU diversity</w:t>
      </w:r>
      <w:r>
        <w:t>. The ~100 SKU portfolio allows pivoting across demand cycles. The Acetonitrile independent process route is the defining product moat. Capex is measured (₹80–120 crore per project) and targeted at high-margin, low-volume niches.</w:t>
      </w:r>
    </w:p>
    <w:p w:rsidR="000C0FB9" w:rsidRDefault="00981575">
      <w:pPr>
        <w:pStyle w:val="ListParagraph"/>
        <w:numPr>
          <w:ilvl w:val="0"/>
          <w:numId w:val="2"/>
        </w:numPr>
        <w:spacing w:before="50" w:after="50" w:line="276" w:lineRule="auto"/>
      </w:pPr>
      <w:r>
        <w:rPr>
          <w:b/>
          <w:bCs/>
          <w:color w:val="1F3864"/>
        </w:rPr>
        <w:t>BAL (The Industrialist):</w:t>
      </w:r>
      <w:r>
        <w:t xml:space="preserve"> Competes through </w:t>
      </w:r>
      <w:r>
        <w:rPr>
          <w:b/>
          <w:bCs/>
          <w:color w:val="1F3864"/>
        </w:rPr>
        <w:t>massive scale and vertical integration</w:t>
      </w:r>
      <w:r>
        <w:t>. The ~80% captive consumption rate is the defining financial moat — it protects margins from basic amine price volatility in a way AACL's ~33% captive rate cannot. Capex is aggressive (₹750 crore Cyanide complex, ₹1,00,000 TPA DME plant) targeting 'Blue Ocean' markets where BAL becomes the sole domestic manufacturer.</w:t>
      </w:r>
    </w:p>
    <w:p w:rsidR="000C0FB9" w:rsidRDefault="00981575">
      <w:pPr>
        <w:pStyle w:val="Heading2"/>
        <w:spacing w:line="276" w:lineRule="auto"/>
      </w:pPr>
      <w:proofErr w:type="gramStart"/>
      <w:r>
        <w:t>10.4  The</w:t>
      </w:r>
      <w:proofErr w:type="gramEnd"/>
      <w:r>
        <w:t xml:space="preserve"> Ammonia Crisis — A Stress Test</w:t>
      </w:r>
    </w:p>
    <w:p w:rsidR="000C0FB9" w:rsidRDefault="00981575">
      <w:pPr>
        <w:spacing w:before="60" w:after="60" w:line="276" w:lineRule="auto"/>
      </w:pPr>
      <w:r>
        <w:t>The March 2026 Ammonia supply disruption (caused by geopolitical instability in West Asia) was the most revealing comparative data point in recent history:</w:t>
      </w:r>
    </w:p>
    <w:p w:rsidR="000C0FB9" w:rsidRDefault="00981575">
      <w:pPr>
        <w:pStyle w:val="ListParagraph"/>
        <w:numPr>
          <w:ilvl w:val="0"/>
          <w:numId w:val="2"/>
        </w:numPr>
        <w:spacing w:before="50" w:after="50" w:line="276" w:lineRule="auto"/>
      </w:pPr>
      <w:r>
        <w:rPr>
          <w:b/>
          <w:bCs/>
          <w:color w:val="1F3864"/>
        </w:rPr>
        <w:lastRenderedPageBreak/>
        <w:t>AACL:</w:t>
      </w:r>
      <w:r>
        <w:t xml:space="preserve"> Forced to </w:t>
      </w:r>
      <w:r>
        <w:rPr>
          <w:b/>
          <w:bCs/>
          <w:color w:val="1F3864"/>
        </w:rPr>
        <w:t>suspend manufacturing across all three sites for 1–2 weeks</w:t>
      </w:r>
      <w:r>
        <w:t>. Ammonia costs doubled from ₹50/kg to ₹100/kg.</w:t>
      </w:r>
    </w:p>
    <w:p w:rsidR="000C0FB9" w:rsidRDefault="00981575">
      <w:pPr>
        <w:pStyle w:val="ListParagraph"/>
        <w:numPr>
          <w:ilvl w:val="0"/>
          <w:numId w:val="2"/>
        </w:numPr>
        <w:spacing w:before="50" w:after="50" w:line="276" w:lineRule="auto"/>
      </w:pPr>
      <w:r>
        <w:rPr>
          <w:b/>
          <w:bCs/>
          <w:color w:val="1F3864"/>
        </w:rPr>
        <w:t>BAL:</w:t>
      </w:r>
      <w:r>
        <w:t xml:space="preserve"> Reported only a 'brief impact' on production. Managed through </w:t>
      </w:r>
      <w:r>
        <w:rPr>
          <w:b/>
          <w:bCs/>
          <w:color w:val="1F3864"/>
        </w:rPr>
        <w:t>larger safety stock buffers and prudent inventory planning</w:t>
      </w:r>
      <w:r>
        <w:t>. Plants continued operating.</w:t>
      </w:r>
    </w:p>
    <w:p w:rsidR="000C0FB9" w:rsidRDefault="00981575">
      <w:pPr>
        <w:spacing w:before="60" w:after="60" w:line="276" w:lineRule="auto"/>
      </w:pPr>
      <w:r>
        <w:t xml:space="preserve">This divergence reflects the structural consequence of the two companies' different inventory strategies. BAL's higher inventory days — often cited as a working capital inefficiency — served as a genuine </w:t>
      </w:r>
      <w:r>
        <w:rPr>
          <w:b/>
          <w:bCs/>
          <w:color w:val="1F3864"/>
        </w:rPr>
        <w:t>operational insurance policy</w:t>
      </w:r>
      <w:r>
        <w:t xml:space="preserve"> during the crisis. AACL's leaner inventory model is more capital-efficient in normal times but more vulnerable to acute supply shocks.</w:t>
      </w:r>
    </w:p>
    <w:p w:rsidR="00750A29" w:rsidRDefault="00750A29" w:rsidP="00750A29">
      <w:pPr>
        <w:spacing w:before="60" w:after="60" w:line="276" w:lineRule="auto"/>
        <w:jc w:val="center"/>
      </w:pPr>
      <w:r w:rsidRPr="00750A29">
        <w:drawing>
          <wp:inline distT="0" distB="0" distL="0" distR="0" wp14:anchorId="66B74EC2" wp14:editId="21554E4E">
            <wp:extent cx="1122218" cy="2848237"/>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24904" cy="2855055"/>
                    </a:xfrm>
                    <a:prstGeom prst="rect">
                      <a:avLst/>
                    </a:prstGeom>
                  </pic:spPr>
                </pic:pic>
              </a:graphicData>
            </a:graphic>
          </wp:inline>
        </w:drawing>
      </w:r>
      <w:r w:rsidRPr="00750A29">
        <w:drawing>
          <wp:inline distT="0" distB="0" distL="0" distR="0" wp14:anchorId="53C4A4DD" wp14:editId="39F5A706">
            <wp:extent cx="3051958" cy="2860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8291" cy="2875770"/>
                    </a:xfrm>
                    <a:prstGeom prst="rect">
                      <a:avLst/>
                    </a:prstGeom>
                  </pic:spPr>
                </pic:pic>
              </a:graphicData>
            </a:graphic>
          </wp:inline>
        </w:drawing>
      </w:r>
      <w:bookmarkStart w:id="0" w:name="_GoBack"/>
      <w:bookmarkEnd w:id="0"/>
    </w:p>
    <w:sectPr w:rsidR="00750A29">
      <w:headerReference w:type="default" r:id="rId12"/>
      <w:footerReference w:type="default" r:id="rId1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BD9" w:rsidRDefault="00051BD9">
      <w:r>
        <w:separator/>
      </w:r>
    </w:p>
  </w:endnote>
  <w:endnote w:type="continuationSeparator" w:id="0">
    <w:p w:rsidR="00051BD9" w:rsidRDefault="00051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041" w:rsidRDefault="00C50041">
    <w:pPr>
      <w:pBdr>
        <w:top w:val="single" w:sz="4" w:space="1" w:color="1E6091"/>
      </w:pBdr>
      <w:spacing w:before="80" w:line="276" w:lineRule="auto"/>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50A29">
      <w:rPr>
        <w:noProof/>
        <w:color w:val="999999"/>
        <w:sz w:val="18"/>
        <w:szCs w:val="18"/>
      </w:rPr>
      <w:t>15</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BD9" w:rsidRDefault="00051BD9">
      <w:r>
        <w:separator/>
      </w:r>
    </w:p>
  </w:footnote>
  <w:footnote w:type="continuationSeparator" w:id="0">
    <w:p w:rsidR="00051BD9" w:rsidRDefault="00051B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041" w:rsidRDefault="00C50041">
    <w:pPr>
      <w:pBdr>
        <w:bottom w:val="single" w:sz="4" w:space="1" w:color="1E6091"/>
      </w:pBdr>
      <w:spacing w:after="80" w:line="276" w:lineRule="auto"/>
    </w:pPr>
    <w:r>
      <w:rPr>
        <w:b/>
        <w:bCs/>
        <w:color w:val="1E6091"/>
        <w:sz w:val="18"/>
        <w:szCs w:val="18"/>
      </w:rPr>
      <w:t xml:space="preserve">ALKYL AMINES CHEMICALS </w:t>
    </w:r>
    <w:proofErr w:type="gramStart"/>
    <w:r>
      <w:rPr>
        <w:b/>
        <w:bCs/>
        <w:color w:val="1E6091"/>
        <w:sz w:val="18"/>
        <w:szCs w:val="18"/>
      </w:rPr>
      <w:t>LIMITED  |</w:t>
    </w:r>
    <w:proofErr w:type="gramEnd"/>
    <w:r>
      <w:rPr>
        <w:b/>
        <w:bCs/>
        <w:color w:val="1E6091"/>
        <w:sz w:val="18"/>
        <w:szCs w:val="18"/>
      </w:rPr>
      <w:t xml:space="preserve">  EQUITY RESEARCH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28747C"/>
    <w:multiLevelType w:val="hybridMultilevel"/>
    <w:tmpl w:val="2744E2B0"/>
    <w:lvl w:ilvl="0" w:tplc="FB32651C">
      <w:start w:val="1"/>
      <w:numFmt w:val="bullet"/>
      <w:lvlText w:val="•"/>
      <w:lvlJc w:val="left"/>
      <w:pPr>
        <w:ind w:left="560" w:hanging="280"/>
      </w:pPr>
    </w:lvl>
    <w:lvl w:ilvl="1" w:tplc="7898DC68">
      <w:numFmt w:val="decimal"/>
      <w:lvlText w:val=""/>
      <w:lvlJc w:val="left"/>
    </w:lvl>
    <w:lvl w:ilvl="2" w:tplc="0FB61042">
      <w:numFmt w:val="decimal"/>
      <w:lvlText w:val=""/>
      <w:lvlJc w:val="left"/>
    </w:lvl>
    <w:lvl w:ilvl="3" w:tplc="354C228E">
      <w:numFmt w:val="decimal"/>
      <w:lvlText w:val=""/>
      <w:lvlJc w:val="left"/>
    </w:lvl>
    <w:lvl w:ilvl="4" w:tplc="238ACD5E">
      <w:numFmt w:val="decimal"/>
      <w:lvlText w:val=""/>
      <w:lvlJc w:val="left"/>
    </w:lvl>
    <w:lvl w:ilvl="5" w:tplc="324E1F9A">
      <w:numFmt w:val="decimal"/>
      <w:lvlText w:val=""/>
      <w:lvlJc w:val="left"/>
    </w:lvl>
    <w:lvl w:ilvl="6" w:tplc="B1B86CB4">
      <w:numFmt w:val="decimal"/>
      <w:lvlText w:val=""/>
      <w:lvlJc w:val="left"/>
    </w:lvl>
    <w:lvl w:ilvl="7" w:tplc="B574A792">
      <w:numFmt w:val="decimal"/>
      <w:lvlText w:val=""/>
      <w:lvlJc w:val="left"/>
    </w:lvl>
    <w:lvl w:ilvl="8" w:tplc="F9FE308C">
      <w:numFmt w:val="decimal"/>
      <w:lvlText w:val=""/>
      <w:lvlJc w:val="left"/>
    </w:lvl>
  </w:abstractNum>
  <w:abstractNum w:abstractNumId="1" w15:restartNumberingAfterBreak="0">
    <w:nsid w:val="56B107B9"/>
    <w:multiLevelType w:val="hybridMultilevel"/>
    <w:tmpl w:val="E2988B82"/>
    <w:lvl w:ilvl="0" w:tplc="981A98B6">
      <w:start w:val="1"/>
      <w:numFmt w:val="bullet"/>
      <w:lvlText w:val="●"/>
      <w:lvlJc w:val="left"/>
      <w:pPr>
        <w:ind w:left="720" w:hanging="360"/>
      </w:pPr>
    </w:lvl>
    <w:lvl w:ilvl="1" w:tplc="0D4C78DE">
      <w:start w:val="1"/>
      <w:numFmt w:val="bullet"/>
      <w:lvlText w:val="○"/>
      <w:lvlJc w:val="left"/>
      <w:pPr>
        <w:ind w:left="1440" w:hanging="360"/>
      </w:pPr>
    </w:lvl>
    <w:lvl w:ilvl="2" w:tplc="6F429E9C">
      <w:start w:val="1"/>
      <w:numFmt w:val="bullet"/>
      <w:lvlText w:val="■"/>
      <w:lvlJc w:val="left"/>
      <w:pPr>
        <w:ind w:left="2160" w:hanging="360"/>
      </w:pPr>
    </w:lvl>
    <w:lvl w:ilvl="3" w:tplc="48927690">
      <w:start w:val="1"/>
      <w:numFmt w:val="bullet"/>
      <w:lvlText w:val="●"/>
      <w:lvlJc w:val="left"/>
      <w:pPr>
        <w:ind w:left="2880" w:hanging="360"/>
      </w:pPr>
    </w:lvl>
    <w:lvl w:ilvl="4" w:tplc="CF80DC78">
      <w:start w:val="1"/>
      <w:numFmt w:val="bullet"/>
      <w:lvlText w:val="○"/>
      <w:lvlJc w:val="left"/>
      <w:pPr>
        <w:ind w:left="3600" w:hanging="360"/>
      </w:pPr>
    </w:lvl>
    <w:lvl w:ilvl="5" w:tplc="89CA72EC">
      <w:start w:val="1"/>
      <w:numFmt w:val="bullet"/>
      <w:lvlText w:val="■"/>
      <w:lvlJc w:val="left"/>
      <w:pPr>
        <w:ind w:left="4320" w:hanging="360"/>
      </w:pPr>
    </w:lvl>
    <w:lvl w:ilvl="6" w:tplc="3F9A6ED6">
      <w:start w:val="1"/>
      <w:numFmt w:val="bullet"/>
      <w:lvlText w:val="●"/>
      <w:lvlJc w:val="left"/>
      <w:pPr>
        <w:ind w:left="5040" w:hanging="360"/>
      </w:pPr>
    </w:lvl>
    <w:lvl w:ilvl="7" w:tplc="90A44B10">
      <w:start w:val="1"/>
      <w:numFmt w:val="bullet"/>
      <w:lvlText w:val="●"/>
      <w:lvlJc w:val="left"/>
      <w:pPr>
        <w:ind w:left="5760" w:hanging="360"/>
      </w:pPr>
    </w:lvl>
    <w:lvl w:ilvl="8" w:tplc="037643A4">
      <w:start w:val="1"/>
      <w:numFmt w:val="bullet"/>
      <w:lvlText w:val="●"/>
      <w:lvlJc w:val="left"/>
      <w:pPr>
        <w:ind w:left="6480" w:hanging="360"/>
      </w:pPr>
    </w:lvl>
  </w:abstractNum>
  <w:abstractNum w:abstractNumId="2" w15:restartNumberingAfterBreak="0">
    <w:nsid w:val="622E4388"/>
    <w:multiLevelType w:val="hybridMultilevel"/>
    <w:tmpl w:val="19E4B5DC"/>
    <w:lvl w:ilvl="0" w:tplc="7190FC5A">
      <w:start w:val="1"/>
      <w:numFmt w:val="bullet"/>
      <w:lvlText w:val="–"/>
      <w:lvlJc w:val="left"/>
      <w:pPr>
        <w:ind w:left="1120" w:hanging="280"/>
      </w:pPr>
    </w:lvl>
    <w:lvl w:ilvl="1" w:tplc="CEB8FE66">
      <w:numFmt w:val="decimal"/>
      <w:lvlText w:val=""/>
      <w:lvlJc w:val="left"/>
    </w:lvl>
    <w:lvl w:ilvl="2" w:tplc="460C9704">
      <w:numFmt w:val="decimal"/>
      <w:lvlText w:val=""/>
      <w:lvlJc w:val="left"/>
    </w:lvl>
    <w:lvl w:ilvl="3" w:tplc="EF9E3E76">
      <w:numFmt w:val="decimal"/>
      <w:lvlText w:val=""/>
      <w:lvlJc w:val="left"/>
    </w:lvl>
    <w:lvl w:ilvl="4" w:tplc="AE880E78">
      <w:numFmt w:val="decimal"/>
      <w:lvlText w:val=""/>
      <w:lvlJc w:val="left"/>
    </w:lvl>
    <w:lvl w:ilvl="5" w:tplc="6D98BB76">
      <w:numFmt w:val="decimal"/>
      <w:lvlText w:val=""/>
      <w:lvlJc w:val="left"/>
    </w:lvl>
    <w:lvl w:ilvl="6" w:tplc="450C51C8">
      <w:numFmt w:val="decimal"/>
      <w:lvlText w:val=""/>
      <w:lvlJc w:val="left"/>
    </w:lvl>
    <w:lvl w:ilvl="7" w:tplc="BACCCF30">
      <w:numFmt w:val="decimal"/>
      <w:lvlText w:val=""/>
      <w:lvlJc w:val="left"/>
    </w:lvl>
    <w:lvl w:ilvl="8" w:tplc="1570AAE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FB9"/>
    <w:rsid w:val="00051BD9"/>
    <w:rsid w:val="00054221"/>
    <w:rsid w:val="000C0FB9"/>
    <w:rsid w:val="00180966"/>
    <w:rsid w:val="00213835"/>
    <w:rsid w:val="0038051B"/>
    <w:rsid w:val="00435CAE"/>
    <w:rsid w:val="00435FF6"/>
    <w:rsid w:val="004A7F71"/>
    <w:rsid w:val="00504696"/>
    <w:rsid w:val="0052358A"/>
    <w:rsid w:val="00691AAA"/>
    <w:rsid w:val="006B4081"/>
    <w:rsid w:val="006C5C25"/>
    <w:rsid w:val="00750A29"/>
    <w:rsid w:val="00915BC9"/>
    <w:rsid w:val="00926B83"/>
    <w:rsid w:val="00981575"/>
    <w:rsid w:val="00A31263"/>
    <w:rsid w:val="00AA45E0"/>
    <w:rsid w:val="00C50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D1A6"/>
  <w15:docId w15:val="{D0859C09-A919-4D86-AD4E-9E939B06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80" w:after="100"/>
      <w:outlineLvl w:val="1"/>
    </w:pPr>
    <w:rPr>
      <w:b/>
      <w:bCs/>
      <w:color w:val="1E6091"/>
      <w:sz w:val="26"/>
      <w:szCs w:val="26"/>
    </w:rPr>
  </w:style>
  <w:style w:type="paragraph" w:styleId="Heading3">
    <w:name w:val="heading 3"/>
    <w:qFormat/>
    <w:pPr>
      <w:spacing w:before="200" w:after="8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1575"/>
    <w:pPr>
      <w:tabs>
        <w:tab w:val="center" w:pos="4680"/>
        <w:tab w:val="right" w:pos="9360"/>
      </w:tabs>
    </w:pPr>
  </w:style>
  <w:style w:type="character" w:customStyle="1" w:styleId="HeaderChar">
    <w:name w:val="Header Char"/>
    <w:basedOn w:val="DefaultParagraphFont"/>
    <w:link w:val="Header"/>
    <w:uiPriority w:val="99"/>
    <w:rsid w:val="00981575"/>
  </w:style>
  <w:style w:type="paragraph" w:styleId="Footer">
    <w:name w:val="footer"/>
    <w:basedOn w:val="Normal"/>
    <w:link w:val="FooterChar"/>
    <w:uiPriority w:val="99"/>
    <w:unhideWhenUsed/>
    <w:rsid w:val="00981575"/>
    <w:pPr>
      <w:tabs>
        <w:tab w:val="center" w:pos="4680"/>
        <w:tab w:val="right" w:pos="9360"/>
      </w:tabs>
    </w:pPr>
  </w:style>
  <w:style w:type="character" w:customStyle="1" w:styleId="FooterChar">
    <w:name w:val="Footer Char"/>
    <w:basedOn w:val="DefaultParagraphFont"/>
    <w:link w:val="Footer"/>
    <w:uiPriority w:val="99"/>
    <w:rsid w:val="00981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15</Pages>
  <Words>4810</Words>
  <Characters>27422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Alkyl Amines Chemicals Limited – Equity Research Report</vt:lpstr>
    </vt:vector>
  </TitlesOfParts>
  <Company/>
  <LinksUpToDate>false</LinksUpToDate>
  <CharactersWithSpaces>32168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Alkyl Amines Chemicals Limited – Equity Research Report</dc:title>
  <dc:creator>Indira Securities – Equity Research</dc:creator>
  <cp:lastModifiedBy>freedom</cp:lastModifiedBy>
  <cp:revision>6</cp:revision>
  <dcterms:created xsi:type="dcterms:W3CDTF">2026-06-05T08:21:00Z</dcterms:created>
  <dcterms:modified xsi:type="dcterms:W3CDTF">2026-06-11T05:27:00Z</dcterms:modified>
</cp:coreProperties>
</file>