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服务合同预审规则 甲乙双方适用测试版</w:t>
      </w:r>
    </w:p>
    <w:p>
      <w:pPr/>
      <w:r>
        <w:rPr>
          <w:b/>
        </w:rPr>
        <w:t>版本：</w:t>
      </w:r>
      <w:r>
        <w:t>测试版 2.0</w:t>
      </w:r>
    </w:p>
    <w:p>
      <w:pPr/>
      <w:r>
        <w:rPr>
          <w:b/>
        </w:rPr>
        <w:t>适用主体：</w:t>
      </w:r>
      <w:r>
        <w:t>北京果然智汇科技有限公司，以下简称我方。</w:t>
      </w:r>
    </w:p>
    <w:p>
      <w:pPr/>
      <w:r>
        <w:rPr>
          <w:b/>
        </w:rPr>
        <w:t>适用范围：</w:t>
      </w:r>
      <w:r>
        <w:t>中国内地企业之间的一般商业服务合同。我方可以是服务采购方，也可以是服务提供方。</w:t>
      </w:r>
    </w:p>
    <w:p>
      <w:pPr/>
      <w:r>
        <w:rPr>
          <w:b/>
        </w:rPr>
        <w:t>用途：</w:t>
      </w:r>
      <w:r>
        <w:t>测试 MOVO 的规则读取、角色识别、逐条审核和原文批注。本文是内部商业审查口径，不构成签署授权或法律结论。</w:t>
      </w:r>
    </w:p>
    <w:p>
      <w:pPr>
        <w:pStyle w:val="Heading1"/>
      </w:pPr>
      <w:r>
        <w:t>一 先识别角色 再审核条款</w:t>
      </w:r>
    </w:p>
    <w:p>
      <w:pPr>
        <w:ind w:left="283" w:hanging="198"/>
      </w:pPr>
      <w:r>
        <w:t>1. 以我方公司全称及实际权利义务识别角色，不能只看“甲方”“乙方”标签。先写明合同中的我方名称、甲乙方身份、服务采购方或服务提供方身份、付款方、交付方及对应原文证据。</w:t>
      </w:r>
    </w:p>
    <w:p>
      <w:pPr>
        <w:ind w:left="283" w:hanging="198"/>
      </w:pPr>
      <w:r>
        <w:t>2. 我方购买服务时，使用每条规则的“我方采购服务”口径；我方提供服务时，使用“我方提供服务”口径。双方兼有采购和交付义务时，按具体义务分别审核，不把整份合同强行归为单一角色。</w:t>
      </w:r>
    </w:p>
    <w:p>
      <w:pPr>
        <w:ind w:left="283" w:hanging="198"/>
      </w:pPr>
      <w:r>
        <w:t>3. 如果找不到我方主体、主体名称不一致、权利义务相互矛盾，先标记“角色无法确认”，说明缺少的信息。此时不得套用角色专属的付款、验收、责任上限等商业建议，也不得据此生成确定性批注。</w:t>
      </w:r>
    </w:p>
    <w:p>
      <w:pPr>
        <w:ind w:left="283" w:hanging="198"/>
      </w:pPr>
      <w:r>
        <w:t>4. 本规则中的示例期限、付款节点、责任上限是谈判参考值，不是法定标准。与我方正式授权政策不一致时，以经确认的政策为准；重大金额、数据处理、争议解决及高风险事项交相应负责人复核。</w:t>
      </w:r>
    </w:p>
    <w:p>
      <w:pPr>
        <w:ind w:left="283" w:hanging="198"/>
      </w:pPr>
      <w:r>
        <w:t>5. 每条使用“通过、需修改、缺失、不适用、无法判断”之一。仅对能在原文中逐字、唯一定位的问题作原文批注；缺失条款、需核实事实和无法定位的意见写入独立报告。</w:t>
      </w:r>
    </w:p>
    <w:p>
      <w:pPr>
        <w:pStyle w:val="Heading1"/>
      </w:pPr>
      <w:r>
        <w:t>二 批注与报告要求</w:t>
      </w:r>
    </w:p>
    <w:p>
      <w:pPr/>
      <w:r>
        <w:t>每条原文批注按以下顺序写：</w:t>
      </w:r>
    </w:p>
    <w:p>
      <w:pPr>
        <w:ind w:left="283" w:hanging="198"/>
      </w:pPr>
      <w:r>
        <w:t>• 问题：指出该原文条款如何影响我方，避免只写“存在风险”。</w:t>
      </w:r>
    </w:p>
    <w:p>
      <w:pPr>
        <w:ind w:left="283" w:hanging="198"/>
      </w:pPr>
      <w:r>
        <w:t>• 修改建议：给出可谈判的具体改法；涉及金额、期限和授权时，说明需谁确认。</w:t>
      </w:r>
    </w:p>
    <w:p>
      <w:pPr>
        <w:ind w:left="283" w:hanging="198"/>
      </w:pPr>
      <w:r>
        <w:t>• 审核依据：概括本文件中适用的角色口径及具体要求，一两句话即可；规则编号只作为末尾索引，不得用 R 编号代替规则内容。</w:t>
      </w:r>
    </w:p>
    <w:p>
      <w:pPr/>
      <w:r>
        <w:t>批注应简洁，优先在一段内完成。不要把整条规则的“检查什么、触发条件、判断与建议”全文复制进批注。同一原文涉及多个规则时，能合并的意见合并，避免一段出现大量重复批注。报告需列明我方角色、已审文件、缺失附件、问题清单、待确认事项与总体建议。不得把商业谈判目标说成法律强制要求。</w:t>
      </w:r>
    </w:p>
    <w:p>
      <w:pPr>
        <w:pStyle w:val="Heading1"/>
      </w:pPr>
      <w:r>
        <w:t>三 逐项审核规则</w:t>
      </w:r>
    </w:p>
    <w:p>
      <w:pPr>
        <w:pStyle w:val="Heading2"/>
      </w:pPr>
      <w:r>
        <w:t>R01 签约主体和文件范围</w:t>
      </w:r>
    </w:p>
    <w:p>
      <w:pPr/>
      <w:r>
        <w:rPr>
          <w:b/>
        </w:rPr>
        <w:t>共同检查：</w:t>
      </w:r>
      <w:r>
        <w:t>双方全称、签约与盖章主体、付款与收款主体、附件、订单及正文优先顺序。</w:t>
      </w:r>
    </w:p>
    <w:p>
      <w:pPr/>
      <w:r>
        <w:rPr>
          <w:b/>
        </w:rPr>
        <w:t>我方采购服务：</w:t>
      </w:r>
      <w:r>
        <w:t>核对提供服务和收款的主体是否一致；供应商主体、资质或交付附件缺失时，要求补齐并确认履约与收款责任。</w:t>
      </w:r>
    </w:p>
    <w:p>
      <w:pPr/>
      <w:r>
        <w:rPr>
          <w:b/>
        </w:rPr>
        <w:t>我方提供服务：</w:t>
      </w:r>
      <w:r>
        <w:t>核对客户签约、下单和付款主体是否一致；由关联公司付款时，明确付款义务和开票对象。</w:t>
      </w:r>
    </w:p>
    <w:p>
      <w:pPr>
        <w:pStyle w:val="Heading2"/>
      </w:pPr>
      <w:r>
        <w:t>R02 服务范围和交付物</w:t>
      </w:r>
    </w:p>
    <w:p>
      <w:pPr/>
      <w:r>
        <w:rPr>
          <w:b/>
        </w:rPr>
        <w:t>共同检查：</w:t>
      </w:r>
      <w:r>
        <w:t>交付物、数量或工作量、地点、方式、边界、排除事项及附件版本。</w:t>
      </w:r>
    </w:p>
    <w:p>
      <w:pPr/>
      <w:r>
        <w:rPr>
          <w:b/>
        </w:rPr>
        <w:t>我方采购服务：</w:t>
      </w:r>
      <w:r>
        <w:t>范围过于笼统、供应商可单方解释交付内容时，要求列出可验收的交付清单、质量标准和责任分工。</w:t>
      </w:r>
    </w:p>
    <w:p>
      <w:pPr/>
      <w:r>
        <w:rPr>
          <w:b/>
        </w:rPr>
        <w:t>我方提供服务：</w:t>
      </w:r>
      <w:r>
        <w:t>避免“满足客户全部需求”等无限范围；列明我方交付、客户配合、排除事项，新增需求走变更程序。</w:t>
      </w:r>
    </w:p>
    <w:p>
      <w:pPr>
        <w:pStyle w:val="Heading2"/>
      </w:pPr>
      <w:r>
        <w:t>R03 工期和双方配合</w:t>
      </w:r>
    </w:p>
    <w:p>
      <w:pPr/>
      <w:r>
        <w:rPr>
          <w:b/>
        </w:rPr>
        <w:t>共同检查：</w:t>
      </w:r>
      <w:r>
        <w:t>起止日期、里程碑、双方提交资料和反馈的期限、延迟通知及顺延条件。</w:t>
      </w:r>
    </w:p>
    <w:p>
      <w:pPr/>
      <w:r>
        <w:rPr>
          <w:b/>
        </w:rPr>
        <w:t>我方采购服务：</w:t>
      </w:r>
      <w:r>
        <w:t>供应商交付期限不能只由其单方决定；顺延应限于可证明的我方原因，并要求及时通知及影响说明。</w:t>
      </w:r>
    </w:p>
    <w:p>
      <w:pPr/>
      <w:r>
        <w:rPr>
          <w:b/>
        </w:rPr>
        <w:t>我方提供服务：</w:t>
      </w:r>
      <w:r>
        <w:t>我方交付依赖客户资料、账号、接口或反馈时，应约定对方配合期限；因对方延迟造成的合理工期与费用变化须书面确认。</w:t>
      </w:r>
    </w:p>
    <w:p>
      <w:pPr>
        <w:pStyle w:val="Heading2"/>
      </w:pPr>
      <w:r>
        <w:t>R04 验收标准和程序</w:t>
      </w:r>
    </w:p>
    <w:p>
      <w:pPr/>
      <w:r>
        <w:rPr>
          <w:b/>
        </w:rPr>
        <w:t>共同检查：</w:t>
      </w:r>
      <w:r>
        <w:t>客观标准、提交方式、反馈期限、整改、复验及最终验收条件。</w:t>
      </w:r>
    </w:p>
    <w:p>
      <w:pPr/>
      <w:r>
        <w:rPr>
          <w:b/>
        </w:rPr>
        <w:t>我方采购服务：</w:t>
      </w:r>
      <w:r>
        <w:t>验收期应足以完成测试和内部确认；避免过短期限或未经实质核验即视为全部合格；保留缺陷整改与复验权。</w:t>
      </w:r>
    </w:p>
    <w:p>
      <w:pPr/>
      <w:r>
        <w:rPr>
          <w:b/>
        </w:rPr>
        <w:t>我方提供服务：</w:t>
      </w:r>
      <w:r>
        <w:t>避免验收完全取决于客户单方“满意”或无限期不反馈；约定书面列出不符合项、整改与复验流程。是否设置默示验收由法务及业务确认。</w:t>
      </w:r>
    </w:p>
    <w:p>
      <w:pPr>
        <w:pStyle w:val="Heading2"/>
      </w:pPr>
      <w:r>
        <w:t>R05 价格 开票和付款</w:t>
      </w:r>
    </w:p>
    <w:p>
      <w:pPr/>
      <w:r>
        <w:rPr>
          <w:b/>
        </w:rPr>
        <w:t>共同检查：</w:t>
      </w:r>
      <w:r>
        <w:t>总价、税费、发票种类、付款节点、账期、收款账户变更及争议款处理。</w:t>
      </w:r>
    </w:p>
    <w:p>
      <w:pPr/>
      <w:r>
        <w:rPr>
          <w:b/>
        </w:rPr>
        <w:t>我方采购服务：</w:t>
      </w:r>
      <w:r>
        <w:t>大额预付款应与交付风险匹配；可谈判分期付款、发票条件、履约保障和未履行部分退款；收款账户变更须核验。</w:t>
      </w:r>
    </w:p>
    <w:p>
      <w:pPr/>
      <w:r>
        <w:rPr>
          <w:b/>
        </w:rPr>
        <w:t>我方提供服务：</w:t>
      </w:r>
      <w:r>
        <w:t>避免全部款项压到最终验收后或由客户无限期控制；明确发票与付款流程、无争议款支付期限及客户单方扣款限制。</w:t>
      </w:r>
    </w:p>
    <w:p>
      <w:pPr>
        <w:pStyle w:val="Heading2"/>
      </w:pPr>
      <w:r>
        <w:t>R06 需求变更和额外费用</w:t>
      </w:r>
    </w:p>
    <w:p>
      <w:pPr/>
      <w:r>
        <w:rPr>
          <w:b/>
        </w:rPr>
        <w:t>共同检查：</w:t>
      </w:r>
      <w:r>
        <w:t>新增范围、返工、工期和费用变更的申请、审批及生效方式。</w:t>
      </w:r>
    </w:p>
    <w:p>
      <w:pPr/>
      <w:r>
        <w:rPr>
          <w:b/>
        </w:rPr>
        <w:t>我方采购服务：</w:t>
      </w:r>
      <w:r>
        <w:t>供应商不得未经我方授权单方增加费用或减少交付；变更单应写清范围、金额、工期和验收影响。</w:t>
      </w:r>
    </w:p>
    <w:p>
      <w:pPr/>
      <w:r>
        <w:rPr>
          <w:b/>
        </w:rPr>
        <w:t>我方提供服务：</w:t>
      </w:r>
      <w:r>
        <w:t>客户新增需求或变更人员、地点、交付标准时，应先书面确认范围、费用与工期；未经授权的口头指令不应自动扩大义务。</w:t>
      </w:r>
    </w:p>
    <w:p>
      <w:pPr>
        <w:pStyle w:val="Heading2"/>
      </w:pPr>
      <w:r>
        <w:t>R07 知识产权和已有材料</w:t>
      </w:r>
    </w:p>
    <w:p>
      <w:pPr/>
      <w:r>
        <w:rPr>
          <w:b/>
        </w:rPr>
        <w:t>共同检查：</w:t>
      </w:r>
      <w:r>
        <w:t>双方既有材料、第三方材料和项目专属成果的权利及使用许可。</w:t>
      </w:r>
    </w:p>
    <w:p>
      <w:pPr/>
      <w:r>
        <w:rPr>
          <w:b/>
        </w:rPr>
        <w:t>我方采购服务：</w:t>
      </w:r>
      <w:r>
        <w:t>确保付款后对交付成果拥有业务所需的持续使用、维护和必要修改权；供应商既有技术可保留，但许可范围不得使项目在服务期满后无法使用。</w:t>
      </w:r>
    </w:p>
    <w:p>
      <w:pPr/>
      <w:r>
        <w:rPr>
          <w:b/>
        </w:rPr>
        <w:t>我方提供服务：</w:t>
      </w:r>
      <w:r>
        <w:t>保护我方既有方法、代码、模板和通用经验；项目专属成果的转让或独占许可应明确范围、期限、地域及付款条件。</w:t>
      </w:r>
    </w:p>
    <w:p>
      <w:pPr>
        <w:pStyle w:val="Heading2"/>
      </w:pPr>
      <w:r>
        <w:t>R08 保密义务</w:t>
      </w:r>
    </w:p>
    <w:p>
      <w:pPr/>
      <w:r>
        <w:rPr>
          <w:b/>
        </w:rPr>
        <w:t>共同检查：</w:t>
      </w:r>
      <w:r>
        <w:t>保密信息定义、例外、使用目的、接触人员、期限、依法披露及返还或销毁。</w:t>
      </w:r>
    </w:p>
    <w:p>
      <w:pPr/>
      <w:r>
        <w:rPr>
          <w:b/>
        </w:rPr>
        <w:t>我方采购服务：</w:t>
      </w:r>
      <w:r>
        <w:t>限制供应商将我方资料用于合同外目的；明确人员、分包方保密义务和服务结束后的资料处置。</w:t>
      </w:r>
    </w:p>
    <w:p>
      <w:pPr/>
      <w:r>
        <w:rPr>
          <w:b/>
        </w:rPr>
        <w:t>我方提供服务：</w:t>
      </w:r>
      <w:r>
        <w:t>避免我方单方承担无限范围、永久期限的保密义务；保留依法或合规需要的记录，并约定合理例外。</w:t>
      </w:r>
    </w:p>
    <w:p>
      <w:pPr>
        <w:pStyle w:val="Heading2"/>
      </w:pPr>
      <w:r>
        <w:t>R09 个人信息和数据处理</w:t>
      </w:r>
    </w:p>
    <w:p>
      <w:pPr/>
      <w:r>
        <w:rPr>
          <w:b/>
        </w:rPr>
        <w:t>共同检查：</w:t>
      </w:r>
      <w:r>
        <w:t>是否接触个人信息或重要业务数据、双方角色、目的、范围、期限、权限、安全措施、分包、跨境和终止处置。</w:t>
      </w:r>
    </w:p>
    <w:p>
      <w:pPr/>
      <w:r>
        <w:rPr>
          <w:b/>
        </w:rPr>
        <w:t>我方采购服务：</w:t>
      </w:r>
      <w:r>
        <w:t>供应商处理我方提供的数据时，要求明确受托处理边界、安全责任、事件通报、删除或返还及必要的审计安排。</w:t>
      </w:r>
    </w:p>
    <w:p>
      <w:pPr/>
      <w:r>
        <w:rPr>
          <w:b/>
        </w:rPr>
        <w:t>我方提供服务：</w:t>
      </w:r>
      <w:r>
        <w:t>客户要求我方处理数据时，明确客户提供数据的合法来源、我方处理指令和必要配合；超出合同目的的使用需另行授权。</w:t>
      </w:r>
    </w:p>
    <w:p>
      <w:pPr/>
      <w:r>
        <w:t>无法确认数据类型和流向时，标记专项复核，不凭合同文字推定具体合规结论。</w:t>
      </w:r>
    </w:p>
    <w:p>
      <w:pPr>
        <w:pStyle w:val="Heading2"/>
      </w:pPr>
      <w:r>
        <w:t>R10 违约责任和赔偿范围</w:t>
      </w:r>
    </w:p>
    <w:p>
      <w:pPr/>
      <w:r>
        <w:rPr>
          <w:b/>
        </w:rPr>
        <w:t>共同检查：</w:t>
      </w:r>
      <w:r>
        <w:t>违约金、损失范围、累计责任上限、双方是否对等及需专项判断的例外。</w:t>
      </w:r>
    </w:p>
    <w:p>
      <w:pPr/>
      <w:r>
        <w:rPr>
          <w:b/>
        </w:rPr>
        <w:t>我方采购服务：</w:t>
      </w:r>
      <w:r>
        <w:t>警惕供应商对交付缺陷、保密或数据事件承担过低责任，或将所有情形无差别纳入较低上限；同时避免我方承担不合理的单方责任。</w:t>
      </w:r>
    </w:p>
    <w:p>
      <w:pPr/>
      <w:r>
        <w:rPr>
          <w:b/>
        </w:rPr>
        <w:t>我方提供服务：</w:t>
      </w:r>
      <w:r>
        <w:t>警惕我方承担无限责任、多种救济重复叠加或间接损失无边界；责任上限和例外由法务结合交易风险确认。</w:t>
      </w:r>
    </w:p>
    <w:p>
      <w:pPr/>
      <w:r>
        <w:t>不得仅因违约金数值高就断言条款无效。</w:t>
      </w:r>
    </w:p>
    <w:p>
      <w:pPr>
        <w:pStyle w:val="Heading2"/>
      </w:pPr>
      <w:r>
        <w:t>R11 解除和费用结算</w:t>
      </w:r>
    </w:p>
    <w:p>
      <w:pPr/>
      <w:r>
        <w:rPr>
          <w:b/>
        </w:rPr>
        <w:t>共同检查：</w:t>
      </w:r>
      <w:r>
        <w:t>无因解除、违约解除、通知与整改期、已完成工作结算、预付款返还及交接。</w:t>
      </w:r>
    </w:p>
    <w:p>
      <w:pPr/>
      <w:r>
        <w:rPr>
          <w:b/>
        </w:rPr>
        <w:t>我方采购服务：</w:t>
      </w:r>
      <w:r>
        <w:t>供应商违约或不能履行时，应有解除、退款和资料交接安排；预付款未履行部分如何返还应明确。</w:t>
      </w:r>
    </w:p>
    <w:p>
      <w:pPr/>
      <w:r>
        <w:rPr>
          <w:b/>
        </w:rPr>
        <w:t>我方提供服务：</w:t>
      </w:r>
      <w:r>
        <w:t>客户无因解除时，应结算已完成服务及经证明的合理不可撤销成本；重大违约原则上有通知与补救安排。</w:t>
      </w:r>
    </w:p>
    <w:p>
      <w:pPr>
        <w:pStyle w:val="Heading2"/>
      </w:pPr>
      <w:r>
        <w:t>R12 服务级别和服务救济</w:t>
      </w:r>
    </w:p>
    <w:p>
      <w:pPr/>
      <w:r>
        <w:rPr>
          <w:b/>
        </w:rPr>
        <w:t>共同检查：</w:t>
      </w:r>
      <w:r>
        <w:t>故障分级、响应与修复时限、可用性统计、维护窗口、排除情形及服务抵扣。</w:t>
      </w:r>
    </w:p>
    <w:p>
      <w:pPr/>
      <w:r>
        <w:rPr>
          <w:b/>
        </w:rPr>
        <w:t>我方采购服务：</w:t>
      </w:r>
      <w:r>
        <w:t>要求指标可测量、供应商提供记录与补救，不能只写“及时处理”；排除情形应明确且不应吞没核心承诺。</w:t>
      </w:r>
    </w:p>
    <w:p>
      <w:pPr/>
      <w:r>
        <w:rPr>
          <w:b/>
        </w:rPr>
        <w:t>我方提供服务：</w:t>
      </w:r>
      <w:r>
        <w:t>避免不受我方控制的绝对结果承诺；客户网络、第三方服务和计划维护的合理排除应写明，多个救济不得无条件叠加。</w:t>
      </w:r>
    </w:p>
    <w:p>
      <w:pPr>
        <w:pStyle w:val="Heading2"/>
      </w:pPr>
      <w:r>
        <w:t>R13 分包 人员和审计</w:t>
      </w:r>
    </w:p>
    <w:p>
      <w:pPr/>
      <w:r>
        <w:rPr>
          <w:b/>
        </w:rPr>
        <w:t>共同检查：</w:t>
      </w:r>
      <w:r>
        <w:t>关键人员变更、分包条件、分包方责任及审计频次和范围。</w:t>
      </w:r>
    </w:p>
    <w:p>
      <w:pPr/>
      <w:r>
        <w:rPr>
          <w:b/>
        </w:rPr>
        <w:t>我方采购服务：</w:t>
      </w:r>
      <w:r>
        <w:t>关键人员更换或核心工作分包应有合理通知、同意与责任承接；审计应能核实履约和数据安全，同时遵守保密与最小必要原则。</w:t>
      </w:r>
    </w:p>
    <w:p>
      <w:pPr/>
      <w:r>
        <w:rPr>
          <w:b/>
        </w:rPr>
        <w:t>我方提供服务：</w:t>
      </w:r>
      <w:r>
        <w:t>保留合理使用关联公司、云服务商和专业分包商的空间；客户审计不得无限进入我方或其他客户的系统。</w:t>
      </w:r>
    </w:p>
    <w:p>
      <w:pPr>
        <w:pStyle w:val="Heading2"/>
      </w:pPr>
      <w:r>
        <w:t>R14 排他 竞业和案例使用</w:t>
      </w:r>
    </w:p>
    <w:p>
      <w:pPr/>
      <w:r>
        <w:rPr>
          <w:b/>
        </w:rPr>
        <w:t>共同检查：</w:t>
      </w:r>
      <w:r>
        <w:t>独家合作、竞业限制、双方名称、商标、案例和项目数据的宣传使用。</w:t>
      </w:r>
    </w:p>
    <w:p>
      <w:pPr/>
      <w:r>
        <w:rPr>
          <w:b/>
        </w:rPr>
        <w:t>我方采购服务：</w:t>
      </w:r>
      <w:r>
        <w:t>供应商不得未经我方书面同意公开我方名称、标识、合同内容或案例；必要的排他义务应明确范围、期限和对价。</w:t>
      </w:r>
    </w:p>
    <w:p>
      <w:pPr/>
      <w:r>
        <w:rPr>
          <w:b/>
        </w:rPr>
        <w:t>我方提供服务：</w:t>
      </w:r>
      <w:r>
        <w:t>避免无限期或无限地域禁止我方服务其他客户；公开使用客户名称和案例应获得适当授权。</w:t>
      </w:r>
    </w:p>
    <w:p>
      <w:pPr>
        <w:pStyle w:val="Heading2"/>
      </w:pPr>
      <w:r>
        <w:t>R15 争议解决 通知和条款优先级</w:t>
      </w:r>
    </w:p>
    <w:p>
      <w:pPr/>
      <w:r>
        <w:rPr>
          <w:b/>
        </w:rPr>
        <w:t>共同检查：</w:t>
      </w:r>
      <w:r>
        <w:t>适用法律、明确且唯一的争议解决方式、送达地址与电子送达、线上条款及附件优先顺序。</w:t>
      </w:r>
    </w:p>
    <w:p>
      <w:pPr/>
      <w:r>
        <w:rPr>
          <w:b/>
        </w:rPr>
        <w:t>我方采购服务：</w:t>
      </w:r>
      <w:r>
        <w:t>避免对方可单方改变管辖地或线上条款；通知地址应可靠，具体法院或仲裁机构由法务确认。</w:t>
      </w:r>
    </w:p>
    <w:p>
      <w:pPr/>
      <w:r>
        <w:rPr>
          <w:b/>
        </w:rPr>
        <w:t>我方提供服务：</w:t>
      </w:r>
      <w:r>
        <w:t>避免客户采购平台条款未经双方确认即覆盖已签合同；通知和争议解决安排应可执行。</w:t>
      </w:r>
    </w:p>
    <w:p>
      <w:pPr>
        <w:pStyle w:val="Heading1"/>
      </w:pPr>
      <w:r>
        <w:t>四 输出前核对</w:t>
      </w:r>
    </w:p>
    <w:p>
      <w:pPr>
        <w:ind w:left="283" w:hanging="198"/>
      </w:pPr>
      <w:r>
        <w:t>1. 写明我方在本合同中是采购方、提供方还是兼有两种角色，并引述识别依据。</w:t>
      </w:r>
    </w:p>
    <w:p>
      <w:pPr>
        <w:ind w:left="283" w:hanging="198"/>
      </w:pPr>
      <w:r>
        <w:t>2. 逐项核对 R01 至 R15；对不适用、无法判断和缺失条款说明理由。</w:t>
      </w:r>
    </w:p>
    <w:p>
      <w:pPr>
        <w:ind w:left="283" w:hanging="198"/>
      </w:pPr>
      <w:r>
        <w:t>3. 每条批注的角色口径必须与我方在该具体义务中的角色一致。发现规则口径冲突时，停止生成该条批注，改为待人工确认。</w:t>
      </w:r>
    </w:p>
    <w:p>
      <w:pPr>
        <w:ind w:left="283" w:hanging="198"/>
      </w:pPr>
      <w:r>
        <w:t>4. 批注中的审核依据只摘取与当前问题直接相关的要求，不粘贴整条规则；风险分级、事实推断和法律判断要分开。</w:t>
      </w:r>
    </w:p>
    <w:p>
      <w:pPr>
        <w:ind w:left="283" w:hanging="198"/>
      </w:pPr>
      <w:r>
        <w:t>5. 不给出“可以签署”的最终授权结论。高风险及专项事项交我方有权负责人确认。</w:t>
      </w:r>
    </w:p>
    <w:sectPr w:rsidR="00FC693F" w:rsidRPr="0006063C" w:rsidSect="00034616">
      <w:footerReference w:type="default" r:id="rId9"/>
      <w:pgSz w:w="12240" w:h="15840"/>
      <w:pgMar w:top="1134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MOVO 测试规则 · 正式使用前须由企业负责人确认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