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86.3% and 87.0%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at 200 GPa, while the one closed prediction-synthesis-measurement loop in the</w:t>
      </w:r>
      <w:r>
        <w:t xml:space="preserve"> </w:t>
      </w:r>
      <w:r>
        <w:t xml:space="preserve">recent literature delivered intermetallics between 2.5 and 6.5 K with no applied</w:t>
      </w:r>
      <w:r>
        <w:t xml:space="preserve"> </w:t>
      </w:r>
      <w:r>
        <w:t xml:space="preserve">pressure reported.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6037839"/>
            <wp:effectExtent b="0" l="0" r="0" t="0"/>
            <wp:docPr descr="Figure 1: The taxonomy and its occupancy. Every corpus record carries one label from Axis 1 and one from Axis 2; the AI lens applies only to records that use a machine-learning method in their own work. Labels are sorted by count within each block and bars are scaled within a block, since the three blocks are different populations. Family and mode counts are seed-corpus papers on the same basis as Table 1, so the two agree; the AI-lens counts are over the whole working corpus. Two features carry into later sections: theory alone is 51.2% of the corpus, and the entire AI lens is 253 papers, of which one is an autonomous experiment."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6037839"/>
                    </a:xfrm>
                    <a:prstGeom prst="rect">
                      <a:avLst/>
                    </a:prstGeom>
                    <a:noFill/>
                    <a:ln w="9525">
                      <a:noFill/>
                      <a:headEnd/>
                      <a:tailEnd/>
                    </a:ln>
                  </pic:spPr>
                </pic:pic>
              </a:graphicData>
            </a:graphic>
          </wp:inline>
        </w:drawing>
      </w:r>
    </w:p>
    <w:p>
      <w:pPr>
        <w:pStyle w:val="ImageCaption"/>
      </w:pPr>
      <w:r>
        <w:t xml:space="preserve">Figure 1: The taxonomy and its occupancy. Every corpus record carries one label from</w:t>
      </w:r>
      <w:r>
        <w:t xml:space="preserve"> </w:t>
      </w:r>
      <w:r>
        <w:t xml:space="preserve">Axis 1 and one from Axis 2; the AI lens applies only to records that use a</w:t>
      </w:r>
      <w:r>
        <w:t xml:space="preserve"> </w:t>
      </w:r>
      <w:r>
        <w:t xml:space="preserve">machine-learning method in their own work. Labels are sorted by count within each</w:t>
      </w:r>
      <w:r>
        <w:t xml:space="preserve"> </w:t>
      </w:r>
      <w:r>
        <w:t xml:space="preserve">block and bars are scaled within a block, since the three blocks are different</w:t>
      </w:r>
      <w:r>
        <w:t xml:space="preserve"> </w:t>
      </w:r>
      <w:r>
        <w:t xml:space="preserve">populations. Family and mode counts are seed-corpus papers on the same basis as Table</w:t>
      </w:r>
      <w:r>
        <w:t xml:space="preserve"> </w:t>
      </w:r>
      <w:r>
        <w:t xml:space="preserve">1, so the two agree; the AI-lens counts are over the whole working corpus. Two</w:t>
      </w:r>
      <w:r>
        <w:t xml:space="preserve"> </w:t>
      </w:r>
      <w:r>
        <w:t xml:space="preserve">features carry into later sections: theory alone is 51.2% of the corpus, and the</w:t>
      </w:r>
      <w:r>
        <w:t xml:space="preserve"> </w:t>
      </w:r>
      <w:r>
        <w:t xml:space="preserve">entire AI lens is 253 papers, of which one is an autonomous</w:t>
      </w:r>
      <w:r>
        <w:t xml:space="preserve"> </w:t>
      </w:r>
      <w:r>
        <w:t xml:space="preserve">experiment.</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86.3%</w:t>
            </w:r>
          </w:p>
        </w:tc>
        <w:tc>
          <w:tcPr/>
          <w:p>
            <w:pPr>
              <w:pStyle w:val="Compact"/>
            </w:pPr>
            <w:r>
              <w:t xml:space="preserve">87.0%</w:t>
            </w:r>
          </w:p>
        </w:tc>
      </w:tr>
    </w:tbl>
    <w:p>
      <w:pPr>
        <w:pStyle w:val="BodyText"/>
      </w:pPr>
      <w:r>
        <w:t xml:space="preserve">Per-class recall is 100% (theory, 57/57), 90% (characterization, 47/52), 85% (ab</w:t>
      </w:r>
      <w:r>
        <w:t xml:space="preserve"> </w:t>
      </w:r>
      <w:r>
        <w:t xml:space="preserve">initio, 11/13), 64% (synthesis, 7/11) and 38% (discovery, 5/13). The two small classes</w:t>
      </w:r>
      <w:r>
        <w:t xml:space="preserve"> </w:t>
      </w:r>
      <w:r>
        <w:t xml:space="preserve">are the weak ones, and the denominators are the reason to be careful with them: on</w:t>
      </w:r>
      <w:r>
        <w:t xml:space="preserve"> </w:t>
      </w:r>
      <w:r>
        <w:t xml:space="preserve">thirteen papers a single reclassification moves recall by eight points, so these</w:t>
      </w:r>
      <w:r>
        <w:t xml:space="preserve"> </w:t>
      </w:r>
      <w:r>
        <w:t xml:space="preserve">percentages carry roughly the information of the counts beside them and no claim in</w:t>
      </w:r>
      <w:r>
        <w:t xml:space="preserve"> </w:t>
      </w:r>
      <w:r>
        <w:t xml:space="preserve">this survey rests on them. The AI lens was validated separately against 120</w:t>
      </w:r>
      <w:r>
        <w:t xml:space="preserve"> </w:t>
      </w:r>
      <w:r>
        <w:t xml:space="preserve">hand-labelled records, half drawn from each side of the rule-based tag: 88% precision</w:t>
      </w:r>
      <w:r>
        <w:t xml:space="preserve"> </w:t>
      </w:r>
      <w:r>
        <w:t xml:space="preserve">and 77% recall on the AI-versus-not decision, 82% exact agreement on which method.</w:t>
      </w:r>
    </w:p>
    <w:p>
      <w:pPr>
        <w:pStyle w:val="BodyText"/>
      </w:pPr>
      <w:r>
        <w:rPr>
          <w:b/>
          <w:bCs/>
        </w:rPr>
        <w:t xml:space="preserve">These figures score the labels that ship with this paper</w:t>
      </w:r>
      <w:r>
        <w:t xml:space="preserve">, not a fresh model run.</w:t>
      </w:r>
      <w:r>
        <w:t xml:space="preserve"> </w:t>
      </w:r>
      <w:r>
        <w:rPr>
          <w:rStyle w:val="VerbatimChar"/>
        </w:rPr>
        <w:t xml:space="preserve">llm_label.py --score-published</w:t>
      </w:r>
      <w:r>
        <w:t xml:space="preserve"> </w:t>
      </w:r>
      <w:r>
        <w:t xml:space="preserve">reads the released label cache and the released truth</w:t>
      </w:r>
      <w:r>
        <w:t xml:space="preserve"> </w:t>
      </w:r>
      <w:r>
        <w:t xml:space="preserve">set and reproduces every number above; the</w:t>
      </w:r>
      <w:r>
        <w:t xml:space="preserve"> </w:t>
      </w:r>
      <w:r>
        <w:rPr>
          <w:rStyle w:val="VerbatimChar"/>
        </w:rPr>
        <w:t xml:space="preserve">--benchmark</w:t>
      </w:r>
      <w:r>
        <w:t xml:space="preserve"> </w:t>
      </w:r>
      <w:r>
        <w:t xml:space="preserve">mode re-queries the model and</w:t>
      </w:r>
      <w:r>
        <w:t xml:space="preserve"> </w:t>
      </w:r>
      <w:r>
        <w:t xml:space="preserve">is used only for choosing between models, since its result depends on a run the reader</w:t>
      </w:r>
      <w:r>
        <w:t xml:space="preserve"> </w:t>
      </w:r>
      <w:r>
        <w:t xml:space="preserve">cannot repeat.</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197</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1487</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1763</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1861</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66860"/>
            <wp:effectExtent b="0" l="0" r="0" t="0"/>
            <wp:docPr descr="Figure 2: Semantic map of the seed corpus (TF-IDF, truncated SVD, t-SNE), coloured by material family. Each family is labelled at its density peak, with a leader line where the label had to be moved to avoid a collision; nine categorical hues cannot be told apart reliably, so the labels rather than the colours carry identit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66860"/>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Each family is labelled at its density peak, with a leader line</w:t>
      </w:r>
      <w:r>
        <w:t xml:space="preserve"> </w:t>
      </w:r>
      <w:r>
        <w:t xml:space="preserve">where the label had to be moved to avoid a collision; nine categorical hues cannot be</w:t>
      </w:r>
      <w:r>
        <w:t xml:space="preserve"> </w:t>
      </w:r>
      <w:r>
        <w:t xml:space="preserve">told apart reliably, so the labels rather than the colours carry identity. Per-family</w:t>
      </w:r>
      <w:r>
        <w:t xml:space="preserve"> </w:t>
      </w:r>
      <w:r>
        <w:t xml:space="preserve">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5775211"/>
            <wp:effectExtent b="0" l="0" r="0" t="0"/>
            <wp:docPr descr="Figure 3: Quarterly submissions, seed records only, drawn as small multiples rather than as one nine-line overlay. Panels are ordered by growth, measured as the change from the first four to the last four complete quarters, and that figure is printed on each panel. The nine family panels (a) share one vertical scale so magnitudes stay comparable; the five mode panels (b) use independent scales, each with its maximum printed, because a shared scale renders the three smaller modes as flat lines. Both partial endpoint quarters are omitted. The marked cuprate spike in 2023Q3 is the LK-99 replication burst discussed in the text."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5775211"/>
                    </a:xfrm>
                    <a:prstGeom prst="rect">
                      <a:avLst/>
                    </a:prstGeom>
                    <a:noFill/>
                    <a:ln w="9525">
                      <a:noFill/>
                      <a:headEnd/>
                      <a:tailEnd/>
                    </a:ln>
                  </pic:spPr>
                </pic:pic>
              </a:graphicData>
            </a:graphic>
          </wp:inline>
        </w:drawing>
      </w:r>
    </w:p>
    <w:p>
      <w:pPr>
        <w:pStyle w:val="ImageCaption"/>
      </w:pPr>
      <w:r>
        <w:t xml:space="preserve">Figure 3: Quarterly submissions, seed records only, drawn as small multiples rather</w:t>
      </w:r>
      <w:r>
        <w:t xml:space="preserve"> </w:t>
      </w:r>
      <w:r>
        <w:t xml:space="preserve">than as one nine-line overlay. Panels are ordered by growth, measured as the change</w:t>
      </w:r>
      <w:r>
        <w:t xml:space="preserve"> </w:t>
      </w:r>
      <w:r>
        <w:t xml:space="preserve">from the first four to the last four complete quarters, and that figure is printed on</w:t>
      </w:r>
      <w:r>
        <w:t xml:space="preserve"> </w:t>
      </w:r>
      <w:r>
        <w:t xml:space="preserve">each panel. The nine family panels (a) share one vertical scale so magnitudes stay</w:t>
      </w:r>
      <w:r>
        <w:t xml:space="preserve"> </w:t>
      </w:r>
      <w:r>
        <w:t xml:space="preserve">comparable; the five mode panels (b) use independent scales, each with its maximum</w:t>
      </w:r>
      <w:r>
        <w:t xml:space="preserve"> </w:t>
      </w:r>
      <w:r>
        <w:t xml:space="preserve">printed, because a shared scale renders the three smaller modes as flat lines. Both</w:t>
      </w:r>
      <w:r>
        <w:t xml:space="preserve"> </w:t>
      </w:r>
      <w:r>
        <w:t xml:space="preserve">partial endpoint quarters are omitted. The marked cuprate spike in 2023Q3 is the LK-99</w:t>
      </w:r>
      <w:r>
        <w:t xml:space="preserve"> </w:t>
      </w:r>
      <w:r>
        <w:t xml:space="preserve">replication burst discussed in the text.</w:t>
      </w:r>
    </w:p>
    <w:bookmarkStart w:id="24" w:name="nickelates-the-fast-moving-family"/>
    <w:p>
      <w:pPr>
        <w:pStyle w:val="Heading2"/>
      </w:pPr>
      <w:r>
        <w:t xml:space="preserve">Nickelates: the fast-moving family</w:t>
      </w:r>
    </w:p>
    <w:p>
      <w:pPr>
        <w:pStyle w:val="FirstParagraph"/>
      </w:pPr>
      <w:r>
        <w:t xml:space="preserve">Nickelates are among the smaller named families in this corpus (628 seed records) and</w:t>
      </w:r>
      <w:r>
        <w:t xml:space="preserve"> </w:t>
      </w:r>
      <w:r>
        <w:t xml:space="preserve">by a wide margin the fastest-growing: quarterly output rose 203% between the first and</w:t>
      </w:r>
      <w:r>
        <w:t xml:space="preserve"> </w:t>
      </w:r>
      <w:r>
        <w:t xml:space="preserve">last four quarters of the window, against +55% for the next fastest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(1,487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show the</w:t>
      </w:r>
      <w:r>
        <w:t xml:space="preserve"> </w:t>
      </w:r>
      <w:r>
        <w:t xml:space="preserve">steepest decline in quarterly output over the window, at -10%; topological (-8%) and</w:t>
      </w:r>
      <w:r>
        <w:t xml:space="preserve"> </w:t>
      </w:r>
      <w:r>
        <w:t xml:space="preserve">other unconventional systems (-5%) are the only others that fall at all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1,861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where diffusion models over atom types, coordinates and the periodic</w:t>
      </w:r>
      <w:r>
        <w:t xml:space="preserve"> </w:t>
      </w:r>
      <w:r>
        <w:t xml:space="preserve">lattice became the standard instrument for proposing crystal structures under property</w:t>
      </w:r>
      <w:r>
        <w:t xml:space="preserve"> </w:t>
      </w:r>
      <w:r>
        <w:t xml:space="preserve">constraints</w:t>
      </w:r>
      <w:r>
        <w:t xml:space="preserve"> </w:t>
      </w:r>
      <w:r>
        <w:t xml:space="preserve">(</w:t>
      </w:r>
      <w:hyperlink w:anchor="ref-zeni2025mattergen">
        <w:r>
          <w:rPr>
            <w:rStyle w:val="Hyperlink"/>
          </w:rPr>
          <w:t xml:space="preserve">Zeni et al. 2025</w:t>
        </w:r>
      </w:hyperlink>
      <w:r>
        <w:t xml:space="preserve">)</w:t>
      </w:r>
      <w:r>
        <w:t xml:space="preserve">. An inverse-design workflow combining pre-trained</w:t>
      </w:r>
      <w:r>
        <w:t xml:space="preserve"> </w:t>
      </w:r>
      <w:r>
        <w:t xml:space="preserve">models, diffusion and 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Taking the A-Lab report of 43 autonomously discovered</w:t>
      </w:r>
      <w:r>
        <w:t xml:space="preserve"> </w:t>
      </w:r>
      <w:r>
        <w:t xml:space="preserve">novel materials</w:t>
      </w:r>
      <w:r>
        <w:t xml:space="preserve"> </w:t>
      </w:r>
      <w:r>
        <w:t xml:space="preserve">(</w:t>
      </w:r>
      <w:hyperlink w:anchor="ref-szymanski2023autonomous">
        <w:r>
          <w:rPr>
            <w:rStyle w:val="Hyperlink"/>
          </w:rPr>
          <w:t xml:space="preserve">Szymanski et al. 2023</w:t>
        </w:r>
      </w:hyperlink>
      <w:r>
        <w:t xml:space="preserve">)</w:t>
      </w:r>
      <w:r>
        <w:t xml:space="preserve"> </w:t>
      </w:r>
      <w:r>
        <w:t xml:space="preserve">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that work</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intermetallics at 2.5</w:t>
      </w:r>
      <w:r>
        <w:t xml:space="preserve"> </w:t>
      </w:r>
      <w:r>
        <w:t xml:space="preserve">to 6.5 K, with no applied pressure reported, while the screening literature advertises</w:t>
      </w:r>
      <w:r>
        <w:t xml:space="preserve"> </w:t>
      </w:r>
      <w:r>
        <w:t xml:space="preserve">predictions above 200 K at 200 GPa. The two numbers describe different regimes, and</w:t>
      </w:r>
      <w:r>
        <w:t xml:space="preserve"> </w:t>
      </w:r>
      <w:r>
        <w:t xml:space="preserve">the point is not that one refutes the other: the loop closed where the synthesis was</w:t>
      </w:r>
      <w:r>
        <w:t xml:space="preserve"> </w:t>
      </w:r>
      <w:r>
        <w:t xml:space="preserve">routine and stays open where the headline predictions live. The next section asks,</w:t>
      </w:r>
      <w:r>
        <w:t xml:space="preserve"> </w:t>
      </w:r>
      <w:r>
        <w:t xml:space="preserve">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195323"/>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195323"/>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The</w:t>
      </w:r>
      <w:r>
        <w:t xml:space="preserve"> </w:t>
      </w:r>
      <w:r>
        <w:t xml:space="preserve">three priorities that follow are stated above; each is a dataset or standards problem</w:t>
      </w:r>
      <w:r>
        <w:t xml:space="preserve"> </w:t>
      </w:r>
      <w:r>
        <w:t xml:space="preserve">rather than a modelling one, which is why none of them is glamorous.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b/>
          <w:b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w:t>
      </w:r>
      <w:r>
        <w:t xml:space="preserve"> </w:t>
      </w:r>
      <w:r>
        <w:rPr>
          <w:b/>
          <w:bCs/>
        </w:rPr>
        <w:t xml:space="preserve">a robot has no</w:t>
      </w:r>
      <w:r>
        <w:rPr>
          <w:b/>
          <w:bCs/>
        </w:rPr>
        <w:t xml:space="preserve"> </w:t>
      </w:r>
      <w:r>
        <w:rPr>
          <w:b/>
          <w:bCs/>
        </w:rPr>
        <w:t xml:space="preserve">incentive to withhold a failed run.</w:t>
      </w:r>
      <w:r>
        <w:t xml:space="preserve"> </w:t>
      </w:r>
      <w:r>
        <w:t xml:space="preserve">Instrumented synthesis generates the negative</w:t>
      </w:r>
      <w:r>
        <w:t xml:space="preserve"> </w:t>
      </w:r>
      <w:r>
        <w:t xml:space="preserve">data that human publication practice systematically destroys.</w:t>
      </w:r>
    </w:p>
    <w:p>
      <w:pPr>
        <w:pStyle w:val="BodyText"/>
      </w:pPr>
      <w:r>
        <w:rPr>
          <w:b/>
          <w:b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b/>
          <w:b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b/>
          <w:b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intermetallics between 2.5 and 6.5 K, with no applied pressure reported</w:t>
      </w:r>
      <w:r>
        <w:t xml:space="preserve"> </w:t>
      </w:r>
      <w:r>
        <w:t xml:space="preserve">(</w:t>
      </w:r>
      <w:hyperlink w:anchor="ref-li2026agentic">
        <w:r>
          <w:rPr>
            <w:rStyle w:val="Hyperlink"/>
          </w:rPr>
          <w:t xml:space="preserve">Li et al. 2026</w:t>
        </w:r>
      </w:hyperlink>
      <w:r>
        <w:t xml:space="preserve">)</w:t>
      </w:r>
      <w:r>
        <w:t xml:space="preserve"> </w:t>
      </w:r>
      <w:r>
        <w:t xml:space="preserve">– compounds whose synthesis is routine, which is part of why the</w:t>
      </w:r>
      <w:r>
        <w:t xml:space="preserve"> </w:t>
      </w:r>
      <w:r>
        <w:t xml:space="preserve">loop could close at all. A faster loop that stays in that regime would be a genuine</w:t>
      </w:r>
      <w:r>
        <w:t xml:space="preserve"> </w:t>
      </w:r>
      <w:r>
        <w:t xml:space="preserve">engineering achievement and no progress toward the grail, because the constraint at</w:t>
      </w:r>
      <w:r>
        <w:t xml:space="preserve"> </w:t>
      </w:r>
      <w:r>
        <w:t xml:space="preserve">high</w:t>
      </w:r>
      <w:r>
        <w:t xml:space="preserve"> </w:t>
      </w:r>
      <m:oMath>
        <m:sSub>
          <m:e>
            <m:r>
              <m:t>T</m:t>
            </m:r>
          </m:e>
          <m:sub>
            <m:r>
              <m:t>c</m:t>
            </m:r>
          </m:sub>
        </m:sSub>
      </m:oMath>
      <w:r>
        <w:t xml:space="preserve"> </w:t>
      </w:r>
      <w:r>
        <w:t xml:space="preserve">is not iteration speed but extreme-condition synthesis and the absence of a</w:t>
      </w:r>
      <w:r>
        <w:t xml:space="preserve"> </w:t>
      </w:r>
      <w:r>
        <w:t xml:space="preserve">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the three priorities of Section 6, with</w:t>
      </w:r>
      <w:r>
        <w:t xml:space="preserve"> </w:t>
      </w:r>
      <w:r>
        <w:t xml:space="preserve">one step placed in front of them, ordered so that each unblocks the next:</w:t>
      </w:r>
    </w:p>
    <w:p>
      <w:pPr>
        <w:pStyle w:val="Compact"/>
        <w:numPr>
          <w:ilvl w:val="0"/>
          <w:numId w:val="1001"/>
        </w:numPr>
      </w:pPr>
      <w:r>
        <w:rPr>
          <w:b/>
          <w:bCs/>
        </w:rPr>
        <w:t xml:space="preserve">Instrument the experiments.</w:t>
      </w:r>
      <w:r>
        <w:t xml:space="preserve"> </w:t>
      </w:r>
      <w:r>
        <w:t xml:space="preserve">This step is new here, and it is prior to the other</w:t>
      </w:r>
      <w:r>
        <w:t xml:space="preserve"> </w:t>
      </w:r>
      <w:r>
        <w:t xml:space="preserve">three: machine-operated apparatus is what produces the negative results and the</w:t>
      </w:r>
      <w:r>
        <w:t xml:space="preserve"> </w:t>
      </w:r>
      <w:r>
        <w:t xml:space="preserve">machine-readable characterization records that the other three steps consume, and</w:t>
      </w:r>
      <w:r>
        <w:t xml:space="preserve"> </w:t>
      </w:r>
      <w:r>
        <w:t xml:space="preserve">nothing in current publication practice produces them.</w:t>
      </w:r>
    </w:p>
    <w:p>
      <w:pPr>
        <w:pStyle w:val="Compact"/>
        <w:numPr>
          <w:ilvl w:val="0"/>
          <w:numId w:val="1001"/>
        </w:numPr>
      </w:pPr>
      <w:r>
        <w:rPr>
          <w:b/>
          <w:b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b/>
          <w:b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b/>
          <w:b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86.3% family and 87.0% mode agreement</w:t>
      </w:r>
      <w:r>
        <w:t xml:space="preserve"> </w:t>
      </w:r>
      <w:r>
        <w:t xml:space="preserve">against a single annotator’s hand labels, and the two smallest modes – synthesis at</w:t>
      </w:r>
      <w:r>
        <w:t xml:space="preserve"> </w:t>
      </w:r>
      <w:r>
        <w:t xml:space="preserve">7 of 11 and discovery at 5 of 13 – are the least reliable, on denominators small</w:t>
      </w:r>
      <w:r>
        <w:t xml:space="preserve"> </w:t>
      </w:r>
      <w:r>
        <w:t xml:space="preserve">enough that two papers move the rate by fifteen points.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AI work is being done inside the field, not imported into it.</w:t>
      </w:r>
      <w:r>
        <w:t xml:space="preserve"> </w:t>
      </w:r>
      <w:r>
        <w:t xml:space="preserve">We expected the</w:t>
      </w:r>
      <w:r>
        <w:t xml:space="preserve"> </w:t>
      </w:r>
      <w:r>
        <w:t xml:space="preserve">opposite, and the corpus says otherwise. If AI methods were arriving with</w:t>
      </w:r>
      <w:r>
        <w:t xml:space="preserve"> </w:t>
      </w:r>
      <w:r>
        <w:t xml:space="preserve">machine-learning groups from outside, AI-tagged preprints should be filed under</w:t>
      </w:r>
      <w:r>
        <w:t xml:space="preserve"> </w:t>
      </w:r>
      <w:r>
        <w:t xml:space="preserve">different primary categories from the rest of the corpus. They are not: 68% of</w:t>
      </w:r>
      <w:r>
        <w:t xml:space="preserve"> </w:t>
      </w:r>
      <w:r>
        <w:t xml:space="preserve">AI-tagged seed papers carry</w:t>
      </w:r>
      <w:r>
        <w:t xml:space="preserve"> </w:t>
      </w:r>
      <w:r>
        <w:rPr>
          <w:rStyle w:val="VerbatimChar"/>
        </w:rPr>
        <w:t xml:space="preserve">cond-mat.supr-con</w:t>
      </w:r>
      <w:r>
        <w:t xml:space="preserve"> </w:t>
      </w:r>
      <w:r>
        <w:t xml:space="preserve">as their primary category, against</w:t>
      </w:r>
      <w:r>
        <w:t xml:space="preserve"> </w:t>
      </w:r>
      <w:r>
        <w:t xml:space="preserve">69% of everything else. What does separate them is reach in the other direction –</w:t>
      </w:r>
      <w:r>
        <w:t xml:space="preserve"> </w:t>
      </w:r>
      <w:r>
        <w:t xml:space="preserve">16% of AI-tagged papers cross-list to a</w:t>
      </w:r>
      <w:r>
        <w:t xml:space="preserve"> </w:t>
      </w:r>
      <w:r>
        <w:rPr>
          <w:rStyle w:val="VerbatimChar"/>
        </w:rPr>
        <w:t xml:space="preserve">cs.*</w:t>
      </w:r>
      <w:r>
        <w:t xml:space="preserve"> </w:t>
      </w:r>
      <w:r>
        <w:t xml:space="preserve">or</w:t>
      </w:r>
      <w:r>
        <w:t xml:space="preserve"> </w:t>
      </w:r>
      <w:r>
        <w:rPr>
          <w:rStyle w:val="VerbatimChar"/>
        </w:rPr>
        <w:t xml:space="preserve">stat.*</w:t>
      </w:r>
      <w:r>
        <w:t xml:space="preserve"> </w:t>
      </w:r>
      <w:r>
        <w:t xml:space="preserve">category, against 0.3% of</w:t>
      </w:r>
      <w:r>
        <w:t xml:space="preserve"> </w:t>
      </w:r>
      <w:r>
        <w:t xml:space="preserve">the rest, a fifty-fold difference.</w:t>
      </w:r>
    </w:p>
    <w:p>
      <w:pPr>
        <w:pStyle w:val="BodyText"/>
      </w:pPr>
      <w:r>
        <w:t xml:space="preserve">The reading we take from this is that the people doing this work are</w:t>
      </w:r>
      <w:r>
        <w:t xml:space="preserve"> </w:t>
      </w:r>
      <w:r>
        <w:t xml:space="preserve">superconductivity researchers adopting methods, not methods researchers adopting</w:t>
      </w:r>
      <w:r>
        <w:t xml:space="preserve"> </w:t>
      </w:r>
      <w:r>
        <w:t xml:space="preserve">superconductivity. That makes the shortage one of method fluency and of usable data</w:t>
      </w:r>
      <w:r>
        <w:t xml:space="preserve"> </w:t>
      </w:r>
      <w:r>
        <w:t xml:space="preserve">inside the field rather than of contact between two communities, and it predicts that</w:t>
      </w:r>
      <w:r>
        <w:t xml:space="preserve"> </w:t>
      </w:r>
      <w:r>
        <w:t xml:space="preserve">progress comes from instrument and materials groups taking methods up internally –</w:t>
      </w:r>
      <w:r>
        <w:t xml:space="preserve"> </w:t>
      </w:r>
      <w:r>
        <w:t xml:space="preserve">which is what the qubit-readout literature already looks like – rather than from</w:t>
      </w:r>
      <w:r>
        <w:t xml:space="preserve"> </w:t>
      </w:r>
      <w:r>
        <w:t xml:space="preserve">methods groups acquiring physics data.</w:t>
      </w:r>
    </w:p>
    <w:p>
      <w:pPr>
        <w:pStyle w:val="BodyText"/>
      </w:pPr>
      <w:r>
        <w:t xml:space="preserve">We note the limit of this measurement: arXiv records carry no affiliations, so it</w:t>
      </w:r>
      <w:r>
        <w:t xml:space="preserve"> </w:t>
      </w:r>
      <w:r>
        <w:t xml:space="preserve">speaks to where authors file their papers, not to what department they sit in. An</w:t>
      </w:r>
      <w:r>
        <w:t xml:space="preserve"> </w:t>
      </w:r>
      <w:r>
        <w:t xml:space="preserve">earlier draft of this hypothesis asserted the affiliation claim directly; nothing in</w:t>
      </w:r>
      <w:r>
        <w:t xml:space="preserve"> </w:t>
      </w:r>
      <w:r>
        <w:t xml:space="preserve">this corpus supports that, and the category evidence points the other way.</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The three priorities of Section 6 are also the three tests of it, and each fails in a</w:t>
      </w:r>
      <w:r>
        <w:t xml:space="preserve"> </w:t>
      </w:r>
      <w:r>
        <w:t xml:space="preserve">way that would be visible. If a public, standardised corpus of labelled</w:t>
      </w:r>
      <w:r>
        <w:t xml:space="preserve"> </w:t>
      </w:r>
      <w:r>
        <w:t xml:space="preserve">characterization data appeared and the data-limited cells did not move toward</w:t>
      </w:r>
      <w:r>
        <w:t xml:space="preserve"> </w:t>
      </w:r>
      <w:r>
        <w:t xml:space="preserve">method-limited, then format was not what was blocking them. If a registry of attempted</w:t>
      </w:r>
      <w:r>
        <w:t xml:space="preserve"> </w:t>
      </w:r>
      <w:r>
        <w:t xml:space="preserve">syntheses were assembled and synthesizability models trained on it did not improve the</w:t>
      </w:r>
      <w:r>
        <w:t xml:space="preserve"> </w:t>
      </w:r>
      <w:r>
        <w:t xml:space="preserve">hit rate of the screening pipelines, then the missing negative results were not the</w:t>
      </w:r>
      <w:r>
        <w:t xml:space="preserve"> </w:t>
      </w:r>
      <w:r>
        <w:t xml:space="preserve">binding constraint. And if a time-stamped benchmark showed the current screening</w:t>
      </w:r>
      <w:r>
        <w:t xml:space="preserve"> </w:t>
      </w:r>
      <w:r>
        <w:t xml:space="preserve">methods generalising to post-2024 experimental confirmations, then the label-quality</w:t>
      </w:r>
      <w:r>
        <w:t xml:space="preserve"> </w:t>
      </w:r>
      <w:r>
        <w:t xml:space="preserve">problem this survey emphasises is smaller than argued.</w:t>
      </w:r>
    </w:p>
    <w:p>
      <w:pPr>
        <w:pStyle w:val="BodyText"/>
      </w:pPr>
      <w:r>
        <w:t xml:space="preserve">We would rather this section be checkable than comprehensive, so we state the</w:t>
      </w:r>
      <w:r>
        <w:t xml:space="preserve"> </w:t>
      </w:r>
      <w:r>
        <w:t xml:space="preserve">prediction it rests on plainly: the assessment in Figure 5 is a claim about validation</w:t>
      </w:r>
      <w:r>
        <w:t xml:space="preserve"> </w:t>
      </w:r>
      <w:r>
        <w:t xml:space="preserve">cost, and it is wrong if AI methods arrive in the experiment-limited cells before the</w:t>
      </w:r>
      <w:r>
        <w:t xml:space="preserve"> </w:t>
      </w:r>
      <w:r>
        <w:t xml:space="preserve">data and benchmark problems in them are solved.</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at 200 GPa; the one clearly closed prediction-synthesis-measurement loop in the</w:t>
      </w:r>
      <w:r>
        <w:t xml:space="preserve"> </w:t>
      </w:r>
      <w:r>
        <w:t xml:space="preserve">recent literature delivered intermetallics between 2.5 and 6.5 K, with no applied</w:t>
      </w:r>
      <w:r>
        <w:t xml:space="preserve"> </w:t>
      </w:r>
      <w:r>
        <w:t xml:space="preserve">pressure reported</w:t>
      </w:r>
      <w:r>
        <w:t xml:space="preserve"> </w:t>
      </w:r>
      <w:r>
        <w:t xml:space="preserve">(</w:t>
      </w:r>
      <w:hyperlink w:anchor="ref-li2026agentic">
        <w:r>
          <w:rPr>
            <w:rStyle w:val="Hyperlink"/>
          </w:rPr>
          <w:t xml:space="preserve">Li et al. 2026</w:t>
        </w:r>
      </w:hyperlink>
      <w:r>
        <w:t xml:space="preserve">)</w:t>
      </w:r>
      <w:r>
        <w:t xml:space="preserve">. The two sit in different regimes, and that is the substance of the</w:t>
      </w:r>
      <w:r>
        <w:t xml:space="preserve"> </w:t>
      </w:r>
      <w:r>
        <w:t xml:space="preserve">gap rather than a caveat to it: the loop closed where the synthesis was easy.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6"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5"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La$_3$ni$_2$o$_7$.”</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w:r>
        <w:t xml:space="preserve">$_3$sb$_5$ (a=k,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Science China Physics, Mechanics &amp;Amp;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Pb$_</w:t>
      </w:r>
      <w:r>
        <w:t xml:space="preserve">10-x</w:t>
      </w:r>
      <w:r>
        <w:t xml:space="preserve">$cu$_x$(</w:t>
      </w:r>
      <w:r>
        <w:t xml:space="preserve">PO</w:t>
      </w:r>
      <w:r>
        <w:t xml:space="preserve">$_4$)$_6$o.”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$t_c$ Superconductivity in La$_3$ni$_2$o$_7$ 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w:r>
        <w:t xml:space="preserve">$_3$sb$_5$: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5">
        <w:r>
          <w:rPr>
            <w:rStyle w:val="Hyperlink"/>
          </w:rPr>
          <w:t xml:space="preserve">https://doi.org/10.1103/PRXQuantum.5.010323</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3">
        <w:r>
          <w:rPr>
            <w:rStyle w:val="Hyperlink"/>
          </w:rPr>
          <w:t xml:space="preserve">https://doi.org/10.1103/PhysRevX.14.011040</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1">
        <w:r>
          <w:rPr>
            <w:rStyle w:val="Hyperlink"/>
          </w:rPr>
          <w:t xml:space="preserve">https://doi.org/10.1063/5.0159299</w:t>
        </w:r>
      </w:hyperlink>
      <w:r>
        <w:t xml:space="preserve">.</w:t>
      </w:r>
    </w:p>
    <w:bookmarkEnd w:id="272"/>
    <w:bookmarkStart w:id="274"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3">
        <w:r>
          <w:rPr>
            <w:rStyle w:val="Hyperlink"/>
          </w:rPr>
          <w:t xml:space="preserve">https://doi.org/10.1073/pnas.2403067121</w:t>
        </w:r>
      </w:hyperlink>
      <w:r>
        <w:t xml:space="preserve">.</w:t>
      </w:r>
    </w:p>
    <w:bookmarkEnd w:id="274"/>
    <w:bookmarkStart w:id="276"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w:t>
      </w:r>
      <w:r>
        <w:t xml:space="preserve"> </w:t>
      </w:r>
      <w:r>
        <w:t xml:space="preserve">16: 3114.</w:t>
      </w:r>
      <w:r>
        <w:t xml:space="preserve"> </w:t>
      </w:r>
      <w:hyperlink r:id="rId275">
        <w:r>
          <w:rPr>
            <w:rStyle w:val="Hyperlink"/>
          </w:rPr>
          <w:t xml:space="preserve">https://doi.org/10.1038/s41467-025-58446-6</w:t>
        </w:r>
      </w:hyperlink>
      <w:r>
        <w:t xml:space="preserve">.</w:t>
      </w:r>
    </w:p>
    <w:bookmarkEnd w:id="276"/>
    <w:bookmarkStart w:id="278"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7">
        <w:r>
          <w:rPr>
            <w:rStyle w:val="Hyperlink"/>
          </w:rPr>
          <w:t xml:space="preserve">https://doi.org/10.1126/science.adh7691</w:t>
        </w:r>
      </w:hyperlink>
      <w:r>
        <w:t xml:space="preserve">.</w:t>
      </w:r>
    </w:p>
    <w:bookmarkEnd w:id="278"/>
    <w:bookmarkStart w:id="280"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79">
        <w:r>
          <w:rPr>
            <w:rStyle w:val="Hyperlink"/>
          </w:rPr>
          <w:t xml:space="preserve">https://doi.org/10.1038/s41467-024-53870-6</w:t>
        </w:r>
      </w:hyperlink>
      <w:r>
        <w:t xml:space="preserve">.</w:t>
      </w:r>
    </w:p>
    <w:bookmarkEnd w:id="280"/>
    <w:bookmarkStart w:id="282"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1">
        <w:r>
          <w:rPr>
            <w:rStyle w:val="Hyperlink"/>
          </w:rPr>
          <w:t xml:space="preserve">https://doi.org/10.1038/s41567-024-02486-0</w:t>
        </w:r>
      </w:hyperlink>
      <w:r>
        <w:t xml:space="preserve">.</w:t>
      </w:r>
    </w:p>
    <w:bookmarkEnd w:id="282"/>
    <w:bookmarkStart w:id="284" w:name="ref-zeni2025mattergen"/>
    <w:p>
      <w:pPr>
        <w:pStyle w:val="Bibliography"/>
      </w:pPr>
      <w:r>
        <w:t xml:space="preserve">Zeni, Claudio, Robert Pinsler, Daniel Zügner, et al. 2025.</w:t>
      </w:r>
      <w:r>
        <w:t xml:space="preserve"> </w:t>
      </w:r>
      <w:r>
        <w:t xml:space="preserve">“A Generative Model for Inorganic Materials Design.”</w:t>
      </w:r>
      <w:r>
        <w:t xml:space="preserve"> </w:t>
      </w:r>
      <w:r>
        <w:rPr>
          <w:i/>
          <w:iCs/>
        </w:rPr>
        <w:t xml:space="preserve">Nature</w:t>
      </w:r>
      <w:r>
        <w:t xml:space="preserve"> </w:t>
      </w:r>
      <w:r>
        <w:t xml:space="preserve">639: 624–32.</w:t>
      </w:r>
      <w:r>
        <w:t xml:space="preserve"> </w:t>
      </w:r>
      <w:hyperlink r:id="rId283">
        <w:r>
          <w:rPr>
            <w:rStyle w:val="Hyperlink"/>
          </w:rPr>
          <w:t xml:space="preserve">https://doi.org/10.1038/s41586-025-08628-5</w:t>
        </w:r>
      </w:hyperlink>
      <w:r>
        <w:t xml:space="preserve">.</w:t>
      </w:r>
    </w:p>
    <w:bookmarkEnd w:id="284"/>
    <w:bookmarkStart w:id="286" w:name="ref-zhang2023high"/>
    <w:p>
      <w:pPr>
        <w:pStyle w:val="Bibliography"/>
      </w:pPr>
      <w:r>
        <w:t xml:space="preserve">Zhang, Yanan, Dajun Su, Yanen Huang, et al. 2024.</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w:t>
      </w:r>
      <w:r>
        <w:t xml:space="preserve"> </w:t>
      </w:r>
      <w:r>
        <w:t xml:space="preserve">20: 1269–73.</w:t>
      </w:r>
      <w:r>
        <w:t xml:space="preserve"> </w:t>
      </w:r>
      <w:hyperlink r:id="rId285">
        <w:r>
          <w:rPr>
            <w:rStyle w:val="Hyperlink"/>
          </w:rPr>
          <w:t xml:space="preserve">https://doi.org/10.1038/s41567-024-02515-y</w:t>
        </w:r>
      </w:hyperlink>
      <w:r>
        <w:t xml:space="preserve">.</w:t>
      </w:r>
    </w:p>
    <w:bookmarkEnd w:id="286"/>
    <w:bookmarkStart w:id="288"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7">
        <w:r>
          <w:rPr>
            <w:rStyle w:val="Hyperlink"/>
          </w:rPr>
          <w:t xml:space="preserve">https://arxiv.org/abs/2604.18385</w:t>
        </w:r>
      </w:hyperlink>
      <w:r>
        <w:t xml:space="preserve">.</w:t>
      </w:r>
    </w:p>
    <w:bookmarkEnd w:id="288"/>
    <w:bookmarkStart w:id="290"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89">
        <w:r>
          <w:rPr>
            <w:rStyle w:val="Hyperlink"/>
          </w:rPr>
          <w:t xml:space="preserve">https://doi.org/10.1038/s41586-025-08755-z</w:t>
        </w:r>
      </w:hyperlink>
      <w:r>
        <w:t xml:space="preserve">.</w:t>
      </w:r>
    </w:p>
    <w:bookmarkEnd w:id="290"/>
    <w:bookmarkStart w:id="292"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91">
        <w:r>
          <w:rPr>
            <w:rStyle w:val="Hyperlink"/>
          </w:rPr>
          <w:t xml:space="preserve">https://doi.org/10.1093/nsr/nwag151</w:t>
        </w:r>
      </w:hyperlink>
      <w:r>
        <w:t xml:space="preserve">.</w:t>
      </w:r>
    </w:p>
    <w:bookmarkEnd w:id="292"/>
    <w:bookmarkStart w:id="294"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3">
        <w:r>
          <w:rPr>
            <w:rStyle w:val="Hyperlink"/>
          </w:rPr>
          <w:t xml:space="preserve">https://arxiv.org/abs/2311.12361</w:t>
        </w:r>
      </w:hyperlink>
      <w:r>
        <w:t xml:space="preserve">.</w:t>
      </w:r>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2026-09-07T17:27:11Z</dcterms:created>
  <dcterms:modified xsi:type="dcterms:W3CDTF">2026-09-07T17:27:11Z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86.3% and 87.0%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at 200 GPa, while the one closed prediction-synthesis-measurement loop in the recent literature delivered intermetallics between 2.5 and 6.5 K with no applied pressure reported.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