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for Superconductivity: A Systematic Map and Readiness Assessment</w:t>
      </w:r>
    </w:p>
    <w:p>
      <w:pPr>
        <w:pStyle w:val="Author"/>
      </w:pPr>
      <w:r>
        <w:t xml:space="preserve">Mingguang Chen — DeepGrounding — deepgroundingai@gmail.com</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86.3% and 87.0%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the rate-limiting step across material families,</w:t>
      </w:r>
      <w:r>
        <w:t xml:space="preserve"> </w:t>
      </w:r>
      <w:r>
        <w:t xml:space="preserve">contains a single AI-tagged paper. The gap between</w:t>
      </w:r>
      <w:r>
        <w:t xml:space="preserve"> </w:t>
      </w:r>
      <w:r>
        <w:t xml:space="preserve">prediction and measurement is concrete: recent screens advertise candidates above</w:t>
      </w:r>
      <w:r>
        <w:t xml:space="preserve"> </w:t>
      </w:r>
      <w:r>
        <w:t xml:space="preserve">200 K at 200 GPa, while the one closed prediction-synthesis-measurement loop in the</w:t>
      </w:r>
      <w:r>
        <w:t xml:space="preserve"> </w:t>
      </w:r>
      <w:r>
        <w:t xml:space="preserve">recent literature delivered intermetallics between 2.5 and 6.5 K with no applied</w:t>
      </w:r>
      <w:r>
        <w:t xml:space="preserve"> </w:t>
      </w:r>
      <w:r>
        <w:t xml:space="preserve">pressure reported.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 Machine learning has barely entered this field: 1.2% of the</w:t>
      </w:r>
      <w:r>
        <w:t xml:space="preserve"> </w:t>
      </w:r>
      <w:r>
        <w:t xml:space="preserve">systematically harvested corpus uses an AI method in its own work. Where it has</w:t>
      </w:r>
      <w:r>
        <w:t xml:space="preserve"> </w:t>
      </w:r>
      <w:r>
        <w:t xml:space="preserve">entered, it tracks validation cost,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 the field’s actual bottleneck is the emptiest cell: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Section 7 asks what the emerging AI-for-science</w:t>
      </w:r>
      <w:r>
        <w:t xml:space="preserve"> </w:t>
      </w:r>
      <w:r>
        <w:t xml:space="preserve">infrastructure would have to deliver for the field’s central target to come within</w:t>
      </w:r>
      <w:r>
        <w:t xml:space="preserve"> </w:t>
      </w:r>
      <w:r>
        <w:t xml:space="preserve">reach, and what would falsify that route. Section 8 offers three testable hypotheses</w:t>
      </w:r>
      <w:r>
        <w:t xml:space="preserve"> </w:t>
      </w:r>
      <w:r>
        <w:t xml:space="preserve">about why the 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i/>
          <w:i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i/>
          <w:i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i/>
          <w:i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i/>
          <w:i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i/>
          <w:i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i/>
          <w:i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i/>
          <w:i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6037839"/>
            <wp:effectExtent b="0" l="0" r="0" t="0"/>
            <wp:docPr descr="Figure 1: The taxonomy and its occupancy. Every corpus record carries one label from Axis 1 and one from Axis 2; the AI lens applies only to records that use a machine-learning method in their own work. Labels are sorted by count within each block and bars are scaled within a block, since the three blocks are different populations. Family and mode counts are seed-corpus papers on the same basis as Table 1, so the two agree; the AI-lens counts are over the whole working corpus. Two features carry into later sections: theory alone is 51.2% of the corpus, and the entire AI lens is 253 papers, of which one is an autonomous experiment."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6037839"/>
                    </a:xfrm>
                    <a:prstGeom prst="rect">
                      <a:avLst/>
                    </a:prstGeom>
                    <a:noFill/>
                    <a:ln w="9525">
                      <a:noFill/>
                      <a:headEnd/>
                      <a:tailEnd/>
                    </a:ln>
                  </pic:spPr>
                </pic:pic>
              </a:graphicData>
            </a:graphic>
          </wp:inline>
        </w:drawing>
      </w:r>
    </w:p>
    <w:p>
      <w:pPr>
        <w:pStyle w:val="ImageCaption"/>
      </w:pPr>
      <w:r>
        <w:t xml:space="preserve">Figure 1: The taxonomy and its occupancy. Every corpus record carries one label from</w:t>
      </w:r>
      <w:r>
        <w:t xml:space="preserve"> </w:t>
      </w:r>
      <w:r>
        <w:t xml:space="preserve">Axis 1 and one from Axis 2; the AI lens applies only to records that use a</w:t>
      </w:r>
      <w:r>
        <w:t xml:space="preserve"> </w:t>
      </w:r>
      <w:r>
        <w:t xml:space="preserve">machine-learning method in their own work. Labels are sorted by count within each</w:t>
      </w:r>
      <w:r>
        <w:t xml:space="preserve"> </w:t>
      </w:r>
      <w:r>
        <w:t xml:space="preserve">block and bars are scaled within a block, since the three blocks are different</w:t>
      </w:r>
      <w:r>
        <w:t xml:space="preserve"> </w:t>
      </w:r>
      <w:r>
        <w:t xml:space="preserve">populations. Family and mode counts are seed-corpus papers on the same basis as Table</w:t>
      </w:r>
      <w:r>
        <w:t xml:space="preserve"> </w:t>
      </w:r>
      <w:r>
        <w:t xml:space="preserve">1, so the two agree; the AI-lens counts are over the whole working corpus. Two</w:t>
      </w:r>
      <w:r>
        <w:t xml:space="preserve"> </w:t>
      </w:r>
      <w:r>
        <w:t xml:space="preserve">features carry into later sections: theory alone is 51.2% of the corpus, and the</w:t>
      </w:r>
      <w:r>
        <w:t xml:space="preserve"> </w:t>
      </w:r>
      <w:r>
        <w:t xml:space="preserve">entire AI lens is 253 papers, of which one is an autonomous</w:t>
      </w:r>
      <w:r>
        <w:t xml:space="preserve"> </w:t>
      </w:r>
      <w:r>
        <w:t xml:space="preserve">experiment.</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2024</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2026</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i/>
          <w:i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i/>
          <w:i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 The supplement is recency-biased by</w:t>
      </w:r>
      <w:r>
        <w:t xml:space="preserve"> </w:t>
      </w:r>
      <w:r>
        <w:t xml:space="preserve">construction –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i/>
          <w:i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 2.5%,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 10,249</w:t>
      </w:r>
      <w:r>
        <w:t xml:space="preserve"> </w:t>
      </w:r>
      <w:r>
        <w:t xml:space="preserve">records: 10,049 seed and 200 supplement.</w:t>
      </w:r>
    </w:p>
    <w:p>
      <w:pPr>
        <w:pStyle w:val="BodyText"/>
      </w:pPr>
      <w:r>
        <w:rPr>
          <w:i/>
          <w:i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86.3%</w:t>
            </w:r>
          </w:p>
        </w:tc>
        <w:tc>
          <w:tcPr/>
          <w:p>
            <w:pPr>
              <w:pStyle w:val="Compact"/>
            </w:pPr>
            <w:r>
              <w:t xml:space="preserve">87.0%</w:t>
            </w:r>
          </w:p>
        </w:tc>
      </w:tr>
    </w:tbl>
    <w:p>
      <w:pPr>
        <w:pStyle w:val="BodyText"/>
      </w:pPr>
      <w:r>
        <w:t xml:space="preserve">Per-class recall is 100% (theory, 57/57), 90% (characterization, 47/52), 85% (ab</w:t>
      </w:r>
      <w:r>
        <w:t xml:space="preserve"> </w:t>
      </w:r>
      <w:r>
        <w:t xml:space="preserve">initio, 11/13), 64% (synthesis, 7/11) and 38% (discovery, 5/13). The two small classes</w:t>
      </w:r>
      <w:r>
        <w:t xml:space="preserve"> </w:t>
      </w:r>
      <w:r>
        <w:t xml:space="preserve">are the weak ones, and the denominators are the reason to be careful with them: on</w:t>
      </w:r>
      <w:r>
        <w:t xml:space="preserve"> </w:t>
      </w:r>
      <w:r>
        <w:t xml:space="preserve">thirteen papers a single reclassification moves recall by eight points, so these</w:t>
      </w:r>
      <w:r>
        <w:t xml:space="preserve"> </w:t>
      </w:r>
      <w:r>
        <w:t xml:space="preserve">percentages carry roughly the information of the counts beside them and no claim in</w:t>
      </w:r>
      <w:r>
        <w:t xml:space="preserve"> </w:t>
      </w:r>
      <w:r>
        <w:t xml:space="preserve">this survey rests on them. The AI lens was validated separately against 120</w:t>
      </w:r>
      <w:r>
        <w:t xml:space="preserve"> </w:t>
      </w:r>
      <w:r>
        <w:t xml:space="preserve">hand-labelled records, half drawn from each side of the rule-based tag: 88% precision</w:t>
      </w:r>
      <w:r>
        <w:t xml:space="preserve"> </w:t>
      </w:r>
      <w:r>
        <w:t xml:space="preserve">and 77% recall on the AI-versus-not decision, 82% exact agreement on which method.</w:t>
      </w:r>
    </w:p>
    <w:p>
      <w:pPr>
        <w:pStyle w:val="BodyText"/>
      </w:pPr>
      <w:r>
        <w:rPr>
          <w:i/>
          <w:iCs/>
        </w:rPr>
        <w:t xml:space="preserve">These figures score the labels that ship with this paper</w:t>
      </w:r>
      <w:r>
        <w:t xml:space="preserve">, not a fresh model run.</w:t>
      </w:r>
      <w:r>
        <w:t xml:space="preserve"> </w:t>
      </w:r>
      <w:r>
        <w:rPr>
          <w:rStyle w:val="VerbatimChar"/>
        </w:rPr>
        <w:t xml:space="preserve">llm_label.py --score-published</w:t>
      </w:r>
      <w:r>
        <w:t xml:space="preserve"> </w:t>
      </w:r>
      <w:r>
        <w:t xml:space="preserve">reads the released label cache and the released truth</w:t>
      </w:r>
      <w:r>
        <w:t xml:space="preserve"> </w:t>
      </w:r>
      <w:r>
        <w:t xml:space="preserve">set and reproduces every number above; the</w:t>
      </w:r>
      <w:r>
        <w:t xml:space="preserve"> </w:t>
      </w:r>
      <w:r>
        <w:rPr>
          <w:rStyle w:val="VerbatimChar"/>
        </w:rPr>
        <w:t xml:space="preserve">--benchmark</w:t>
      </w:r>
      <w:r>
        <w:t xml:space="preserve"> </w:t>
      </w:r>
      <w:r>
        <w:t xml:space="preserve">mode re-queries the model and</w:t>
      </w:r>
      <w:r>
        <w:t xml:space="preserve"> </w:t>
      </w:r>
      <w:r>
        <w:t xml:space="preserve">is used only for choosing between models, since its result depends on a run the reader</w:t>
      </w:r>
      <w:r>
        <w:t xml:space="preserve"> </w:t>
      </w:r>
      <w:r>
        <w:t xml:space="preserve">cannot repeat.</w:t>
      </w:r>
    </w:p>
    <w:p>
      <w:pPr>
        <w:pStyle w:val="BodyText"/>
      </w:pPr>
      <w:r>
        <w:rPr>
          <w:i/>
          <w:i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i/>
          <w:i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i/>
          <w:i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197</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1487</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1763</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1861</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66860"/>
            <wp:effectExtent b="0" l="0" r="0" t="0"/>
            <wp:docPr descr="Figure 2: Semantic map of the seed corpus (TF-IDF, truncated SVD, t-SNE), coloured by material family. Each family is labelled at its density peak, with a leader line where the label had to be moved to avoid a collision; nine categorical hues cannot be told apart reliably, so the labels rather than the colours carry identit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66860"/>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Each family is labelled at its density peak, with a leader line</w:t>
      </w:r>
      <w:r>
        <w:t xml:space="preserve"> </w:t>
      </w:r>
      <w:r>
        <w:t xml:space="preserve">where the label had to be moved to avoid a collision; nine categorical hues cannot be</w:t>
      </w:r>
      <w:r>
        <w:t xml:space="preserve"> </w:t>
      </w:r>
      <w:r>
        <w:t xml:space="preserve">told apart reliably, so the labels rather than the colours carry identity. Per-family</w:t>
      </w:r>
      <w:r>
        <w:t xml:space="preserve"> </w:t>
      </w:r>
      <w:r>
        <w:t xml:space="preserve">counts match Table 1.</w:t>
      </w:r>
    </w:p>
    <w:p>
      <w:pPr>
        <w:pStyle w:val="BodyText"/>
      </w:pPr>
      <w:r>
        <w:rPr>
          <w:i/>
          <w:i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5775211"/>
            <wp:effectExtent b="0" l="0" r="0" t="0"/>
            <wp:docPr descr="Figure 3: Quarterly submissions, seed records only, drawn as small multiples rather than as one nine-line overlay. Panels are ordered by growth, measured as the change from the first four to the last four complete quarters, and that figure is printed on each panel. The nine family panels (a) share one vertical scale so magnitudes stay comparable; the five mode panels (b) use independent scales, each with its maximum printed, because a shared scale renders the three smaller modes as flat lines. Both partial endpoint quarters are omitted. The marked cuprate spike in 2023Q3 is the LK-99 replication burst discussed in the text."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5775211"/>
                    </a:xfrm>
                    <a:prstGeom prst="rect">
                      <a:avLst/>
                    </a:prstGeom>
                    <a:noFill/>
                    <a:ln w="9525">
                      <a:noFill/>
                      <a:headEnd/>
                      <a:tailEnd/>
                    </a:ln>
                  </pic:spPr>
                </pic:pic>
              </a:graphicData>
            </a:graphic>
          </wp:inline>
        </w:drawing>
      </w:r>
    </w:p>
    <w:p>
      <w:pPr>
        <w:pStyle w:val="ImageCaption"/>
      </w:pPr>
      <w:r>
        <w:t xml:space="preserve">Figure 3: Quarterly submissions, seed records only, drawn as small multiples rather</w:t>
      </w:r>
      <w:r>
        <w:t xml:space="preserve"> </w:t>
      </w:r>
      <w:r>
        <w:t xml:space="preserve">than as one nine-line overlay. Panels are ordered by growth, measured as the change</w:t>
      </w:r>
      <w:r>
        <w:t xml:space="preserve"> </w:t>
      </w:r>
      <w:r>
        <w:t xml:space="preserve">from the first four to the last four complete quarters, and that figure is printed on</w:t>
      </w:r>
      <w:r>
        <w:t xml:space="preserve"> </w:t>
      </w:r>
      <w:r>
        <w:t xml:space="preserve">each panel. The nine family panels (a) share one vertical scale so magnitudes stay</w:t>
      </w:r>
      <w:r>
        <w:t xml:space="preserve"> </w:t>
      </w:r>
      <w:r>
        <w:t xml:space="preserve">comparable; the five mode panels (b) use independent scales, each with its maximum</w:t>
      </w:r>
      <w:r>
        <w:t xml:space="preserve"> </w:t>
      </w:r>
      <w:r>
        <w:t xml:space="preserve">printed, because a shared scale renders the three smaller modes as flat lines. Both</w:t>
      </w:r>
      <w:r>
        <w:t xml:space="preserve"> </w:t>
      </w:r>
      <w:r>
        <w:t xml:space="preserve">partial endpoint quarters are omitted. The marked cuprate spike in 2023Q3 is the LK-99</w:t>
      </w:r>
      <w:r>
        <w:t xml:space="preserve"> </w:t>
      </w:r>
      <w:r>
        <w:t xml:space="preserve">replication burst discussed in the text.</w:t>
      </w:r>
    </w:p>
    <w:bookmarkStart w:id="24" w:name="nickelates-the-fast-moving-family"/>
    <w:p>
      <w:pPr>
        <w:pStyle w:val="Heading2"/>
      </w:pPr>
      <w:r>
        <w:t xml:space="preserve">Nickelates: the fast-moving family</w:t>
      </w:r>
    </w:p>
    <w:p>
      <w:pPr>
        <w:pStyle w:val="FirstParagraph"/>
      </w:pPr>
      <w:r>
        <w:t xml:space="preserve">Nickelates are among the smaller named families in this corpus (628 seed records) and</w:t>
      </w:r>
      <w:r>
        <w:t xml:space="preserve"> </w:t>
      </w:r>
      <w:r>
        <w:t xml:space="preserve">by a wide margin the fastest-growing: quarterly output rose 203% between the first and</w:t>
      </w:r>
      <w:r>
        <w:t xml:space="preserve"> </w:t>
      </w:r>
      <w:r>
        <w:t xml:space="preserve">last four quarters of the window, against +55% for the next fastest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2024</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2024</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2025</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2026</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2025</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2024</w:t>
        </w:r>
      </w:hyperlink>
      <w:r>
        <w:t xml:space="preserve">;</w:t>
      </w:r>
      <w:r>
        <w:t xml:space="preserve"> </w:t>
      </w:r>
      <w:hyperlink w:anchor="ref-shen2023effective">
        <w:r>
          <w:rPr>
            <w:rStyle w:val="Hyperlink"/>
          </w:rPr>
          <w:t xml:space="preserve">Shen et al. 2023</w:t>
        </w:r>
      </w:hyperlink>
      <w:r>
        <w:t xml:space="preserve">)</w:t>
      </w:r>
      <w:r>
        <w:t xml:space="preserve">. For AI purposes the nickelate story is</w:t>
      </w:r>
      <w:r>
        <w:t xml:space="preserve"> </w:t>
      </w:r>
      <w:r>
        <w:t xml:space="preserve">instructive in a discouraging way: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(1,487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show the</w:t>
      </w:r>
      <w:r>
        <w:t xml:space="preserve"> </w:t>
      </w:r>
      <w:r>
        <w:t xml:space="preserve">steepest decline in quarterly output over the window, at -10%; topological (-8%) and</w:t>
      </w:r>
      <w:r>
        <w:t xml:space="preserve"> </w:t>
      </w:r>
      <w:r>
        <w:t xml:space="preserve">other unconventional systems (-5%) are the only others that fall at all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2026</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2025</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2025</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2022</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and unusual flux quantization in units</w:t>
      </w:r>
      <w:r>
        <w:t xml:space="preserve"> </w:t>
      </w:r>
      <w:r>
        <w:t xml:space="preserve">of</w:t>
      </w:r>
      <w:r>
        <w:t xml:space="preserve"> </w:t>
      </w:r>
      <m:oMath>
        <m:r>
          <m:t>h</m:t>
        </m:r>
        <m:r>
          <m:rPr>
            <m:sty m:val="p"/>
          </m:rPr>
          <m:t>/</m:t>
        </m:r>
        <m:r>
          <m:t>4</m:t>
        </m:r>
        <m:r>
          <m:t>e</m:t>
        </m:r>
      </m:oMath>
      <w:r>
        <w:t xml:space="preserve"> </w:t>
      </w:r>
      <w:r>
        <w:t xml:space="preserve">and</w:t>
      </w:r>
      <w:r>
        <w:t xml:space="preserve"> </w:t>
      </w:r>
      <m:oMath>
        <m:r>
          <m:t>h</m:t>
        </m:r>
        <m:r>
          <m:rPr>
            <m:sty m:val="p"/>
          </m:rPr>
          <m:t>/</m:t>
        </m:r>
        <m:r>
          <m:t>6</m:t>
        </m:r>
        <m:r>
          <m:t>e</m:t>
        </m:r>
      </m:oMath>
      <w:r>
        <w:t xml:space="preserve"> </w:t>
      </w:r>
      <w:r>
        <w:t xml:space="preserve">has been reported in ring devices</w:t>
      </w:r>
      <w:r>
        <w:t xml:space="preserve"> </w:t>
      </w:r>
      <w:r>
        <w:t xml:space="preserve">(</w:t>
      </w:r>
      <w:hyperlink w:anchor="ref-ge2022charge">
        <w:r>
          <w:rPr>
            <w:rStyle w:val="Hyperlink"/>
          </w:rPr>
          <w:t xml:space="preserve">Ge et al. 2024</w:t>
        </w:r>
      </w:hyperlink>
      <w:r>
        <w:t xml:space="preserve">)</w:t>
      </w:r>
      <w:r>
        <w:t xml:space="preserve">. Whether the</w:t>
      </w:r>
      <w:r>
        <w:t xml:space="preserve"> </w:t>
      </w:r>
      <w:r>
        <w:t xml:space="preserve">charge-ordered state breaks time-reversal symmetry remains disputed: high-resolution</w:t>
      </w:r>
      <w:r>
        <w:t xml:space="preserve"> </w:t>
      </w:r>
      <w:r>
        <w:t xml:space="preserve">Sagnac Kerr measurements on CsV</w:t>
      </w:r>
      <m:oMath>
        <m:sSub>
          <m:e>
            <m:r>
              <m:t>​</m:t>
            </m:r>
          </m:e>
          <m:sub>
            <m:r>
              <m:t>3</m:t>
            </m:r>
          </m:sub>
        </m:sSub>
      </m:oMath>
      <w:r>
        <w:t xml:space="preserve">Sb</w:t>
      </w:r>
      <m:oMath>
        <m:sSub>
          <m:e>
            <m:r>
              <m:t>​</m:t>
            </m:r>
          </m:e>
          <m:sub>
            <m:r>
              <m:t>5</m:t>
            </m:r>
          </m:sub>
        </m:sSub>
      </m:oMath>
      <w:r>
        <w:t xml:space="preserve"> </w:t>
      </w:r>
      <w:r>
        <w:t xml:space="preserve">found no signal to a 30 nanoradian noise</w:t>
      </w:r>
      <w:r>
        <w:t xml:space="preserve"> </w:t>
      </w:r>
      <w:r>
        <w:t xml:space="preserve">floor, leading those authors to conclude that time-reversal-symmetry breaking in the</w:t>
      </w:r>
      <w:r>
        <w:t xml:space="preserve"> </w:t>
      </w:r>
      <w:r>
        <w:t xml:space="preserve">charge-ordered state is highly unlikely</w:t>
      </w:r>
      <w:r>
        <w:t xml:space="preserve"> </w:t>
      </w:r>
      <w:r>
        <w:t xml:space="preserve">(</w:t>
      </w:r>
      <w:hyperlink w:anchor="ref-saykin2022high">
        <w:r>
          <w:rPr>
            <w:rStyle w:val="Hyperlink"/>
          </w:rPr>
          <w:t xml:space="preserve">Saykin et al. 2023</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2024</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2023</w:t>
        </w:r>
      </w:hyperlink>
      <w:r>
        <w:t xml:space="preserve">;</w:t>
      </w:r>
      <w:r>
        <w:t xml:space="preserve"> </w:t>
      </w:r>
      <w:hyperlink w:anchor="ref-tsintzis2023roadmap">
        <w:r>
          <w:rPr>
            <w:rStyle w:val="Hyperlink"/>
          </w:rPr>
          <w:t xml:space="preserve">Tsintzis et al. 2024</w:t>
        </w:r>
      </w:hyperlink>
      <w:r>
        <w:t xml:space="preserve">;</w:t>
      </w:r>
      <w:r>
        <w:t xml:space="preserve"> </w:t>
      </w:r>
      <w:hyperlink w:anchor="ref-bordin2023crossed">
        <w:r>
          <w:rPr>
            <w:rStyle w:val="Hyperlink"/>
          </w:rPr>
          <w:t xml:space="preserve">Bordin et al. 2024</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2024</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2024</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2025</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Xu et al. 2025</w:t>
        </w:r>
      </w:hyperlink>
      <w:r>
        <w:t xml:space="preserve">;</w:t>
      </w:r>
      <w:r>
        <w:t xml:space="preserve"> </w:t>
      </w:r>
      <w:hyperlink w:anchor="ref-peng2024flat">
        <w:r>
          <w:rPr>
            <w:rStyle w:val="Hyperlink"/>
          </w:rPr>
          <w:t xml:space="preserve">Peng et al. 2025</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2024</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1,861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Xu et al. 2024</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2024</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2024</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 No other mode in</w:t>
      </w:r>
      <w:r>
        <w:t xml:space="preserve"> </w:t>
      </w:r>
      <w:r>
        <w:t xml:space="preserve">this survey has a comparable substrate. 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 one AI-tagged synthesis paper. 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 120</w:t>
      </w:r>
      <w:r>
        <w:t xml:space="preserve"> </w:t>
      </w:r>
      <w:r>
        <w:t xml:space="preserve">use a machine-learning method in their own work: 1.2%. 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2024</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 1</w:t>
      </w:r>
      <w:r>
        <w:t xml:space="preserve"> </w:t>
      </w:r>
      <w:r>
        <w:t xml:space="preserve">synthesis. 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2024</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where diffusion models over atom types, coordinates and the periodic</w:t>
      </w:r>
      <w:r>
        <w:t xml:space="preserve"> </w:t>
      </w:r>
      <w:r>
        <w:t xml:space="preserve">lattice became the standard instrument for proposing crystal structures under property</w:t>
      </w:r>
      <w:r>
        <w:t xml:space="preserve"> </w:t>
      </w:r>
      <w:r>
        <w:t xml:space="preserve">constraints</w:t>
      </w:r>
      <w:r>
        <w:t xml:space="preserve"> </w:t>
      </w:r>
      <w:r>
        <w:t xml:space="preserve">(</w:t>
      </w:r>
      <w:hyperlink w:anchor="ref-zeni2025mattergen">
        <w:r>
          <w:rPr>
            <w:rStyle w:val="Hyperlink"/>
          </w:rPr>
          <w:t xml:space="preserve">Zeni et al. 2025</w:t>
        </w:r>
      </w:hyperlink>
      <w:r>
        <w:t xml:space="preserve">)</w:t>
      </w:r>
      <w:r>
        <w:t xml:space="preserve">. An inverse-design workflow combining pre-trained</w:t>
      </w:r>
      <w:r>
        <w:t xml:space="preserve"> </w:t>
      </w:r>
      <w:r>
        <w:t xml:space="preserve">models, diffusion and 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2025</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 four proposed compounds were</w:t>
      </w:r>
      <w:r>
        <w:t xml:space="preserve"> </w:t>
      </w:r>
      <w:r>
        <w:t xml:space="preserve">synthesised and measured –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Examining the claims of</w:t>
      </w:r>
      <w:r>
        <w:t xml:space="preserve"> </w:t>
      </w:r>
      <w:r>
        <w:t xml:space="preserve">the GNoME work, Cheetham and Seshadri report</w:t>
      </w:r>
      <w:r>
        <w:t xml:space="preserve"> </w:t>
      </w:r>
      <w:r>
        <w:t xml:space="preserve">“scant evidence for compounds that</w:t>
      </w:r>
      <w:r>
        <w:t xml:space="preserve"> </w:t>
      </w:r>
      <w:r>
        <w:t xml:space="preserve">fulfill the trifecta of novelty, credibility, and utility”</w:t>
      </w:r>
      <w:r>
        <w:t xml:space="preserve">, and conclude that while</w:t>
      </w:r>
      <w:r>
        <w:t xml:space="preserve"> </w:t>
      </w:r>
      <w:r>
        <w:t xml:space="preserve">the methods hold promise there is</w:t>
      </w:r>
      <w:r>
        <w:t xml:space="preserve"> </w:t>
      </w:r>
      <w:r>
        <w:t xml:space="preserve">“a great need to incorporate domain expertise in</w:t>
      </w:r>
      <w:r>
        <w:t xml:space="preserve"> </w:t>
      </w:r>
      <w:r>
        <w:t xml:space="preserve">materials synthesis and crystallography”</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Taking the A-Lab report of 43 autonomously discovered</w:t>
      </w:r>
      <w:r>
        <w:t xml:space="preserve"> </w:t>
      </w:r>
      <w:r>
        <w:t xml:space="preserve">novel materials</w:t>
      </w:r>
      <w:r>
        <w:t xml:space="preserve"> </w:t>
      </w:r>
      <w:r>
        <w:t xml:space="preserve">(</w:t>
      </w:r>
      <w:hyperlink w:anchor="ref-szymanski2023autonomous">
        <w:r>
          <w:rPr>
            <w:rStyle w:val="Hyperlink"/>
          </w:rPr>
          <w:t xml:space="preserve">Szymanski et al. 2023</w:t>
        </w:r>
      </w:hyperlink>
      <w:r>
        <w:t xml:space="preserve">)</w:t>
      </w:r>
      <w:r>
        <w:t xml:space="preserve"> </w:t>
      </w:r>
      <w:r>
        <w:t xml:space="preserve">as their example, Leeman and co-workers</w:t>
      </w:r>
      <w:r>
        <w:t xml:space="preserve"> </w:t>
      </w:r>
      <w:r>
        <w:t xml:space="preserve">examined all 43 synthetic products, identified four recurring shortfalls in the</w:t>
      </w:r>
      <w:r>
        <w:t xml:space="preserve"> </w:t>
      </w:r>
      <w:r>
        <w:t xml:space="preserve">analysis, and concluded that no new materials had been discovered in that work</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2024</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intermetallics at 2.5</w:t>
      </w:r>
      <w:r>
        <w:t xml:space="preserve"> </w:t>
      </w:r>
      <w:r>
        <w:t xml:space="preserve">to 6.5 K, with no applied pressure reported, while the screening literature advertises</w:t>
      </w:r>
      <w:r>
        <w:t xml:space="preserve"> </w:t>
      </w:r>
      <w:r>
        <w:t xml:space="preserve">predictions above 200 K at 200 GPa. The two numbers describe different regimes, and</w:t>
      </w:r>
      <w:r>
        <w:t xml:space="preserve"> </w:t>
      </w:r>
      <w:r>
        <w:t xml:space="preserve">the point is not that one refutes the other: the loop closed where the synthesis was</w:t>
      </w:r>
      <w:r>
        <w:t xml:space="preserve"> </w:t>
      </w:r>
      <w:r>
        <w:t xml:space="preserve">routine and stays open where the headline predictions live. The next section asks,</w:t>
      </w:r>
      <w:r>
        <w:t xml:space="preserve"> </w:t>
      </w:r>
      <w:r>
        <w:t xml:space="preserve">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i/>
          <w:iCs/>
        </w:rPr>
        <w:t xml:space="preserve">Data availability</w:t>
      </w:r>
      <w:r>
        <w:t xml:space="preserve"> </w:t>
      </w:r>
      <w:r>
        <w:t xml:space="preserve">asks whether enough machine-readable, labelled data exists to</w:t>
      </w:r>
      <w:r>
        <w:t xml:space="preserve"> </w:t>
      </w:r>
      <w:r>
        <w:t xml:space="preserve">train or evaluate a model. Benchmark maturity asks whether a shared task with an</w:t>
      </w:r>
      <w:r>
        <w:t xml:space="preserve"> </w:t>
      </w:r>
      <w:r>
        <w:t xml:space="preserve">agreed metric and a held-out set exists, so that two methods can be compared without</w:t>
      </w:r>
      <w:r>
        <w:t xml:space="preserve"> </w:t>
      </w:r>
      <w:r>
        <w:t xml:space="preserve">re-running each other’s pipelines. Cheap validation asks what it costs to find</w:t>
      </w:r>
      <w:r>
        <w:t xml:space="preserve"> </w:t>
      </w:r>
      <w:r>
        <w:t xml:space="preserve">out whether a prediction was right – a score of 3 means a calculation settles it, a</w:t>
      </w:r>
      <w:r>
        <w:t xml:space="preserve"> </w:t>
      </w:r>
      <w:r>
        <w:t xml:space="preserve">0 means a hard experiment is required. The binding bottleneck 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8 argues that several are.</w:t>
      </w:r>
    </w:p>
    <w:p>
      <w:pPr>
        <w:pStyle w:val="CaptionedFigure"/>
      </w:pPr>
      <w:r>
        <w:drawing>
          <wp:inline>
            <wp:extent cx="5334000" cy="4195323"/>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195323"/>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i/>
          <w:i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i/>
          <w:iCs/>
        </w:rPr>
        <w:t xml:space="preserve">machine learning has penetrated exactly those cells where a machine can grade its</w:t>
      </w:r>
      <w:r>
        <w:rPr>
          <w:i/>
          <w:iCs/>
        </w:rPr>
        <w:t xml:space="preserve"> </w:t>
      </w:r>
      <w:r>
        <w:rPr>
          <w:i/>
          <w:iCs/>
        </w:rPr>
        <w:t xml:space="preserve">own homework.</w:t>
      </w:r>
    </w:p>
    <w:p>
      <w:pPr>
        <w:pStyle w:val="BodyText"/>
      </w:pPr>
      <w:r>
        <w:rPr>
          <w:i/>
          <w:iCs/>
        </w:rPr>
        <w:t xml:space="preserve">Data-limited cells, where the obstacle is that measurements are not in a usable</w:t>
      </w:r>
      <w:r>
        <w:rPr>
          <w:i/>
          <w:iCs/>
        </w:rPr>
        <w:t xml:space="preserve"> </w:t>
      </w:r>
      <w:r>
        <w:rPr>
          <w:i/>
          <w:i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i/>
          <w:i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i/>
          <w:i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i/>
          <w:iCs/>
        </w:rPr>
        <w:t xml:space="preserve">Synthesis will not yield to autonomous laboratories in this field on the current</w:t>
      </w:r>
      <w:r>
        <w:rPr>
          <w:i/>
          <w:iCs/>
        </w:rPr>
        <w:t xml:space="preserve"> </w:t>
      </w:r>
      <w:r>
        <w:rPr>
          <w:i/>
          <w:i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i/>
          <w:i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The</w:t>
      </w:r>
      <w:r>
        <w:t xml:space="preserve"> </w:t>
      </w:r>
      <w:r>
        <w:t xml:space="preserve">three priorities that follow are stated above; each is a dataset or standards problem</w:t>
      </w:r>
      <w:r>
        <w:t xml:space="preserve"> </w:t>
      </w:r>
      <w:r>
        <w:t xml:space="preserve">rather than a modelling one, which is why none of them is glamorous.</w:t>
      </w:r>
    </w:p>
    <w:bookmarkEnd w:id="60"/>
    <w:bookmarkEnd w:id="61"/>
    <w:bookmarkStart w:id="66" w:name="X7177b6ffed021546abdff106c8c0ba7a013cbc9"/>
    <w:p>
      <w:pPr>
        <w:pStyle w:val="Heading1"/>
      </w:pPr>
      <w:r>
        <w:t xml:space="preserve">Outlook: a route to the grail, and what it requires</w:t>
      </w:r>
    </w:p>
    <w:p>
      <w:pPr>
        <w:pStyle w:val="FirstParagraph"/>
      </w:pPr>
      <w:r>
        <w:t xml:space="preserve">The preceding sections are deliberately deflationary. This one is not, but it earns</w:t>
      </w:r>
      <w:r>
        <w:t xml:space="preserve"> </w:t>
      </w:r>
      <w:r>
        <w:t xml:space="preserve">its optimism by being specific about what would have to be built.</w:t>
      </w:r>
    </w:p>
    <w:p>
      <w:pPr>
        <w:pStyle w:val="BodyText"/>
      </w:pPr>
      <w:r>
        <w:t xml:space="preserve">The target is easy to state and has been stated for a century: a superconductor that</w:t>
      </w:r>
      <w:r>
        <w:t xml:space="preserve"> </w:t>
      </w:r>
      <w:r>
        <w:t xml:space="preserve">works at room temperature and ambient pressure, in a material that can be made in</w:t>
      </w:r>
      <w:r>
        <w:t xml:space="preserve"> </w:t>
      </w:r>
      <w:r>
        <w:t xml:space="preserve">quantity. Every partial success so far has failed one of those three conditions.</w:t>
      </w:r>
      <w:r>
        <w:t xml:space="preserve"> </w:t>
      </w:r>
      <w:r>
        <w:t xml:space="preserve">Cuprates and nickelates reach high temperatures but not room temperature. Hydrides</w:t>
      </w:r>
      <w:r>
        <w:t xml:space="preserve"> </w:t>
      </w:r>
      <w:r>
        <w:t xml:space="preserve">reach near-room temperature but only under megabar pressure, and the claims that went</w:t>
      </w:r>
      <w:r>
        <w:t xml:space="preserve"> </w:t>
      </w:r>
      <w:r>
        <w:t xml:space="preserve">further 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Nothing in</w:t>
      </w:r>
      <w:r>
        <w:t xml:space="preserve"> </w:t>
      </w:r>
      <w:r>
        <w:t xml:space="preserve">the AI literature surveyed in Section 5 has moved any of the three constraints.</w:t>
      </w:r>
    </w:p>
    <w:p>
      <w:pPr>
        <w:pStyle w:val="BodyText"/>
      </w:pPr>
      <w:r>
        <w:t xml:space="preserve">We take one recent industrial development as</w:t>
      </w:r>
      <w:r>
        <w:t xml:space="preserve"> </w:t>
      </w:r>
      <w:r>
        <w:rPr>
          <w:i/>
          <w:iCs/>
        </w:rPr>
        <w:t xml:space="preserve">framing</w:t>
      </w:r>
      <w:r>
        <w:t xml:space="preserve"> </w:t>
      </w:r>
      <w:r>
        <w:t xml:space="preserve">rather than as evidence, and</w:t>
      </w:r>
      <w:r>
        <w:t xml:space="preserve"> </w:t>
      </w:r>
      <w:r>
        <w:t xml:space="preserve">say so explicitly: Anthropic’s preview of a Model Hardware Standard, a shared</w:t>
      </w:r>
      <w:r>
        <w:t xml:space="preserve"> </w:t>
      </w:r>
      <w:r>
        <w:t xml:space="preserve">specification through which AI agents drive laboratory instruments directly</w:t>
      </w:r>
      <w:r>
        <w:t xml:space="preserve"> </w:t>
      </w:r>
      <w:r>
        <w:t xml:space="preserve">(</w:t>
      </w:r>
      <w:hyperlink w:anchor="ref-anthropic2026mhs">
        <w:r>
          <w:rPr>
            <w:rStyle w:val="Hyperlink"/>
          </w:rPr>
          <w:t xml:space="preserve">Anthropic 2026</w:t>
        </w:r>
      </w:hyperlink>
      <w:r>
        <w:t xml:space="preserve">)</w:t>
      </w:r>
      <w:r>
        <w:t xml:space="preserve">. It is a product announcement, not a peer-reviewed result, and we</w:t>
      </w:r>
      <w:r>
        <w:t xml:space="preserve"> </w:t>
      </w:r>
      <w:r>
        <w:t xml:space="preserve">cite it for what it signals about where infrastructure is heading rather than for any</w:t>
      </w:r>
      <w:r>
        <w:t xml:space="preserve"> </w:t>
      </w:r>
      <w:r>
        <w:t xml:space="preserve">claim about superconductivity. What it signals matters here, because Section 6</w:t>
      </w:r>
      <w:r>
        <w:t xml:space="preserve"> </w:t>
      </w:r>
      <w:r>
        <w:t xml:space="preserve">identified the instrument interface as the binding constraint in every</w:t>
      </w:r>
      <w:r>
        <w:t xml:space="preserve"> </w:t>
      </w:r>
      <w:r>
        <w:t xml:space="preserve">experiment-limited cell.</w:t>
      </w:r>
    </w:p>
    <w:bookmarkStart w:id="62" w:name="X09263b8d1403e95da36824b14a820a3abc7876c"/>
    <w:p>
      <w:pPr>
        <w:pStyle w:val="Heading2"/>
      </w:pPr>
      <w:r>
        <w:t xml:space="preserve">Why the missing piece is the instrument interface, not the model</w:t>
      </w:r>
    </w:p>
    <w:p>
      <w:pPr>
        <w:pStyle w:val="FirstParagraph"/>
      </w:pPr>
      <w:r>
        <w:t xml:space="preserve">The argument of this survey has been that AI penetrated superconductivity exactly</w:t>
      </w:r>
      <w:r>
        <w:t xml:space="preserve"> </w:t>
      </w:r>
      <w:r>
        <w:t xml:space="preserve">where a machine could grade its own work, and stopped where a physical experiment was</w:t>
      </w:r>
      <w:r>
        <w:t xml:space="preserve"> </w:t>
      </w:r>
      <w:r>
        <w:t xml:space="preserve">required. That boundary is not a statement about model capability. It is a statement</w:t>
      </w:r>
      <w:r>
        <w:t xml:space="preserve"> </w:t>
      </w:r>
      <w:r>
        <w:t xml:space="preserve">about what a model is connected to.</w:t>
      </w:r>
    </w:p>
    <w:p>
      <w:pPr>
        <w:pStyle w:val="BodyText"/>
      </w:pPr>
      <w:r>
        <w:t xml:space="preserve">Three developments now bear on that boundary simultaneously. Autonomous-laboratory</w:t>
      </w:r>
      <w:r>
        <w:t xml:space="preserve"> </w:t>
      </w:r>
      <w:r>
        <w:t xml:space="preserve">software has matured from bespoke scripts toward operating systems with typed, stateful</w:t>
      </w:r>
      <w:r>
        <w:t xml:space="preserve"> </w:t>
      </w:r>
      <w:r>
        <w:t xml:space="preserve">device abstractions</w:t>
      </w:r>
      <w:r>
        <w:t xml:space="preserve"> </w:t>
      </w:r>
      <w:r>
        <w:t xml:space="preserve">(</w:t>
      </w:r>
      <w:hyperlink w:anchor="ref-gao2025unilabos">
        <w:r>
          <w:rPr>
            <w:rStyle w:val="Hyperlink"/>
          </w:rPr>
          <w:t xml:space="preserve">Gao et al. 2025</w:t>
        </w:r>
      </w:hyperlink>
      <w:r>
        <w:t xml:space="preserve">)</w:t>
      </w:r>
      <w:r>
        <w:t xml:space="preserve">, and the field now frames its next phase around</w:t>
      </w:r>
      <w:r>
        <w:t xml:space="preserve"> </w:t>
      </w:r>
      <w:r>
        <w:t xml:space="preserve">six properties – interoperable, collaborative, generalizable, orchestrated, safe and</w:t>
      </w:r>
      <w:r>
        <w:t xml:space="preserve"> </w:t>
      </w:r>
      <w:r>
        <w:t xml:space="preserve">creative – rather than around isolated robotic cells</w:t>
      </w:r>
      <w:r>
        <w:t xml:space="preserve"> </w:t>
      </w:r>
      <w:r>
        <w:t xml:space="preserve">(</w:t>
      </w:r>
      <w:hyperlink w:anchor="ref-lee2026toward">
        <w:r>
          <w:rPr>
            <w:rStyle w:val="Hyperlink"/>
          </w:rPr>
          <w:t xml:space="preserve">Lee et al. 2026</w:t>
        </w:r>
      </w:hyperlink>
      <w:r>
        <w:t xml:space="preserve">)</w:t>
      </w:r>
      <w:r>
        <w:t xml:space="preserve">. Multi-agent</w:t>
      </w:r>
      <w:r>
        <w:t xml:space="preserve"> </w:t>
      </w:r>
      <w:r>
        <w:t xml:space="preserve">orchestration of laboratory resources is being studied as a management problem in its</w:t>
      </w:r>
      <w:r>
        <w:t xml:space="preserve"> </w:t>
      </w:r>
      <w:r>
        <w:t xml:space="preserve">own right</w:t>
      </w:r>
      <w:r>
        <w:t xml:space="preserve"> </w:t>
      </w:r>
      <w:r>
        <w:t xml:space="preserve">(</w:t>
      </w:r>
      <w:hyperlink w:anchor="ref-kusne2026managing">
        <w:r>
          <w:rPr>
            <w:rStyle w:val="Hyperlink"/>
          </w:rPr>
          <w:t xml:space="preserve">Kusne and McDannald 2026</w:t>
        </w:r>
      </w:hyperlink>
      <w:r>
        <w:t xml:space="preserve">)</w:t>
      </w:r>
      <w:r>
        <w:t xml:space="preserve">. And hardware-standardisation efforts aim to collapse</w:t>
      </w:r>
      <w:r>
        <w:t xml:space="preserve"> </w:t>
      </w:r>
      <w:r>
        <w:t xml:space="preserve">instrument integration from weeks to hours</w:t>
      </w:r>
      <w:r>
        <w:t xml:space="preserve"> </w:t>
      </w:r>
      <w:r>
        <w:t xml:space="preserve">(</w:t>
      </w:r>
      <w:hyperlink w:anchor="ref-anthropic2026mhs">
        <w:r>
          <w:rPr>
            <w:rStyle w:val="Hyperlink"/>
          </w:rPr>
          <w:t xml:space="preserve">Anthropic 2026</w:t>
        </w:r>
      </w:hyperlink>
      <w:r>
        <w:t xml:space="preserve">)</w:t>
      </w:r>
      <w:r>
        <w:t xml:space="preserve">.</w:t>
      </w:r>
    </w:p>
    <w:p>
      <w:pPr>
        <w:pStyle w:val="BodyText"/>
      </w:pPr>
      <w:r>
        <w:t xml:space="preserve">If these hold, the practical consequence for superconductivity is narrow and</w:t>
      </w:r>
      <w:r>
        <w:t xml:space="preserve"> </w:t>
      </w:r>
      <w:r>
        <w:t xml:space="preserve">important: the cost of</w:t>
      </w:r>
      <w:r>
        <w:t xml:space="preserve"> </w:t>
      </w:r>
      <w:r>
        <w:rPr>
          <w:i/>
          <w:iCs/>
        </w:rPr>
        <w:t xml:space="preserve">one experimental iteration</w:t>
      </w:r>
      <w:r>
        <w:t xml:space="preserve"> </w:t>
      </w:r>
      <w:r>
        <w:t xml:space="preserve">falls, and with it the cost of the</w:t>
      </w:r>
      <w:r>
        <w:t xml:space="preserve"> </w:t>
      </w:r>
      <w:r>
        <w:t xml:space="preserve">validation step that Figure 5 identifies as the binding constraint in every synthesis</w:t>
      </w:r>
      <w:r>
        <w:t xml:space="preserve"> </w:t>
      </w:r>
      <w:r>
        <w:t xml:space="preserve">cell. Nothing about that requires a better</w:t>
      </w:r>
      <w:r>
        <w:t xml:space="preserve"> </w:t>
      </w:r>
      <m:oMath>
        <m:sSub>
          <m:e>
            <m:r>
              <m:t>T</m:t>
            </m:r>
          </m:e>
          <m:sub>
            <m:r>
              <m:t>c</m:t>
            </m:r>
          </m:sub>
        </m:sSub>
      </m:oMath>
      <w:r>
        <w:t xml:space="preserve"> </w:t>
      </w:r>
      <w:r>
        <w:t xml:space="preserve">regressor.</w:t>
      </w:r>
    </w:p>
    <w:bookmarkEnd w:id="62"/>
    <w:bookmarkStart w:id="63" w:name="four-things-that-would-have-to-be-built"/>
    <w:p>
      <w:pPr>
        <w:pStyle w:val="Heading2"/>
      </w:pPr>
      <w:r>
        <w:t xml:space="preserve">Four things that would have to be built</w:t>
      </w:r>
    </w:p>
    <w:p>
      <w:pPr>
        <w:pStyle w:val="FirstParagraph"/>
      </w:pPr>
      <w:r>
        <w:rPr>
          <w:i/>
          <w:iCs/>
        </w:rPr>
        <w:t xml:space="preserve">A synthesizability model trained on failures.</w:t>
      </w:r>
      <w:r>
        <w:t xml:space="preserve"> </w:t>
      </w:r>
      <w:r>
        <w:t xml:space="preserve">Section 4 established that the</w:t>
      </w:r>
      <w:r>
        <w:t xml:space="preserve"> </w:t>
      </w:r>
      <w:r>
        <w:t xml:space="preserve">negative half of the synthesis record does not exist: papers report the attempts that</w:t>
      </w:r>
      <w:r>
        <w:t xml:space="preserve"> </w:t>
      </w:r>
      <w:r>
        <w:t xml:space="preserve">worked. The screening literature has already generated the demand – candidate lists</w:t>
      </w:r>
      <w:r>
        <w:t xml:space="preserve"> </w:t>
      </w:r>
      <w:r>
        <w:t xml:space="preserve">in the hundreds, with thermodynamic stability as the only filter, and a known caveat</w:t>
      </w:r>
      <w:r>
        <w:t xml:space="preserve"> </w:t>
      </w:r>
      <w:r>
        <w:t xml:space="preserve">that promising compounds often sit slightly off the convex hull</w:t>
      </w:r>
      <w:r>
        <w:t xml:space="preserve"> </w:t>
      </w:r>
      <w:r>
        <w:t xml:space="preserve">(</w:t>
      </w:r>
      <w:hyperlink w:anchor="ref-cerqueira2024searching">
        <w:r>
          <w:rPr>
            <w:rStyle w:val="Hyperlink"/>
          </w:rPr>
          <w:t xml:space="preserve">Cerqueira et al. 2024</w:t>
        </w:r>
      </w:hyperlink>
      <w:r>
        <w:t xml:space="preserve">)</w:t>
      </w:r>
      <w:r>
        <w:t xml:space="preserve">. A registry of attempted syntheses with conditions and</w:t>
      </w:r>
      <w:r>
        <w:t xml:space="preserve"> </w:t>
      </w:r>
      <w:r>
        <w:t xml:space="preserve">outcomes, failures included, is a coordination problem rather than a research problem,</w:t>
      </w:r>
      <w:r>
        <w:t xml:space="preserve"> </w:t>
      </w:r>
      <w:r>
        <w:t xml:space="preserve">and it is the single highest-leverage dataset this survey can identify. Autonomous</w:t>
      </w:r>
      <w:r>
        <w:t xml:space="preserve"> </w:t>
      </w:r>
      <w:r>
        <w:t xml:space="preserve">platforms are attractive here for a reason usually left implicit: a robot has no</w:t>
      </w:r>
      <w:r>
        <w:t xml:space="preserve"> </w:t>
      </w:r>
      <w:r>
        <w:t xml:space="preserve">incentive to withhold a failed run. Instrumented synthesis generates the negative</w:t>
      </w:r>
      <w:r>
        <w:t xml:space="preserve"> </w:t>
      </w:r>
      <w:r>
        <w:t xml:space="preserve">data that human publication practice systematically destroys.</w:t>
      </w:r>
    </w:p>
    <w:p>
      <w:pPr>
        <w:pStyle w:val="BodyText"/>
      </w:pPr>
      <w:r>
        <w:rPr>
          <w:i/>
          <w:iCs/>
        </w:rPr>
        <w:t xml:space="preserve">Instrumented characterization as a first-class output.</w:t>
      </w:r>
      <w:r>
        <w:t xml:space="preserve"> </w:t>
      </w:r>
      <w:r>
        <w:t xml:space="preserve">The same argument applies</w:t>
      </w:r>
      <w:r>
        <w:t xml:space="preserve"> </w:t>
      </w:r>
      <w:r>
        <w:t xml:space="preserve">one step downstream. Section 6 ranked characterization inversion as the most</w:t>
      </w:r>
      <w:r>
        <w:t xml:space="preserve"> </w:t>
      </w:r>
      <w:r>
        <w:t xml:space="preserve">under-exploited opportunity in the field, blocked by data format rather than by</w:t>
      </w:r>
      <w:r>
        <w:t xml:space="preserve"> </w:t>
      </w:r>
      <w:r>
        <w:t xml:space="preserve">method. An instrument operating under a machine interface emits arrays with</w:t>
      </w:r>
      <w:r>
        <w:t xml:space="preserve"> </w:t>
      </w:r>
      <w:r>
        <w:t xml:space="preserve">acquisition parameters attached by construction. The dataset problem and the</w:t>
      </w:r>
      <w:r>
        <w:t xml:space="preserve"> </w:t>
      </w:r>
      <w:r>
        <w:t xml:space="preserve">automation problem have the same solution, and the automation is being built for other</w:t>
      </w:r>
      <w:r>
        <w:t xml:space="preserve"> </w:t>
      </w:r>
      <w:r>
        <w:t xml:space="preserve">reasons.</w:t>
      </w:r>
    </w:p>
    <w:p>
      <w:pPr>
        <w:pStyle w:val="BodyText"/>
      </w:pPr>
      <w:r>
        <w:rPr>
          <w:i/>
          <w:iCs/>
        </w:rPr>
        <w:t xml:space="preserve">Extreme-condition autonomy, which is the hard case.</w:t>
      </w:r>
      <w:r>
        <w:t xml:space="preserve"> </w:t>
      </w:r>
      <w:r>
        <w:t xml:space="preserve">Superconductivity’s important</w:t>
      </w:r>
      <w:r>
        <w:t xml:space="preserve"> </w:t>
      </w:r>
      <w:r>
        <w:t xml:space="preserve">syntheses are not pipetting. They are diamond anvil cells at 200 GPa, topotactic</w:t>
      </w:r>
      <w:r>
        <w:t xml:space="preserve"> </w:t>
      </w:r>
      <w:r>
        <w:t xml:space="preserve">reduction with calcium hydride, molecular-beam epitaxy under strain, and mechanical</w:t>
      </w:r>
      <w:r>
        <w:t xml:space="preserve"> </w:t>
      </w:r>
      <w:r>
        <w:t xml:space="preserve">stacking with angular precision. Existing autonomous platforms target bulk oxide</w:t>
      </w:r>
      <w:r>
        <w:t xml:space="preserve"> </w:t>
      </w:r>
      <w:r>
        <w:t xml:space="preserve">powders, and even there the claims have been contested</w:t>
      </w:r>
      <w:r>
        <w:t xml:space="preserve"> </w:t>
      </w:r>
      <w:r>
        <w:t xml:space="preserve">(</w:t>
      </w:r>
      <w:hyperlink w:anchor="ref-leeman2024challenges">
        <w:r>
          <w:rPr>
            <w:rStyle w:val="Hyperlink"/>
          </w:rPr>
          <w:t xml:space="preserve">Leeman et al. 2024</w:t>
        </w:r>
      </w:hyperlink>
      <w:r>
        <w:t xml:space="preserve">)</w:t>
      </w:r>
      <w:r>
        <w:t xml:space="preserve">. The</w:t>
      </w:r>
      <w:r>
        <w:t xml:space="preserve"> </w:t>
      </w:r>
      <w:r>
        <w:t xml:space="preserve">honest statement is that no current self-driving laboratory addresses the syntheses</w:t>
      </w:r>
      <w:r>
        <w:t xml:space="preserve"> </w:t>
      </w:r>
      <w:r>
        <w:t xml:space="preserve">this field actually needs, and that closing that gap is an instrumentation programme</w:t>
      </w:r>
      <w:r>
        <w:t xml:space="preserve"> </w:t>
      </w:r>
      <w:r>
        <w:t xml:space="preserve">measured in years. The diamond-anvil-cell case is the one worth attacking first: the</w:t>
      </w:r>
      <w:r>
        <w:t xml:space="preserve"> </w:t>
      </w:r>
      <w:r>
        <w:t xml:space="preserve">sample is tiny, the measurement is electrical, the parameter space is low-dimensional,</w:t>
      </w:r>
      <w:r>
        <w:t xml:space="preserve"> </w:t>
      </w:r>
      <w:r>
        <w:t xml:space="preserve">and the iteration is currently gated almost entirely by human attention.</w:t>
      </w:r>
    </w:p>
    <w:p>
      <w:pPr>
        <w:pStyle w:val="BodyText"/>
      </w:pPr>
      <w:r>
        <w:rPr>
          <w:i/>
          <w:iCs/>
        </w:rPr>
        <w:t xml:space="preserve">A benchmark with experimental resolution.</w:t>
      </w:r>
      <w:r>
        <w:t xml:space="preserve"> </w:t>
      </w:r>
      <w:r>
        <w:t xml:space="preserve">The AI-for-science field has begun</w:t>
      </w:r>
      <w:r>
        <w:t xml:space="preserve"> </w:t>
      </w:r>
      <w:r>
        <w:t xml:space="preserve">building serious evaluations – agent suites over research tasks</w:t>
      </w:r>
      <w:r>
        <w:t xml:space="preserve"> </w:t>
      </w:r>
      <w:r>
        <w:t xml:space="preserve">(</w:t>
      </w:r>
      <w:hyperlink w:anchor="ref-bragg2025astabench">
        <w:r>
          <w:rPr>
            <w:rStyle w:val="Hyperlink"/>
          </w:rPr>
          <w:t xml:space="preserve">Bragg et al. 2025</w:t>
        </w:r>
      </w:hyperlink>
      <w:r>
        <w:t xml:space="preserve">)</w:t>
      </w:r>
      <w:r>
        <w:t xml:space="preserve">,</w:t>
      </w:r>
      <w:r>
        <w:t xml:space="preserve"> </w:t>
      </w:r>
      <w:r>
        <w:t xml:space="preserve">physics-specific research benchmarks</w:t>
      </w:r>
      <w:r>
        <w:t xml:space="preserve"> </w:t>
      </w:r>
      <w:r>
        <w:t xml:space="preserve">(</w:t>
      </w:r>
      <w:hyperlink w:anchor="ref-miao2026prlbench">
        <w:r>
          <w:rPr>
            <w:rStyle w:val="Hyperlink"/>
          </w:rPr>
          <w:t xml:space="preserve">Miao et al. 2026</w:t>
        </w:r>
      </w:hyperlink>
      <w:r>
        <w:t xml:space="preserve">)</w:t>
      </w:r>
      <w:r>
        <w:t xml:space="preserve">, reproduction of</w:t>
      </w:r>
      <w:r>
        <w:t xml:space="preserve"> </w:t>
      </w:r>
      <w:r>
        <w:t xml:space="preserve">Nature-family results</w:t>
      </w:r>
      <w:r>
        <w:t xml:space="preserve"> </w:t>
      </w:r>
      <w:r>
        <w:t xml:space="preserve">(</w:t>
      </w:r>
      <w:hyperlink w:anchor="ref-wang2026naturebench">
        <w:r>
          <w:rPr>
            <w:rStyle w:val="Hyperlink"/>
          </w:rPr>
          <w:t xml:space="preserve">Wang et al. 2026</w:t>
        </w:r>
      </w:hyperlink>
      <w:r>
        <w:t xml:space="preserve">)</w:t>
      </w:r>
      <w:r>
        <w:t xml:space="preserve">, and particle-physics analysis</w:t>
      </w:r>
      <w:r>
        <w:t xml:space="preserve"> </w:t>
      </w:r>
      <w:r>
        <w:t xml:space="preserve">reproduction</w:t>
      </w:r>
      <w:r>
        <w:t xml:space="preserve"> </w:t>
      </w:r>
      <w:r>
        <w:t xml:space="preserve">(</w:t>
      </w:r>
      <w:hyperlink w:anchor="ref-faroughy2026colliderbench">
        <w:r>
          <w:rPr>
            <w:rStyle w:val="Hyperlink"/>
          </w:rPr>
          <w:t xml:space="preserve">Faroughy et al. 2026</w:t>
        </w:r>
      </w:hyperlink>
      <w:r>
        <w:t xml:space="preserve">)</w:t>
      </w:r>
      <w:r>
        <w:t xml:space="preserve">. Superconductivity has none. The version this</w:t>
      </w:r>
      <w:r>
        <w:t xml:space="preserve"> </w:t>
      </w:r>
      <w:r>
        <w:t xml:space="preserve">field needs is specific: a time-stamped registry in which candidate materials are</w:t>
      </w:r>
      <w:r>
        <w:t xml:space="preserve"> </w:t>
      </w:r>
      <w:r>
        <w:t xml:space="preserve">predicted before synthesis, and scored against what is subsequently made and measured.</w:t>
      </w:r>
      <w:r>
        <w:t xml:space="preserve"> </w:t>
      </w:r>
      <w:r>
        <w:t xml:space="preserve">Only such a benchmark can distinguish a method that generalises from one that</w:t>
      </w:r>
      <w:r>
        <w:t xml:space="preserve"> </w:t>
      </w:r>
      <w:r>
        <w:t xml:space="preserve">interpolates its training set, and its absence is why no cell in Figure 5 scores full</w:t>
      </w:r>
      <w:r>
        <w:t xml:space="preserve"> </w:t>
      </w:r>
      <w:r>
        <w:t xml:space="preserve">marks on benchmark maturity.</w:t>
      </w:r>
    </w:p>
    <w:bookmarkEnd w:id="63"/>
    <w:bookmarkStart w:id="64" w:name="what-would-falsify-the-optimism"/>
    <w:p>
      <w:pPr>
        <w:pStyle w:val="Heading2"/>
      </w:pPr>
      <w:r>
        <w:t xml:space="preserve">What would falsify the optimism</w:t>
      </w:r>
    </w:p>
    <w:p>
      <w:pPr>
        <w:pStyle w:val="FirstParagraph"/>
      </w:pPr>
      <w:r>
        <w:t xml:space="preserve">A position paper argues that agentic AI systems, whatever their capabilities as</w:t>
      </w:r>
      <w:r>
        <w:t xml:space="preserve"> </w:t>
      </w:r>
      <w:r>
        <w:t xml:space="preserve">co-scientists, are not built for autonomous discovery – problem selection is distorted</w:t>
      </w:r>
      <w:r>
        <w:t xml:space="preserve"> </w:t>
      </w:r>
      <w:r>
        <w:t xml:space="preserve">by what is measurable, and the loop from hypothesis to validated result is not closed</w:t>
      </w:r>
      <w:r>
        <w:t xml:space="preserve"> </w:t>
      </w:r>
      <w:r>
        <w:t xml:space="preserve">by adding autonomy</w:t>
      </w:r>
      <w:r>
        <w:t xml:space="preserve"> </w:t>
      </w:r>
      <w:r>
        <w:t xml:space="preserve">(</w:t>
      </w:r>
      <w:hyperlink w:anchor="ref-bisht2026agentic">
        <w:r>
          <w:rPr>
            <w:rStyle w:val="Hyperlink"/>
          </w:rPr>
          <w:t xml:space="preserve">Bisht et al. 2026</w:t>
        </w:r>
      </w:hyperlink>
      <w:r>
        <w:t xml:space="preserve">)</w:t>
      </w:r>
      <w:r>
        <w:t xml:space="preserve">. This survey’s corpus is consistent with that</w:t>
      </w:r>
      <w:r>
        <w:t xml:space="preserve"> </w:t>
      </w:r>
      <w:r>
        <w:t xml:space="preserve">argument rather than against it, and the failure mode it predicts is specific enough</w:t>
      </w:r>
      <w:r>
        <w:t xml:space="preserve"> </w:t>
      </w:r>
      <w:r>
        <w:t xml:space="preserve">to watch for.</w:t>
      </w:r>
    </w:p>
    <w:p>
      <w:pPr>
        <w:pStyle w:val="BodyText"/>
      </w:pPr>
      <w:r>
        <w:t xml:space="preserve">If the optimistic route is wrong, it will look like this: instrument standardisation</w:t>
      </w:r>
      <w:r>
        <w:t xml:space="preserve"> </w:t>
      </w:r>
      <w:r>
        <w:t xml:space="preserve">arrives, throughput rises, and the field produces more measurements of the compounds</w:t>
      </w:r>
      <w:r>
        <w:t xml:space="preserve"> </w:t>
      </w:r>
      <w:r>
        <w:t xml:space="preserve">it was already going to measure, while the candidate lists generated by screening</w:t>
      </w:r>
      <w:r>
        <w:t xml:space="preserve"> </w:t>
      </w:r>
      <w:r>
        <w:t xml:space="preserve">remain unsynthesised because the syntheses that matter stay bespoke. Cheap iteration</w:t>
      </w:r>
      <w:r>
        <w:t xml:space="preserve"> </w:t>
      </w:r>
      <w:r>
        <w:t xml:space="preserve">would then have accelerated the cells that were never the bottleneck. The</w:t>
      </w:r>
      <w:r>
        <w:t xml:space="preserve"> </w:t>
      </w:r>
      <w:r>
        <w:t xml:space="preserve">early indicator is measurable in this survey’s own terms: if the AI-tagged synthesis</w:t>
      </w:r>
      <w:r>
        <w:t xml:space="preserve"> </w:t>
      </w:r>
      <w:r>
        <w:t xml:space="preserve">count stays near one while AI-tagged characterization grows, automation has been</w:t>
      </w:r>
      <w:r>
        <w:t xml:space="preserve"> </w:t>
      </w:r>
      <w:r>
        <w:t xml:space="preserve">absorbed by the mode that was already tractable.</w:t>
      </w:r>
    </w:p>
    <w:p>
      <w:pPr>
        <w:pStyle w:val="BodyText"/>
      </w:pPr>
      <w:r>
        <w:t xml:space="preserve">The complementary risk is that the loop closes on the wrong targets. The one clearly</w:t>
      </w:r>
      <w:r>
        <w:t xml:space="preserve"> </w:t>
      </w:r>
      <w:r>
        <w:t xml:space="preserve">closed prediction-synthesis-measurement loop in this literature delivered</w:t>
      </w:r>
      <w:r>
        <w:t xml:space="preserve"> </w:t>
      </w:r>
      <w:r>
        <w:t xml:space="preserve">intermetallics between 2.5 and 6.5 K, with no applied pressure reported</w:t>
      </w:r>
      <w:r>
        <w:t xml:space="preserve"> </w:t>
      </w:r>
      <w:r>
        <w:t xml:space="preserve">(</w:t>
      </w:r>
      <w:hyperlink w:anchor="ref-li2026agentic">
        <w:r>
          <w:rPr>
            <w:rStyle w:val="Hyperlink"/>
          </w:rPr>
          <w:t xml:space="preserve">Li et al. 2026</w:t>
        </w:r>
      </w:hyperlink>
      <w:r>
        <w:t xml:space="preserve">)</w:t>
      </w:r>
      <w:r>
        <w:t xml:space="preserve"> </w:t>
      </w:r>
      <w:r>
        <w:t xml:space="preserve">– compounds whose synthesis is routine, which is part of why the</w:t>
      </w:r>
      <w:r>
        <w:t xml:space="preserve"> </w:t>
      </w:r>
      <w:r>
        <w:t xml:space="preserve">loop could close at all. A faster loop that stays in that regime would be a genuine</w:t>
      </w:r>
      <w:r>
        <w:t xml:space="preserve"> </w:t>
      </w:r>
      <w:r>
        <w:t xml:space="preserve">engineering achievement and no progress toward the grail, because the constraint at</w:t>
      </w:r>
      <w:r>
        <w:t xml:space="preserve"> </w:t>
      </w:r>
      <w:r>
        <w:t xml:space="preserve">high</w:t>
      </w:r>
      <w:r>
        <w:t xml:space="preserve"> </w:t>
      </w:r>
      <m:oMath>
        <m:sSub>
          <m:e>
            <m:r>
              <m:t>T</m:t>
            </m:r>
          </m:e>
          <m:sub>
            <m:r>
              <m:t>c</m:t>
            </m:r>
          </m:sub>
        </m:sSub>
      </m:oMath>
      <w:r>
        <w:t xml:space="preserve"> </w:t>
      </w:r>
      <w:r>
        <w:t xml:space="preserve">is not iteration speed but extreme-condition synthesis and the absence of a</w:t>
      </w:r>
      <w:r>
        <w:t xml:space="preserve"> </w:t>
      </w:r>
      <w:r>
        <w:t xml:space="preserve">theory that says where to look in the correlated families.</w:t>
      </w:r>
    </w:p>
    <w:bookmarkEnd w:id="64"/>
    <w:bookmarkStart w:id="65" w:name="the-honest-statement-of-the-route"/>
    <w:p>
      <w:pPr>
        <w:pStyle w:val="Heading2"/>
      </w:pPr>
      <w:r>
        <w:t xml:space="preserve">The honest statement of the route</w:t>
      </w:r>
    </w:p>
    <w:p>
      <w:pPr>
        <w:pStyle w:val="FirstParagraph"/>
      </w:pPr>
      <w:r>
        <w:t xml:space="preserve">Putting Sections 4 through 7 together, the route this survey supports is not</w:t>
      </w:r>
      <w:r>
        <w:t xml:space="preserve"> </w:t>
      </w:r>
      <w:r>
        <w:t xml:space="preserve">“apply a</w:t>
      </w:r>
      <w:r>
        <w:t xml:space="preserve"> </w:t>
      </w:r>
      <w:r>
        <w:t xml:space="preserve">generative model to composition space.”</w:t>
      </w:r>
      <w:r>
        <w:t xml:space="preserve"> </w:t>
      </w:r>
      <w:r>
        <w:t xml:space="preserve">It is the three priorities of Section 6, with</w:t>
      </w:r>
      <w:r>
        <w:t xml:space="preserve"> </w:t>
      </w:r>
      <w:r>
        <w:t xml:space="preserve">one step placed in front of them, ordered so that each unblocks the next:</w:t>
      </w:r>
    </w:p>
    <w:p>
      <w:pPr>
        <w:pStyle w:val="Compact"/>
        <w:numPr>
          <w:ilvl w:val="0"/>
          <w:numId w:val="1001"/>
        </w:numPr>
      </w:pPr>
      <w:r>
        <w:rPr>
          <w:i/>
          <w:iCs/>
        </w:rPr>
        <w:t xml:space="preserve">Instrument the experiments.</w:t>
      </w:r>
      <w:r>
        <w:t xml:space="preserve"> </w:t>
      </w:r>
      <w:r>
        <w:t xml:space="preserve">This step is new here, and it is prior to the other</w:t>
      </w:r>
      <w:r>
        <w:t xml:space="preserve"> </w:t>
      </w:r>
      <w:r>
        <w:t xml:space="preserve">three: machine-operated apparatus is what produces the negative results and the</w:t>
      </w:r>
      <w:r>
        <w:t xml:space="preserve"> </w:t>
      </w:r>
      <w:r>
        <w:t xml:space="preserve">machine-readable characterization records that the other three steps consume, and</w:t>
      </w:r>
      <w:r>
        <w:t xml:space="preserve"> </w:t>
      </w:r>
      <w:r>
        <w:t xml:space="preserve">nothing in current publication practice produces them.</w:t>
      </w:r>
    </w:p>
    <w:p>
      <w:pPr>
        <w:pStyle w:val="Compact"/>
        <w:numPr>
          <w:ilvl w:val="0"/>
          <w:numId w:val="1001"/>
        </w:numPr>
      </w:pPr>
      <w:r>
        <w:rPr>
          <w:i/>
          <w:iCs/>
        </w:rPr>
        <w:t xml:space="preserve">Build the benchmark</w:t>
      </w:r>
      <w:r>
        <w:t xml:space="preserve">, because without time-stamped experimental resolution the</w:t>
      </w:r>
      <w:r>
        <w:t xml:space="preserve"> </w:t>
      </w:r>
      <w:r>
        <w:t xml:space="preserve">screening literature cannot be compared and therefore cannot improve.</w:t>
      </w:r>
    </w:p>
    <w:p>
      <w:pPr>
        <w:pStyle w:val="Compact"/>
        <w:numPr>
          <w:ilvl w:val="0"/>
          <w:numId w:val="1001"/>
        </w:numPr>
      </w:pPr>
      <w:r>
        <w:rPr>
          <w:i/>
          <w:iCs/>
        </w:rPr>
        <w:t xml:space="preserve">Model synthesizability</w:t>
      </w:r>
      <w:r>
        <w:t xml:space="preserve">, because that is the tractable form of the bottleneck</w:t>
      </w:r>
      <w:r>
        <w:t xml:space="preserve"> </w:t>
      </w:r>
      <w:r>
        <w:t xml:space="preserve">and it converts screening output into experimental input.</w:t>
      </w:r>
    </w:p>
    <w:p>
      <w:pPr>
        <w:pStyle w:val="Compact"/>
        <w:numPr>
          <w:ilvl w:val="0"/>
          <w:numId w:val="1001"/>
        </w:numPr>
      </w:pPr>
      <w:r>
        <w:rPr>
          <w:i/>
          <w:iCs/>
        </w:rPr>
        <w:t xml:space="preserve">Attack the theory bottleneck where it is well-posed</w:t>
      </w:r>
      <w:r>
        <w:t xml:space="preserve">, meaning neural quantum</w:t>
      </w:r>
      <w:r>
        <w:t xml:space="preserve"> </w:t>
      </w:r>
      <w:r>
        <w:t xml:space="preserve">states on the correlated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w:t>
      </w:r>
      <w:r>
        <w:t xml:space="preserve"> </w:t>
      </w:r>
      <w:r>
        <w:t xml:space="preserve">because in cuprates and nickelates the missing thing is a solved model, not a</w:t>
      </w:r>
      <w:r>
        <w:t xml:space="preserve"> </w:t>
      </w:r>
      <w:r>
        <w:t xml:space="preserve">larger dataset.</w:t>
      </w:r>
    </w:p>
    <w:p>
      <w:pPr>
        <w:pStyle w:val="FirstParagraph"/>
      </w:pPr>
      <w:r>
        <w:t xml:space="preserve">Room-temperature ambient-pressure superconductivity may or may not be reachable; that</w:t>
      </w:r>
      <w:r>
        <w:t xml:space="preserve"> </w:t>
      </w:r>
      <w:r>
        <w:t xml:space="preserve">is a question about nature. What this survey can say is that the field’s current</w:t>
      </w:r>
      <w:r>
        <w:t xml:space="preserve"> </w:t>
      </w:r>
      <w:r>
        <w:t xml:space="preserve">allocation of AI effort is not aimed at the steps above, that the steps are buildable</w:t>
      </w:r>
      <w:r>
        <w:t xml:space="preserve"> </w:t>
      </w:r>
      <w:r>
        <w:t xml:space="preserve">with infrastructure now emerging, and that the first three of them are dataset and</w:t>
      </w:r>
      <w:r>
        <w:t xml:space="preserve"> </w:t>
      </w:r>
      <w:r>
        <w:t xml:space="preserve">standards problems rather than modelling problems. That is an unglamorous conclusion,</w:t>
      </w:r>
      <w:r>
        <w:t xml:space="preserve"> </w:t>
      </w:r>
      <w:r>
        <w:t xml:space="preserve">and it is the one the evidence supports.</w:t>
      </w:r>
    </w:p>
    <w:bookmarkEnd w:id="65"/>
    <w:bookmarkEnd w:id="66"/>
    <w:bookmarkStart w:id="71" w:name="discussion"/>
    <w:p>
      <w:pPr>
        <w:pStyle w:val="Heading1"/>
      </w:pPr>
      <w:r>
        <w:t xml:space="preserve">Discussion</w:t>
      </w:r>
    </w:p>
    <w:bookmarkStart w:id="67"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86.3% family and 87.0% mode agreement</w:t>
      </w:r>
      <w:r>
        <w:t xml:space="preserve"> </w:t>
      </w:r>
      <w:r>
        <w:t xml:space="preserve">against a single annotator’s hand labels, and the two smallest modes – synthesis at</w:t>
      </w:r>
      <w:r>
        <w:t xml:space="preserve"> </w:t>
      </w:r>
      <w:r>
        <w:t xml:space="preserve">7 of 11 and discovery at 5 of 13 – are the least reliable, on denominators small</w:t>
      </w:r>
      <w:r>
        <w:t xml:space="preserve"> </w:t>
      </w:r>
      <w:r>
        <w:t xml:space="preserve">enough that two papers move the rate by fifteen points.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7"/>
    <w:bookmarkStart w:id="68" w:name="three-hypotheses-about-the-fields-shape"/>
    <w:p>
      <w:pPr>
        <w:pStyle w:val="Heading2"/>
      </w:pPr>
      <w:r>
        <w:t xml:space="preserve">Three hypotheses about the field’s shape</w:t>
      </w:r>
    </w:p>
    <w:p>
      <w:pPr>
        <w:pStyle w:val="FirstParagraph"/>
      </w:pPr>
      <w:r>
        <w:rPr>
          <w:i/>
          <w:i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i/>
          <w:i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i/>
          <w:iCs/>
        </w:rPr>
        <w:t xml:space="preserve">AI work is being done inside the field, not imported into it.</w:t>
      </w:r>
      <w:r>
        <w:t xml:space="preserve"> </w:t>
      </w:r>
      <w:r>
        <w:t xml:space="preserve">We expected the</w:t>
      </w:r>
      <w:r>
        <w:t xml:space="preserve"> </w:t>
      </w:r>
      <w:r>
        <w:t xml:space="preserve">opposite, and the corpus says otherwise. If AI methods were arriving with</w:t>
      </w:r>
      <w:r>
        <w:t xml:space="preserve"> </w:t>
      </w:r>
      <w:r>
        <w:t xml:space="preserve">machine-learning groups from outside, AI-tagged preprints should be filed under</w:t>
      </w:r>
      <w:r>
        <w:t xml:space="preserve"> </w:t>
      </w:r>
      <w:r>
        <w:t xml:space="preserve">different primary categories from the rest of the corpus. They are not: 68% of</w:t>
      </w:r>
      <w:r>
        <w:t xml:space="preserve"> </w:t>
      </w:r>
      <w:r>
        <w:t xml:space="preserve">AI-tagged seed papers carry</w:t>
      </w:r>
      <w:r>
        <w:t xml:space="preserve"> </w:t>
      </w:r>
      <w:r>
        <w:rPr>
          <w:rStyle w:val="VerbatimChar"/>
        </w:rPr>
        <w:t xml:space="preserve">cond-mat.supr-con</w:t>
      </w:r>
      <w:r>
        <w:t xml:space="preserve"> </w:t>
      </w:r>
      <w:r>
        <w:t xml:space="preserve">as their primary category, against</w:t>
      </w:r>
      <w:r>
        <w:t xml:space="preserve"> </w:t>
      </w:r>
      <w:r>
        <w:t xml:space="preserve">69% of everything else. What does separate them is reach in the other direction –</w:t>
      </w:r>
      <w:r>
        <w:t xml:space="preserve"> </w:t>
      </w:r>
      <w:r>
        <w:t xml:space="preserve">16% of AI-tagged papers cross-list to a</w:t>
      </w:r>
      <w:r>
        <w:t xml:space="preserve"> </w:t>
      </w:r>
      <w:r>
        <w:rPr>
          <w:rStyle w:val="VerbatimChar"/>
        </w:rPr>
        <w:t xml:space="preserve">cs.*</w:t>
      </w:r>
      <w:r>
        <w:t xml:space="preserve"> </w:t>
      </w:r>
      <w:r>
        <w:t xml:space="preserve">or</w:t>
      </w:r>
      <w:r>
        <w:t xml:space="preserve"> </w:t>
      </w:r>
      <w:r>
        <w:rPr>
          <w:rStyle w:val="VerbatimChar"/>
        </w:rPr>
        <w:t xml:space="preserve">stat.*</w:t>
      </w:r>
      <w:r>
        <w:t xml:space="preserve"> </w:t>
      </w:r>
      <w:r>
        <w:t xml:space="preserve">category, against 0.3% of</w:t>
      </w:r>
      <w:r>
        <w:t xml:space="preserve"> </w:t>
      </w:r>
      <w:r>
        <w:t xml:space="preserve">the rest, a fifty-fold difference.</w:t>
      </w:r>
    </w:p>
    <w:p>
      <w:pPr>
        <w:pStyle w:val="BodyText"/>
      </w:pPr>
      <w:r>
        <w:t xml:space="preserve">The reading we take from this is that the people doing this work are</w:t>
      </w:r>
      <w:r>
        <w:t xml:space="preserve"> </w:t>
      </w:r>
      <w:r>
        <w:t xml:space="preserve">superconductivity researchers adopting methods, not methods researchers adopting</w:t>
      </w:r>
      <w:r>
        <w:t xml:space="preserve"> </w:t>
      </w:r>
      <w:r>
        <w:t xml:space="preserve">superconductivity. That makes the shortage one of method fluency and of usable data</w:t>
      </w:r>
      <w:r>
        <w:t xml:space="preserve"> </w:t>
      </w:r>
      <w:r>
        <w:t xml:space="preserve">inside the field rather than of contact between two communities, and it predicts that</w:t>
      </w:r>
      <w:r>
        <w:t xml:space="preserve"> </w:t>
      </w:r>
      <w:r>
        <w:t xml:space="preserve">progress comes from instrument and materials groups taking methods up internally –</w:t>
      </w:r>
      <w:r>
        <w:t xml:space="preserve"> </w:t>
      </w:r>
      <w:r>
        <w:t xml:space="preserve">which is what the qubit-readout literature already looks like – rather than from</w:t>
      </w:r>
      <w:r>
        <w:t xml:space="preserve"> </w:t>
      </w:r>
      <w:r>
        <w:t xml:space="preserve">methods groups acquiring physics data.</w:t>
      </w:r>
    </w:p>
    <w:p>
      <w:pPr>
        <w:pStyle w:val="BodyText"/>
      </w:pPr>
      <w:r>
        <w:t xml:space="preserve">We note the limit of this measurement: arXiv records carry no affiliations, so it</w:t>
      </w:r>
      <w:r>
        <w:t xml:space="preserve"> </w:t>
      </w:r>
      <w:r>
        <w:t xml:space="preserve">speaks to where authors file their papers, not to what department they sit in. An</w:t>
      </w:r>
      <w:r>
        <w:t xml:space="preserve"> </w:t>
      </w:r>
      <w:r>
        <w:t xml:space="preserve">earlier draft of this hypothesis asserted the affiliation claim directly; nothing in</w:t>
      </w:r>
      <w:r>
        <w:t xml:space="preserve"> </w:t>
      </w:r>
      <w:r>
        <w:t xml:space="preserve">this corpus supports that, and the category evidence points the other way.</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8"/>
    <w:bookmarkStart w:id="69" w:name="what-would-change-the-assessment"/>
    <w:p>
      <w:pPr>
        <w:pStyle w:val="Heading2"/>
      </w:pPr>
      <w:r>
        <w:t xml:space="preserve">What would change the assessment</w:t>
      </w:r>
    </w:p>
    <w:p>
      <w:pPr>
        <w:pStyle w:val="FirstParagraph"/>
      </w:pPr>
      <w:r>
        <w:t xml:space="preserve">The three priorities of Section 6 are also the three tests of it, and each fails in a</w:t>
      </w:r>
      <w:r>
        <w:t xml:space="preserve"> </w:t>
      </w:r>
      <w:r>
        <w:t xml:space="preserve">way that would be visible. If a public, standardised corpus of labelled</w:t>
      </w:r>
      <w:r>
        <w:t xml:space="preserve"> </w:t>
      </w:r>
      <w:r>
        <w:t xml:space="preserve">characterization data appeared and the data-limited cells did not move toward</w:t>
      </w:r>
      <w:r>
        <w:t xml:space="preserve"> </w:t>
      </w:r>
      <w:r>
        <w:t xml:space="preserve">method-limited, then format was not what was blocking them. If a registry of attempted</w:t>
      </w:r>
      <w:r>
        <w:t xml:space="preserve"> </w:t>
      </w:r>
      <w:r>
        <w:t xml:space="preserve">syntheses were assembled and synthesizability models trained on it did not improve the</w:t>
      </w:r>
      <w:r>
        <w:t xml:space="preserve"> </w:t>
      </w:r>
      <w:r>
        <w:t xml:space="preserve">hit rate of the screening pipelines, then the missing negative results were not the</w:t>
      </w:r>
      <w:r>
        <w:t xml:space="preserve"> </w:t>
      </w:r>
      <w:r>
        <w:t xml:space="preserve">binding constraint. And if a time-stamped benchmark showed the current screening</w:t>
      </w:r>
      <w:r>
        <w:t xml:space="preserve"> </w:t>
      </w:r>
      <w:r>
        <w:t xml:space="preserve">methods generalising to post-2024 experimental confirmations, then the label-quality</w:t>
      </w:r>
      <w:r>
        <w:t xml:space="preserve"> </w:t>
      </w:r>
      <w:r>
        <w:t xml:space="preserve">problem this survey emphasises is smaller than argued.</w:t>
      </w:r>
    </w:p>
    <w:p>
      <w:pPr>
        <w:pStyle w:val="BodyText"/>
      </w:pPr>
      <w:r>
        <w:t xml:space="preserve">We would rather this section be checkable than comprehensive, so we state the</w:t>
      </w:r>
      <w:r>
        <w:t xml:space="preserve"> </w:t>
      </w:r>
      <w:r>
        <w:t xml:space="preserve">prediction it rests on plainly: the assessment in Figure 5 is a claim about validation</w:t>
      </w:r>
      <w:r>
        <w:t xml:space="preserve"> </w:t>
      </w:r>
      <w:r>
        <w:t xml:space="preserve">cost, and it is wrong if AI methods arrive in the experiment-limited cells before the</w:t>
      </w:r>
      <w:r>
        <w:t xml:space="preserve"> </w:t>
      </w:r>
      <w:r>
        <w:t xml:space="preserve">data and benchmark problems in them are solved.</w:t>
      </w:r>
    </w:p>
    <w:bookmarkEnd w:id="69"/>
    <w:bookmarkStart w:id="70"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70"/>
    <w:bookmarkEnd w:id="71"/>
    <w:bookmarkStart w:id="72"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at 200 GPa; the one clearly closed prediction-synthesis-measurement loop in the</w:t>
      </w:r>
      <w:r>
        <w:t xml:space="preserve"> </w:t>
      </w:r>
      <w:r>
        <w:t xml:space="preserve">recent literature delivered intermetallics between 2.5 and 6.5 K, with no applied</w:t>
      </w:r>
      <w:r>
        <w:t xml:space="preserve"> </w:t>
      </w:r>
      <w:r>
        <w:t xml:space="preserve">pressure reported</w:t>
      </w:r>
      <w:r>
        <w:t xml:space="preserve"> </w:t>
      </w:r>
      <w:r>
        <w:t xml:space="preserve">(</w:t>
      </w:r>
      <w:hyperlink w:anchor="ref-li2026agentic">
        <w:r>
          <w:rPr>
            <w:rStyle w:val="Hyperlink"/>
          </w:rPr>
          <w:t xml:space="preserve">Li et al. 2026</w:t>
        </w:r>
      </w:hyperlink>
      <w:r>
        <w:t xml:space="preserve">)</w:t>
      </w:r>
      <w:r>
        <w:t xml:space="preserve">. The two sit in different regimes, and that is the substance of the</w:t>
      </w:r>
      <w:r>
        <w:t xml:space="preserve"> </w:t>
      </w:r>
      <w:r>
        <w:t xml:space="preserve">gap rather than a caveat to it: the loop closed where the synthesis was easy.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p>
      <w:pPr>
        <w:pStyle w:val="BodyText"/>
      </w:pPr>
      <w:r>
        <w:t xml:space="preserve">Section 7 argues that the first two of these are becoming buildable for reasons</w:t>
      </w:r>
      <w:r>
        <w:t xml:space="preserve"> </w:t>
      </w:r>
      <w:r>
        <w:t xml:space="preserve">outside this field: laboratory hardware is being standardised for machine operation,</w:t>
      </w:r>
      <w:r>
        <w:t xml:space="preserve"> </w:t>
      </w:r>
      <w:r>
        <w:t xml:space="preserve">and an instrumented experiment emits the negative results and the machine-readable</w:t>
      </w:r>
      <w:r>
        <w:t xml:space="preserve"> </w:t>
      </w:r>
      <w:r>
        <w:t xml:space="preserve">spectra that human publication practice does not. That makes the instrument interface,</w:t>
      </w:r>
      <w:r>
        <w:t xml:space="preserve"> </w:t>
      </w:r>
      <w:r>
        <w:t xml:space="preserve">rather than model capability, the variable most likely to move this assessment. It</w:t>
      </w:r>
      <w:r>
        <w:t xml:space="preserve"> </w:t>
      </w:r>
      <w:r>
        <w:t xml:space="preserve">also sets the test: if throughput rises while the AI-tagged synthesis count stays near</w:t>
      </w:r>
      <w:r>
        <w:t xml:space="preserve"> </w:t>
      </w:r>
      <w:r>
        <w:t xml:space="preserve">one, automation will have accelerated the modes that were never the bottleneck.</w:t>
      </w:r>
    </w:p>
    <w:bookmarkEnd w:id="72"/>
    <w:bookmarkStart w:id="74"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at</w:t>
      </w:r>
      <w:r>
        <w:t xml:space="preserve"> </w:t>
      </w:r>
      <w:hyperlink r:id="rId73">
        <w:r>
          <w:rPr>
            <w:rStyle w:val="Hyperlink"/>
          </w:rPr>
          <w:t xml:space="preserve">https://github.com/deepgrounding/superconductivity-ai-survey</w:t>
        </w:r>
      </w:hyperlink>
      <w:r>
        <w:t xml:space="preserve">. The</w:t>
      </w:r>
      <w:r>
        <w:t xml:space="preserve"> </w:t>
      </w:r>
      <w:r>
        <w:t xml:space="preserve">repository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74"/>
    <w:bookmarkStart w:id="296"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95" w:name="refs"/>
    <w:bookmarkStart w:id="76"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75">
        <w:r>
          <w:rPr>
            <w:rStyle w:val="Hyperlink"/>
          </w:rPr>
          <w:t xml:space="preserve">https://arxiv.org/abs/2502.12252</w:t>
        </w:r>
      </w:hyperlink>
      <w:r>
        <w:t xml:space="preserve">.</w:t>
      </w:r>
    </w:p>
    <w:bookmarkEnd w:id="76"/>
    <w:bookmarkStart w:id="78" w:name="ref-adiga2025accelerating"/>
    <w:p>
      <w:pPr>
        <w:pStyle w:val="Bibliography"/>
      </w:pPr>
      <w:r>
        <w:t xml:space="preserve">Adiga, Suhas, and Umesh V. Waghmare. 2026.</w:t>
      </w:r>
      <w:r>
        <w:t xml:space="preserve"> </w:t>
      </w:r>
      <w:r>
        <w:t xml:space="preserve">“Accelerating the Search for Superconductors Using Machine Learning.”</w:t>
      </w:r>
      <w:r>
        <w:t xml:space="preserve"> </w:t>
      </w:r>
      <w:r>
        <w:rPr>
          <w:i/>
          <w:iCs/>
        </w:rPr>
        <w:t xml:space="preserve">Computational Materials Science</w:t>
      </w:r>
      <w:r>
        <w:t xml:space="preserve"> </w:t>
      </w:r>
      <w:r>
        <w:t xml:space="preserve">263: 114453.</w:t>
      </w:r>
      <w:r>
        <w:t xml:space="preserve"> </w:t>
      </w:r>
      <w:hyperlink r:id="rId77">
        <w:r>
          <w:rPr>
            <w:rStyle w:val="Hyperlink"/>
          </w:rPr>
          <w:t xml:space="preserve">https://doi.org/10.1016/j.commatsci.2025.114453</w:t>
        </w:r>
      </w:hyperlink>
      <w:r>
        <w:t xml:space="preserve">.</w:t>
      </w:r>
    </w:p>
    <w:bookmarkEnd w:id="78"/>
    <w:bookmarkStart w:id="80" w:name="ref-ajeesh2023fate"/>
    <w:p>
      <w:pPr>
        <w:pStyle w:val="Bibliography"/>
      </w:pPr>
      <w:r>
        <w:t xml:space="preserve">Ajeesh, M. O., M. Bordelon, C. Girod, et al. 2023.</w:t>
      </w:r>
      <w:r>
        <w:t xml:space="preserve"> </w:t>
      </w:r>
      <w:r>
        <w:t xml:space="preserve">“The Fate of Time-Reversal Symmetry Breaking in</w:t>
      </w:r>
      <w:r>
        <w:t xml:space="preserve"> </w:t>
      </w:r>
      <w:r>
        <w:t xml:space="preserve">UTe2</w:t>
      </w:r>
      <w:r>
        <w:t xml:space="preserve">.”</w:t>
      </w:r>
      <w:r>
        <w:t xml:space="preserve"> </w:t>
      </w:r>
      <w:r>
        <w:rPr>
          <w:i/>
          <w:iCs/>
        </w:rPr>
        <w:t xml:space="preserve">Physical Review X</w:t>
      </w:r>
      <w:r>
        <w:t xml:space="preserve"> </w:t>
      </w:r>
      <w:r>
        <w:t xml:space="preserve">13: 041019.</w:t>
      </w:r>
      <w:r>
        <w:t xml:space="preserve"> </w:t>
      </w:r>
      <w:hyperlink r:id="rId79">
        <w:r>
          <w:rPr>
            <w:rStyle w:val="Hyperlink"/>
          </w:rPr>
          <w:t xml:space="preserve">https://doi.org/10.1103/PhysRevX.13.041019</w:t>
        </w:r>
      </w:hyperlink>
      <w:r>
        <w:t xml:space="preserve">.</w:t>
      </w:r>
    </w:p>
    <w:bookmarkEnd w:id="80"/>
    <w:bookmarkStart w:id="82" w:name="ref-anthonypetersen2022stress"/>
    <w:p>
      <w:pPr>
        <w:pStyle w:val="Bibliography"/>
      </w:pPr>
      <w:r>
        <w:t xml:space="preserve">Anthony-Petersen, Robin, Andreas Biekert, Raymond Bunker, et al. 2024.</w:t>
      </w:r>
      <w:r>
        <w:t xml:space="preserve"> </w:t>
      </w:r>
      <w:r>
        <w:t xml:space="preserve">“A Stress Induced Source of Phonon Bursts and Quasiparticle Poisoning.”</w:t>
      </w:r>
      <w:r>
        <w:t xml:space="preserve"> </w:t>
      </w:r>
      <w:r>
        <w:rPr>
          <w:i/>
          <w:iCs/>
        </w:rPr>
        <w:t xml:space="preserve">Nature Communications</w:t>
      </w:r>
      <w:r>
        <w:t xml:space="preserve"> </w:t>
      </w:r>
      <w:r>
        <w:t xml:space="preserve">15: 6444.</w:t>
      </w:r>
      <w:r>
        <w:t xml:space="preserve"> </w:t>
      </w:r>
      <w:hyperlink r:id="rId81">
        <w:r>
          <w:rPr>
            <w:rStyle w:val="Hyperlink"/>
          </w:rPr>
          <w:t xml:space="preserve">https://doi.org/10.1038/s41467-024-50173-8</w:t>
        </w:r>
      </w:hyperlink>
      <w:r>
        <w:t xml:space="preserve">.</w:t>
      </w:r>
    </w:p>
    <w:bookmarkEnd w:id="82"/>
    <w:bookmarkStart w:id="84" w:name="ref-anthropic2026mhs"/>
    <w:p>
      <w:pPr>
        <w:pStyle w:val="Bibliography"/>
      </w:pPr>
      <w:r>
        <w:t xml:space="preserve">Anthropic. 2026.</w:t>
      </w:r>
      <w:r>
        <w:t xml:space="preserve"> </w:t>
      </w:r>
      <w:r>
        <w:rPr>
          <w:i/>
          <w:iCs/>
        </w:rPr>
        <w:t xml:space="preserve">Previewing the Model Hardware Standard</w:t>
      </w:r>
      <w:r>
        <w:t xml:space="preserve">. Anthropic news post.</w:t>
      </w:r>
      <w:r>
        <w:t xml:space="preserve"> </w:t>
      </w:r>
      <w:hyperlink r:id="rId83">
        <w:r>
          <w:rPr>
            <w:rStyle w:val="Hyperlink"/>
          </w:rPr>
          <w:t xml:space="preserve">https://www.anthropic.com/news/model-hardware-standard-research-preview</w:t>
        </w:r>
      </w:hyperlink>
      <w:r>
        <w:t xml:space="preserve">.</w:t>
      </w:r>
    </w:p>
    <w:bookmarkEnd w:id="84"/>
    <w:bookmarkStart w:id="86"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85">
        <w:r>
          <w:rPr>
            <w:rStyle w:val="Hyperlink"/>
          </w:rPr>
          <w:t xml:space="preserve">https://doi.org/10.1103/PhysRev.108.1175</w:t>
        </w:r>
      </w:hyperlink>
      <w:r>
        <w:t xml:space="preserve">.</w:t>
      </w:r>
    </w:p>
    <w:bookmarkEnd w:id="86"/>
    <w:bookmarkStart w:id="88"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87">
        <w:r>
          <w:rPr>
            <w:rStyle w:val="Hyperlink"/>
          </w:rPr>
          <w:t xml:space="preserve">https://arxiv.org/abs/2501.11936</w:t>
        </w:r>
      </w:hyperlink>
      <w:r>
        <w:t xml:space="preserve">.</w:t>
      </w:r>
    </w:p>
    <w:bookmarkEnd w:id="88"/>
    <w:bookmarkStart w:id="90"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9">
        <w:r>
          <w:rPr>
            <w:rStyle w:val="Hyperlink"/>
          </w:rPr>
          <w:t xml:space="preserve">https://doi.org/10.1007/BF01303701</w:t>
        </w:r>
      </w:hyperlink>
      <w:r>
        <w:t xml:space="preserve">.</w:t>
      </w:r>
    </w:p>
    <w:bookmarkEnd w:id="90"/>
    <w:bookmarkStart w:id="92" w:name="ref-bisht2026agentic"/>
    <w:p>
      <w:pPr>
        <w:pStyle w:val="Bibliography"/>
      </w:pPr>
      <w:r>
        <w:t xml:space="preserve">Bisht, Harshit, Vinay Kumar, Kevin Maik Jablonka, Mausam, and N. M. Anoop Krishnan. 2026.</w:t>
      </w:r>
      <w:r>
        <w:t xml:space="preserve"> </w:t>
      </w:r>
      <w:r>
        <w:rPr>
          <w:i/>
          <w:iCs/>
        </w:rPr>
        <w:t xml:space="preserve">Agentic</w:t>
      </w:r>
      <w:r>
        <w:rPr>
          <w:i/>
          <w:iCs/>
        </w:rPr>
        <w:t xml:space="preserve"> </w:t>
      </w:r>
      <w:r>
        <w:rPr>
          <w:i/>
          <w:iCs/>
        </w:rPr>
        <w:t xml:space="preserve">AI</w:t>
      </w:r>
      <w:r>
        <w:rPr>
          <w:i/>
          <w:iCs/>
        </w:rPr>
        <w:t xml:space="preserve"> </w:t>
      </w:r>
      <w:r>
        <w:rPr>
          <w:i/>
          <w:iCs/>
        </w:rPr>
        <w:t xml:space="preserve">Scientists Are Not Built for Autonomous Scientific Discovery</w:t>
      </w:r>
      <w:r>
        <w:t xml:space="preserve">.</w:t>
      </w:r>
      <w:r>
        <w:t xml:space="preserve"> </w:t>
      </w:r>
      <w:hyperlink r:id="rId91">
        <w:r>
          <w:rPr>
            <w:rStyle w:val="Hyperlink"/>
          </w:rPr>
          <w:t xml:space="preserve">https://arxiv.org/abs/2605.08956</w:t>
        </w:r>
      </w:hyperlink>
      <w:r>
        <w:t xml:space="preserve">.</w:t>
      </w:r>
    </w:p>
    <w:bookmarkEnd w:id="92"/>
    <w:bookmarkStart w:id="94" w:name="ref-bordin2023crossed"/>
    <w:p>
      <w:pPr>
        <w:pStyle w:val="Bibliography"/>
      </w:pPr>
      <w:r>
        <w:t xml:space="preserve">Bordin, Alberto, Xiang Li, David van Driel, et al. 2024.</w:t>
      </w:r>
      <w:r>
        <w:t xml:space="preserve"> </w:t>
      </w:r>
      <w:r>
        <w:t xml:space="preserve">“Crossed Andreev Reflection and Elastic Co-Tunneling in a Three-Site Kitaev Chain Nanowire Device.”</w:t>
      </w:r>
      <w:r>
        <w:t xml:space="preserve"> </w:t>
      </w:r>
      <w:r>
        <w:rPr>
          <w:i/>
          <w:iCs/>
        </w:rPr>
        <w:t xml:space="preserve">Physical Review Letters</w:t>
      </w:r>
      <w:r>
        <w:t xml:space="preserve"> </w:t>
      </w:r>
      <w:r>
        <w:t xml:space="preserve">132: 056602.</w:t>
      </w:r>
      <w:r>
        <w:t xml:space="preserve"> </w:t>
      </w:r>
      <w:hyperlink r:id="rId93">
        <w:r>
          <w:rPr>
            <w:rStyle w:val="Hyperlink"/>
          </w:rPr>
          <w:t xml:space="preserve">https://doi.org/10.1103/PhysRevLett.132.056602</w:t>
        </w:r>
      </w:hyperlink>
      <w:r>
        <w:t xml:space="preserve">.</w:t>
      </w:r>
    </w:p>
    <w:bookmarkEnd w:id="94"/>
    <w:bookmarkStart w:id="96" w:name="ref-bragg2025astabench"/>
    <w:p>
      <w:pPr>
        <w:pStyle w:val="Bibliography"/>
      </w:pPr>
      <w:r>
        <w:t xml:space="preserve">Bragg, Jonathan, Mike D’Arcy, Nishant Balepur, et al. 2025.</w:t>
      </w:r>
      <w:r>
        <w:t xml:space="preserve"> </w:t>
      </w:r>
      <w:r>
        <w:rPr>
          <w:i/>
          <w:iCs/>
        </w:rPr>
        <w:t xml:space="preserve">AstaBench</w:t>
      </w:r>
      <w:r>
        <w:rPr>
          <w:i/>
          <w:iCs/>
        </w:rPr>
        <w:t xml:space="preserve">: Rigorous Benchmarking of</w:t>
      </w:r>
      <w:r>
        <w:rPr>
          <w:i/>
          <w:iCs/>
        </w:rPr>
        <w:t xml:space="preserve"> </w:t>
      </w:r>
      <w:r>
        <w:rPr>
          <w:i/>
          <w:iCs/>
        </w:rPr>
        <w:t xml:space="preserve">AI</w:t>
      </w:r>
      <w:r>
        <w:rPr>
          <w:i/>
          <w:iCs/>
        </w:rPr>
        <w:t xml:space="preserve"> </w:t>
      </w:r>
      <w:r>
        <w:rPr>
          <w:i/>
          <w:iCs/>
        </w:rPr>
        <w:t xml:space="preserve">Agents with a Scientific Research Suite</w:t>
      </w:r>
      <w:r>
        <w:t xml:space="preserve">.</w:t>
      </w:r>
      <w:r>
        <w:t xml:space="preserve"> </w:t>
      </w:r>
      <w:hyperlink r:id="rId95">
        <w:r>
          <w:rPr>
            <w:rStyle w:val="Hyperlink"/>
          </w:rPr>
          <w:t xml:space="preserve">https://arxiv.org/abs/2510.21652</w:t>
        </w:r>
      </w:hyperlink>
      <w:r>
        <w:t xml:space="preserve">.</w:t>
      </w:r>
    </w:p>
    <w:bookmarkEnd w:id="96"/>
    <w:bookmarkStart w:id="98"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97">
        <w:r>
          <w:rPr>
            <w:rStyle w:val="Hyperlink"/>
          </w:rPr>
          <w:t xml:space="preserve">https://arxiv.org/abs/2312.06090</w:t>
        </w:r>
      </w:hyperlink>
      <w:r>
        <w:t xml:space="preserve">.</w:t>
      </w:r>
    </w:p>
    <w:bookmarkEnd w:id="98"/>
    <w:bookmarkStart w:id="100"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99">
        <w:r>
          <w:rPr>
            <w:rStyle w:val="Hyperlink"/>
          </w:rPr>
          <w:t xml:space="preserve">https://doi.org/10.1038/nature26160</w:t>
        </w:r>
      </w:hyperlink>
      <w:r>
        <w:t xml:space="preserve">.</w:t>
      </w:r>
    </w:p>
    <w:bookmarkEnd w:id="100"/>
    <w:bookmarkStart w:id="102"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101">
        <w:r>
          <w:rPr>
            <w:rStyle w:val="Hyperlink"/>
          </w:rPr>
          <w:t xml:space="preserve">https://arxiv.org/abs/2401.12682</w:t>
        </w:r>
      </w:hyperlink>
      <w:r>
        <w:t xml:space="preserve">.</w:t>
      </w:r>
    </w:p>
    <w:bookmarkEnd w:id="102"/>
    <w:bookmarkStart w:id="104"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103">
        <w:r>
          <w:rPr>
            <w:rStyle w:val="Hyperlink"/>
          </w:rPr>
          <w:t xml:space="preserve">https://doi.org/10.1126/science.aag2302</w:t>
        </w:r>
      </w:hyperlink>
      <w:r>
        <w:t xml:space="preserve">.</w:t>
      </w:r>
    </w:p>
    <w:bookmarkEnd w:id="104"/>
    <w:bookmarkStart w:id="106"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105">
        <w:r>
          <w:rPr>
            <w:rStyle w:val="Hyperlink"/>
          </w:rPr>
          <w:t xml:space="preserve">https://arxiv.org/abs/2403.13496</w:t>
        </w:r>
      </w:hyperlink>
      <w:r>
        <w:t xml:space="preserve">.</w:t>
      </w:r>
    </w:p>
    <w:bookmarkEnd w:id="106"/>
    <w:bookmarkStart w:id="108"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107">
        <w:r>
          <w:rPr>
            <w:rStyle w:val="Hyperlink"/>
          </w:rPr>
          <w:t xml:space="preserve">https://arxiv.org/abs/2307.10728</w:t>
        </w:r>
      </w:hyperlink>
      <w:r>
        <w:t xml:space="preserve">.</w:t>
      </w:r>
    </w:p>
    <w:bookmarkEnd w:id="108"/>
    <w:bookmarkStart w:id="110"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109">
        <w:r>
          <w:rPr>
            <w:rStyle w:val="Hyperlink"/>
          </w:rPr>
          <w:t xml:space="preserve">https://doi.org/10.1021/acs.chemmater.4c00643</w:t>
        </w:r>
      </w:hyperlink>
      <w:r>
        <w:t xml:space="preserve">.</w:t>
      </w:r>
    </w:p>
    <w:bookmarkEnd w:id="110"/>
    <w:bookmarkStart w:id="112" w:name="ref-corbae2025hunds"/>
    <w:p>
      <w:pPr>
        <w:pStyle w:val="Bibliography"/>
      </w:pPr>
      <w:r>
        <w:t xml:space="preserve">Corbae, Elena, Rong Zhang, Cong Li, et al. 2026.</w:t>
      </w:r>
      <w:r>
        <w:t xml:space="preserve"> </w:t>
      </w:r>
      <w:r>
        <w:t xml:space="preserve">“Hund’s Coupling Assisted Orbital-Selective Superconductivity in</w:t>
      </w:r>
      <w:r>
        <w:t xml:space="preserve"> </w:t>
      </w:r>
      <w:r>
        <w:t xml:space="preserve">Ba1</w:t>
      </w:r>
      <w:r>
        <w:t xml:space="preserve">-</w:t>
      </w:r>
      <w:r>
        <w:t xml:space="preserve">xKxFe2As2</w:t>
      </w:r>
      <w:r>
        <w:t xml:space="preserve">.”</w:t>
      </w:r>
      <w:r>
        <w:t xml:space="preserve"> </w:t>
      </w:r>
      <w:r>
        <w:rPr>
          <w:i/>
          <w:iCs/>
        </w:rPr>
        <w:t xml:space="preserve">Physical Review B</w:t>
      </w:r>
      <w:r>
        <w:t xml:space="preserve"> </w:t>
      </w:r>
      <w:r>
        <w:t xml:space="preserve">113: 224517.</w:t>
      </w:r>
      <w:r>
        <w:t xml:space="preserve"> </w:t>
      </w:r>
      <w:hyperlink r:id="rId111">
        <w:r>
          <w:rPr>
            <w:rStyle w:val="Hyperlink"/>
          </w:rPr>
          <w:t xml:space="preserve">https://doi.org/10.1103/yry8-qdm6</w:t>
        </w:r>
      </w:hyperlink>
      <w:r>
        <w:t xml:space="preserve">.</w:t>
      </w:r>
    </w:p>
    <w:bookmarkEnd w:id="112"/>
    <w:bookmarkStart w:id="114" w:name="ref-dangic2023ab"/>
    <w:p>
      <w:pPr>
        <w:pStyle w:val="Bibliography"/>
      </w:pPr>
      <w:r>
        <w:t xml:space="preserve">Dangić, ore, Peio Garcia-Goiricelaya, Yue-Wen Fang, Julen Ibañez-Azpiroz, and Ion Errea. 2023.</w:t>
      </w:r>
      <w:r>
        <w:t xml:space="preserve"> </w:t>
      </w:r>
      <w:r>
        <w:t xml:space="preserve">“Ab Initio Study of the Structural, Vibrational and Optical Properties of Potential Parent Structures of Nitrogen-Doped Lutetium Hydride.”</w:t>
      </w:r>
      <w:r>
        <w:t xml:space="preserve"> </w:t>
      </w:r>
      <w:r>
        <w:rPr>
          <w:i/>
          <w:iCs/>
        </w:rPr>
        <w:t xml:space="preserve">Physical Review B</w:t>
      </w:r>
      <w:r>
        <w:t xml:space="preserve"> </w:t>
      </w:r>
      <w:r>
        <w:t xml:space="preserve">108: 064517.</w:t>
      </w:r>
      <w:r>
        <w:t xml:space="preserve"> </w:t>
      </w:r>
      <w:hyperlink r:id="rId113">
        <w:r>
          <w:rPr>
            <w:rStyle w:val="Hyperlink"/>
          </w:rPr>
          <w:t xml:space="preserve">https://doi.org/10.1103/PhysRevB.108.064517</w:t>
        </w:r>
      </w:hyperlink>
      <w:r>
        <w:t xml:space="preserve">.</w:t>
      </w:r>
    </w:p>
    <w:bookmarkEnd w:id="114"/>
    <w:bookmarkStart w:id="116"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15">
        <w:r>
          <w:rPr>
            <w:rStyle w:val="Hyperlink"/>
          </w:rPr>
          <w:t xml:space="preserve">https://doi.org/10.1038/s41586-023-05742-0</w:t>
        </w:r>
      </w:hyperlink>
      <w:r>
        <w:t xml:space="preserve">.</w:t>
      </w:r>
    </w:p>
    <w:bookmarkEnd w:id="116"/>
    <w:bookmarkStart w:id="118"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17">
        <w:r>
          <w:rPr>
            <w:rStyle w:val="Hyperlink"/>
          </w:rPr>
          <w:t xml:space="preserve">https://arxiv.org/abs/2205.03528</w:t>
        </w:r>
      </w:hyperlink>
      <w:r>
        <w:t xml:space="preserve">.</w:t>
      </w:r>
    </w:p>
    <w:bookmarkEnd w:id="118"/>
    <w:bookmarkStart w:id="120"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19">
        <w:r>
          <w:rPr>
            <w:rStyle w:val="Hyperlink"/>
          </w:rPr>
          <w:t xml:space="preserve">https://arxiv.org/abs/2403.12164</w:t>
        </w:r>
      </w:hyperlink>
      <w:r>
        <w:t xml:space="preserve">.</w:t>
      </w:r>
    </w:p>
    <w:bookmarkEnd w:id="120"/>
    <w:bookmarkStart w:id="122"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21">
        <w:r>
          <w:rPr>
            <w:rStyle w:val="Hyperlink"/>
          </w:rPr>
          <w:t xml:space="preserve">https://doi.org/10.1038/nature14964</w:t>
        </w:r>
      </w:hyperlink>
      <w:r>
        <w:t xml:space="preserve">.</w:t>
      </w:r>
    </w:p>
    <w:bookmarkEnd w:id="122"/>
    <w:bookmarkStart w:id="124"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23">
        <w:r>
          <w:rPr>
            <w:rStyle w:val="Hyperlink"/>
          </w:rPr>
          <w:t xml:space="preserve">https://doi.org/10.1038/s41586-019-1201-8</w:t>
        </w:r>
      </w:hyperlink>
      <w:r>
        <w:t xml:space="preserve">.</w:t>
      </w:r>
    </w:p>
    <w:bookmarkEnd w:id="124"/>
    <w:bookmarkStart w:id="126" w:name="ref-dvir2022realization"/>
    <w:p>
      <w:pPr>
        <w:pStyle w:val="Bibliography"/>
      </w:pPr>
      <w:r>
        <w:t xml:space="preserve">Dvir, Tom, Guanzhong Wang, Nick van Loo, et al. 2023.</w:t>
      </w:r>
      <w:r>
        <w:t xml:space="preserve"> </w:t>
      </w:r>
      <w:r>
        <w:t xml:space="preserve">“Realization of a Minimal Kitaev Chain in Coupled Quantum Dots.”</w:t>
      </w:r>
      <w:r>
        <w:t xml:space="preserve"> </w:t>
      </w:r>
      <w:r>
        <w:rPr>
          <w:i/>
          <w:iCs/>
        </w:rPr>
        <w:t xml:space="preserve">Nature</w:t>
      </w:r>
      <w:r>
        <w:t xml:space="preserve"> </w:t>
      </w:r>
      <w:r>
        <w:t xml:space="preserve">614: 445–50.</w:t>
      </w:r>
      <w:r>
        <w:t xml:space="preserve"> </w:t>
      </w:r>
      <w:hyperlink r:id="rId125">
        <w:r>
          <w:rPr>
            <w:rStyle w:val="Hyperlink"/>
          </w:rPr>
          <w:t xml:space="preserve">https://doi.org/10.1038/s41586-022-05585-1</w:t>
        </w:r>
      </w:hyperlink>
      <w:r>
        <w:t xml:space="preserve">.</w:t>
      </w:r>
    </w:p>
    <w:bookmarkEnd w:id="126"/>
    <w:bookmarkStart w:id="128" w:name="ref-fang2023assessing"/>
    <w:p>
      <w:pPr>
        <w:pStyle w:val="Bibliography"/>
      </w:pPr>
      <w:r>
        <w:t xml:space="preserve">Fang, Yue-Wen, ore Dangić, and Ion Errea. 2024.</w:t>
      </w:r>
      <w:r>
        <w:t xml:space="preserve"> </w:t>
      </w:r>
      <w:r>
        <w:t xml:space="preserve">“Assessing the Feasibility of Near-Ambient Conditions Superconductivity in the Lu-n-h System.”</w:t>
      </w:r>
      <w:r>
        <w:t xml:space="preserve"> </w:t>
      </w:r>
      <w:r>
        <w:rPr>
          <w:i/>
          <w:iCs/>
        </w:rPr>
        <w:t xml:space="preserve">Communications Materials</w:t>
      </w:r>
      <w:r>
        <w:t xml:space="preserve"> </w:t>
      </w:r>
      <w:r>
        <w:t xml:space="preserve">5: 61.</w:t>
      </w:r>
      <w:r>
        <w:t xml:space="preserve"> </w:t>
      </w:r>
      <w:hyperlink r:id="rId127">
        <w:r>
          <w:rPr>
            <w:rStyle w:val="Hyperlink"/>
          </w:rPr>
          <w:t xml:space="preserve">https://doi.org/10.1038/s43246-024-00500-9</w:t>
        </w:r>
      </w:hyperlink>
      <w:r>
        <w:t xml:space="preserve">.</w:t>
      </w:r>
    </w:p>
    <w:bookmarkEnd w:id="128"/>
    <w:bookmarkStart w:id="130" w:name="ref-faroughy2026colliderbench"/>
    <w:p>
      <w:pPr>
        <w:pStyle w:val="Bibliography"/>
      </w:pPr>
      <w:r>
        <w:t xml:space="preserve">Faroughy, Darius A., Sofia Palacios Schweitzer, Ian Pang, Siddharth Mishra-Sharma, and David Shih. 2026.</w:t>
      </w:r>
      <w:r>
        <w:t xml:space="preserve"> </w:t>
      </w:r>
      <w:r>
        <w:rPr>
          <w:i/>
          <w:iCs/>
        </w:rPr>
        <w:t xml:space="preserve">Collider-Bench</w:t>
      </w:r>
      <w:r>
        <w:rPr>
          <w:i/>
          <w:iCs/>
        </w:rPr>
        <w:t xml:space="preserve">: Benchmarking</w:t>
      </w:r>
      <w:r>
        <w:rPr>
          <w:i/>
          <w:iCs/>
        </w:rPr>
        <w:t xml:space="preserve"> </w:t>
      </w:r>
      <w:r>
        <w:rPr>
          <w:i/>
          <w:iCs/>
        </w:rPr>
        <w:t xml:space="preserve">AI</w:t>
      </w:r>
      <w:r>
        <w:rPr>
          <w:i/>
          <w:iCs/>
        </w:rPr>
        <w:t xml:space="preserve"> </w:t>
      </w:r>
      <w:r>
        <w:rPr>
          <w:i/>
          <w:iCs/>
        </w:rPr>
        <w:t xml:space="preserve">Agents with Particle Physics Analysis Reproduction</w:t>
      </w:r>
      <w:r>
        <w:t xml:space="preserve">.</w:t>
      </w:r>
      <w:r>
        <w:t xml:space="preserve"> </w:t>
      </w:r>
      <w:hyperlink r:id="rId129">
        <w:r>
          <w:rPr>
            <w:rStyle w:val="Hyperlink"/>
          </w:rPr>
          <w:t xml:space="preserve">https://arxiv.org/abs/2605.13950</w:t>
        </w:r>
      </w:hyperlink>
      <w:r>
        <w:t xml:space="preserve">.</w:t>
      </w:r>
    </w:p>
    <w:bookmarkEnd w:id="130"/>
    <w:bookmarkStart w:id="132" w:name="ref-gao2025unilabos"/>
    <w:p>
      <w:pPr>
        <w:pStyle w:val="Bibliography"/>
      </w:pPr>
      <w:r>
        <w:t xml:space="preserve">Gao, Jing, Junhan Chang, Haohui Que, et al. 2025.</w:t>
      </w:r>
      <w:r>
        <w:t xml:space="preserve"> </w:t>
      </w:r>
      <w:r>
        <w:rPr>
          <w:i/>
          <w:iCs/>
        </w:rPr>
        <w:t xml:space="preserve">UniLabOS</w:t>
      </w:r>
      <w:r>
        <w:rPr>
          <w:i/>
          <w:iCs/>
        </w:rPr>
        <w:t xml:space="preserve">: An</w:t>
      </w:r>
      <w:r>
        <w:rPr>
          <w:i/>
          <w:iCs/>
        </w:rPr>
        <w:t xml:space="preserve"> </w:t>
      </w:r>
      <w:r>
        <w:rPr>
          <w:i/>
          <w:iCs/>
        </w:rPr>
        <w:t xml:space="preserve">AI</w:t>
      </w:r>
      <w:r>
        <w:rPr>
          <w:i/>
          <w:iCs/>
        </w:rPr>
        <w:t xml:space="preserve">-Native Operating System for Autonomous Laboratories</w:t>
      </w:r>
      <w:r>
        <w:t xml:space="preserve">.</w:t>
      </w:r>
      <w:r>
        <w:t xml:space="preserve"> </w:t>
      </w:r>
      <w:hyperlink r:id="rId131">
        <w:r>
          <w:rPr>
            <w:rStyle w:val="Hyperlink"/>
          </w:rPr>
          <w:t xml:space="preserve">https://arxiv.org/abs/2512.21766</w:t>
        </w:r>
      </w:hyperlink>
      <w:r>
        <w:t xml:space="preserve">.</w:t>
      </w:r>
    </w:p>
    <w:bookmarkEnd w:id="132"/>
    <w:bookmarkStart w:id="134"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33">
        <w:r>
          <w:rPr>
            <w:rStyle w:val="Hyperlink"/>
          </w:rPr>
          <w:t xml:space="preserve">https://arxiv.org/abs/2511.03865</w:t>
        </w:r>
      </w:hyperlink>
      <w:r>
        <w:t xml:space="preserve">.</w:t>
      </w:r>
    </w:p>
    <w:bookmarkEnd w:id="134"/>
    <w:bookmarkStart w:id="136"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35">
        <w:r>
          <w:rPr>
            <w:rStyle w:val="Hyperlink"/>
          </w:rPr>
          <w:t xml:space="preserve">https://arxiv.org/abs/2607.14293</w:t>
        </w:r>
      </w:hyperlink>
      <w:r>
        <w:t xml:space="preserve">.</w:t>
      </w:r>
    </w:p>
    <w:bookmarkEnd w:id="136"/>
    <w:bookmarkStart w:id="138" w:name="ref-ge2022charge"/>
    <w:p>
      <w:pPr>
        <w:pStyle w:val="Bibliography"/>
      </w:pPr>
      <w:r>
        <w:t xml:space="preserve">Ge, Jun, Pinyuan Wang, Ying Xing, et al. 2024.</w:t>
      </w:r>
      <w:r>
        <w:t xml:space="preserve"> </w:t>
      </w:r>
      <w:r>
        <w:t xml:space="preserve">“Charge-4e and Charge-6e Flux Quantization and Higher Charge Superconductivity in Kagome Superconductor Ring Devices.”</w:t>
      </w:r>
      <w:r>
        <w:t xml:space="preserve"> </w:t>
      </w:r>
      <w:r>
        <w:rPr>
          <w:i/>
          <w:iCs/>
        </w:rPr>
        <w:t xml:space="preserve">Physical Review X</w:t>
      </w:r>
      <w:r>
        <w:t xml:space="preserve"> </w:t>
      </w:r>
      <w:r>
        <w:t xml:space="preserve">14: 021025.</w:t>
      </w:r>
      <w:r>
        <w:t xml:space="preserve"> </w:t>
      </w:r>
      <w:hyperlink r:id="rId137">
        <w:r>
          <w:rPr>
            <w:rStyle w:val="Hyperlink"/>
          </w:rPr>
          <w:t xml:space="preserve">https://doi.org/10.1103/PhysRevX.14.021025</w:t>
        </w:r>
      </w:hyperlink>
      <w:r>
        <w:t xml:space="preserve">.</w:t>
      </w:r>
    </w:p>
    <w:bookmarkEnd w:id="138"/>
    <w:bookmarkStart w:id="140"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39">
        <w:r>
          <w:rPr>
            <w:rStyle w:val="Hyperlink"/>
          </w:rPr>
          <w:t xml:space="preserve">https://arxiv.org/abs/2307.16892</w:t>
        </w:r>
      </w:hyperlink>
      <w:r>
        <w:t xml:space="preserve">.</w:t>
      </w:r>
    </w:p>
    <w:bookmarkEnd w:id="140"/>
    <w:bookmarkStart w:id="142" w:name="ref-gu2023effective"/>
    <w:p>
      <w:pPr>
        <w:pStyle w:val="Bibliography"/>
      </w:pPr>
      <w:r>
        <w:t xml:space="preserve">Gu, Yuhao, Congcong Le, Zhesen Yang, Xianxin Wu, and Jiangping Hu. 2025.</w:t>
      </w:r>
      <w:r>
        <w:t xml:space="preserve"> </w:t>
      </w:r>
      <w:r>
        <w:t xml:space="preserve">“Effective Model and Pairing Tendency in Bilayer Ni-Based Superconductor La$_3$ni$_2$o$_7$.”</w:t>
      </w:r>
      <w:r>
        <w:t xml:space="preserve"> </w:t>
      </w:r>
      <w:r>
        <w:rPr>
          <w:i/>
          <w:iCs/>
        </w:rPr>
        <w:t xml:space="preserve">Physical Review B</w:t>
      </w:r>
      <w:r>
        <w:t xml:space="preserve"> </w:t>
      </w:r>
      <w:r>
        <w:t xml:space="preserve">111: 174506.</w:t>
      </w:r>
      <w:r>
        <w:t xml:space="preserve"> </w:t>
      </w:r>
      <w:hyperlink r:id="rId141">
        <w:r>
          <w:rPr>
            <w:rStyle w:val="Hyperlink"/>
          </w:rPr>
          <w:t xml:space="preserve">https://doi.org/10.1103/PhysRevB.111.174506</w:t>
        </w:r>
      </w:hyperlink>
      <w:r>
        <w:t xml:space="preserve">.</w:t>
      </w:r>
    </w:p>
    <w:bookmarkEnd w:id="142"/>
    <w:bookmarkStart w:id="144"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43">
        <w:r>
          <w:rPr>
            <w:rStyle w:val="Hyperlink"/>
          </w:rPr>
          <w:t xml:space="preserve">https://doi.org/10.1016/j.commatsci.2018.07.052</w:t>
        </w:r>
      </w:hyperlink>
      <w:r>
        <w:t xml:space="preserve">.</w:t>
      </w:r>
    </w:p>
    <w:bookmarkEnd w:id="144"/>
    <w:bookmarkStart w:id="146" w:name="ref-han2024invdesflow"/>
    <w:p>
      <w:pPr>
        <w:pStyle w:val="Bibliography"/>
      </w:pPr>
      <w:r>
        <w:t xml:space="preserve">Han, Xiao-Qi, Zhenfeng Ouyang, Peng-Jie Guo, Hao Sun, Ze-Feng Gao, and Zhong-Yi Lu. 2025.</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Chinese Physics Letters</w:t>
      </w:r>
      <w:r>
        <w:t xml:space="preserve"> </w:t>
      </w:r>
      <w:r>
        <w:t xml:space="preserve">42: 047301.</w:t>
      </w:r>
      <w:r>
        <w:t xml:space="preserve"> </w:t>
      </w:r>
      <w:hyperlink r:id="rId145">
        <w:r>
          <w:rPr>
            <w:rStyle w:val="Hyperlink"/>
          </w:rPr>
          <w:t xml:space="preserve">https://doi.org/10.1088/0256-307X/42/4/047301</w:t>
        </w:r>
      </w:hyperlink>
      <w:r>
        <w:t xml:space="preserve">.</w:t>
      </w:r>
    </w:p>
    <w:bookmarkEnd w:id="146"/>
    <w:bookmarkStart w:id="148" w:name="ref-holleis2023nematicity"/>
    <w:p>
      <w:pPr>
        <w:pStyle w:val="Bibliography"/>
      </w:pPr>
      <w:r>
        <w:t xml:space="preserve">Holleis, Ludwig, Caitlin L. Patterson, Yiran Zhang, et al. 2025.</w:t>
      </w:r>
      <w:r>
        <w:t xml:space="preserve"> </w:t>
      </w:r>
      <w:r>
        <w:t xml:space="preserve">“Nematicity and Orbital Depairing in Superconducting Bernal Bilayer Graphene with Strong Spin Orbit Coupling.”</w:t>
      </w:r>
      <w:r>
        <w:t xml:space="preserve"> </w:t>
      </w:r>
      <w:r>
        <w:rPr>
          <w:i/>
          <w:iCs/>
        </w:rPr>
        <w:t xml:space="preserve">Nature Physics</w:t>
      </w:r>
      <w:r>
        <w:t xml:space="preserve"> </w:t>
      </w:r>
      <w:r>
        <w:t xml:space="preserve">21: 444–50.</w:t>
      </w:r>
      <w:r>
        <w:t xml:space="preserve"> </w:t>
      </w:r>
      <w:hyperlink r:id="rId147">
        <w:r>
          <w:rPr>
            <w:rStyle w:val="Hyperlink"/>
          </w:rPr>
          <w:t xml:space="preserve">https://doi.org/10.1038/s41567-024-02776-7</w:t>
        </w:r>
      </w:hyperlink>
      <w:r>
        <w:t xml:space="preserve">.</w:t>
      </w:r>
    </w:p>
    <w:bookmarkEnd w:id="148"/>
    <w:bookmarkStart w:id="150"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49">
        <w:r>
          <w:rPr>
            <w:rStyle w:val="Hyperlink"/>
          </w:rPr>
          <w:t xml:space="preserve">https://arxiv.org/abs/2512.01703</w:t>
        </w:r>
      </w:hyperlink>
      <w:r>
        <w:t xml:space="preserve">.</w:t>
      </w:r>
    </w:p>
    <w:bookmarkEnd w:id="150"/>
    <w:bookmarkStart w:id="152"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w:t>
      </w:r>
      <w:r>
        <w:t xml:space="preserve"> </w:t>
      </w:r>
      <w:r>
        <w:t xml:space="preserve">106: L241106.</w:t>
      </w:r>
      <w:r>
        <w:t xml:space="preserve"> </w:t>
      </w:r>
      <w:hyperlink r:id="rId151">
        <w:r>
          <w:rPr>
            <w:rStyle w:val="Hyperlink"/>
          </w:rPr>
          <w:t xml:space="preserve">https://doi.org/10.1103/PhysRevB.106.L241106</w:t>
        </w:r>
      </w:hyperlink>
      <w:r>
        <w:t xml:space="preserve">.</w:t>
      </w:r>
    </w:p>
    <w:bookmarkEnd w:id="152"/>
    <w:bookmarkStart w:id="154"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w:t>
      </w:r>
      <w:r>
        <w:t xml:space="preserve"> </w:t>
      </w:r>
      <w:r>
        <w:t xml:space="preserve">380: 1244–47.</w:t>
      </w:r>
      <w:r>
        <w:t xml:space="preserve"> </w:t>
      </w:r>
      <w:hyperlink r:id="rId153">
        <w:r>
          <w:rPr>
            <w:rStyle w:val="Hyperlink"/>
          </w:rPr>
          <w:t xml:space="preserve">https://doi.org/10.1126/science.abp9979</w:t>
        </w:r>
      </w:hyperlink>
      <w:r>
        <w:t xml:space="preserve">.</w:t>
      </w:r>
    </w:p>
    <w:bookmarkEnd w:id="154"/>
    <w:bookmarkStart w:id="156"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55">
        <w:r>
          <w:rPr>
            <w:rStyle w:val="Hyperlink"/>
          </w:rPr>
          <w:t xml:space="preserve">https://arxiv.org/abs/2512.10847</w:t>
        </w:r>
      </w:hyperlink>
      <w:r>
        <w:t xml:space="preserve">.</w:t>
      </w:r>
    </w:p>
    <w:bookmarkEnd w:id="156"/>
    <w:bookmarkStart w:id="158" w:name="ref-jiang2021kagome"/>
    <w:p>
      <w:pPr>
        <w:pStyle w:val="Bibliography"/>
      </w:pPr>
      <w:r>
        <w:t xml:space="preserve">Jiang, Kun, Tao Wu, Jia-Xin Yin, et al. 2022.</w:t>
      </w:r>
      <w:r>
        <w:t xml:space="preserve"> </w:t>
      </w:r>
      <w:r>
        <w:t xml:space="preserve">“Kagome Superconductors</w:t>
      </w:r>
      <w:r>
        <w:t xml:space="preserve"> </w:t>
      </w:r>
      <w:r>
        <w:t xml:space="preserve">AV</w:t>
      </w:r>
      <w:r>
        <w:t xml:space="preserve">$_3$sb$_5$ (a=k, Rb, Cs).”</w:t>
      </w:r>
      <w:r>
        <w:t xml:space="preserve"> </w:t>
      </w:r>
      <w:r>
        <w:rPr>
          <w:i/>
          <w:iCs/>
        </w:rPr>
        <w:t xml:space="preserve">National Science Review</w:t>
      </w:r>
      <w:r>
        <w:t xml:space="preserve"> </w:t>
      </w:r>
      <w:r>
        <w:t xml:space="preserve">10: nwac199.</w:t>
      </w:r>
      <w:r>
        <w:t xml:space="preserve"> </w:t>
      </w:r>
      <w:hyperlink r:id="rId157">
        <w:r>
          <w:rPr>
            <w:rStyle w:val="Hyperlink"/>
          </w:rPr>
          <w:t xml:space="preserve">https://doi.org/10.1093/nsr/nwac199</w:t>
        </w:r>
      </w:hyperlink>
      <w:r>
        <w:t xml:space="preserve">.</w:t>
      </w:r>
    </w:p>
    <w:bookmarkEnd w:id="158"/>
    <w:bookmarkStart w:id="160"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59">
        <w:r>
          <w:rPr>
            <w:rStyle w:val="Hyperlink"/>
          </w:rPr>
          <w:t xml:space="preserve">https://doi.org/10.1021/ja800073m</w:t>
        </w:r>
      </w:hyperlink>
      <w:r>
        <w:t xml:space="preserve">.</w:t>
      </w:r>
    </w:p>
    <w:bookmarkEnd w:id="160"/>
    <w:bookmarkStart w:id="162"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w:t>
      </w:r>
      <w:r>
        <w:t xml:space="preserve">, ahead of print.</w:t>
      </w:r>
      <w:r>
        <w:t xml:space="preserve"> </w:t>
      </w:r>
      <w:hyperlink r:id="rId161">
        <w:r>
          <w:rPr>
            <w:rStyle w:val="Hyperlink"/>
          </w:rPr>
          <w:t xml:space="preserve">https://doi.org/10.1038/s41563-022-01375-2</w:t>
        </w:r>
      </w:hyperlink>
      <w:r>
        <w:t xml:space="preserve">.</w:t>
      </w:r>
    </w:p>
    <w:bookmarkEnd w:id="162"/>
    <w:bookmarkStart w:id="164"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63">
        <w:r>
          <w:rPr>
            <w:rStyle w:val="Hyperlink"/>
          </w:rPr>
          <w:t xml:space="preserve">https://arxiv.org/abs/2303.11975</w:t>
        </w:r>
      </w:hyperlink>
      <w:r>
        <w:t xml:space="preserve">.</w:t>
      </w:r>
    </w:p>
    <w:bookmarkEnd w:id="164"/>
    <w:bookmarkStart w:id="166" w:name="ref-kusne2026managing"/>
    <w:p>
      <w:pPr>
        <w:pStyle w:val="Bibliography"/>
      </w:pPr>
      <w:r>
        <w:t xml:space="preserve">Kusne, A. Gilad, and Austin McDannald. 2026.</w:t>
      </w:r>
      <w:r>
        <w:t xml:space="preserve"> </w:t>
      </w:r>
      <w:r>
        <w:t xml:space="preserve">“Managing Autonomous Materials Labs with Multi-Agent</w:t>
      </w:r>
      <w:r>
        <w:t xml:space="preserve"> </w:t>
      </w:r>
      <w:r>
        <w:t xml:space="preserve">AI</w:t>
      </w:r>
      <w:r>
        <w:t xml:space="preserve"> </w:t>
      </w:r>
      <w:r>
        <w:t xml:space="preserve">and Its Implications for the Science of Science.”</w:t>
      </w:r>
      <w:r>
        <w:t xml:space="preserve"> </w:t>
      </w:r>
      <w:r>
        <w:rPr>
          <w:i/>
          <w:iCs/>
        </w:rPr>
        <w:t xml:space="preserve">Communications Materials</w:t>
      </w:r>
      <w:r>
        <w:t xml:space="preserve"> </w:t>
      </w:r>
      <w:r>
        <w:t xml:space="preserve">7: 173.</w:t>
      </w:r>
      <w:r>
        <w:t xml:space="preserve"> </w:t>
      </w:r>
      <w:hyperlink r:id="rId165">
        <w:r>
          <w:rPr>
            <w:rStyle w:val="Hyperlink"/>
          </w:rPr>
          <w:t xml:space="preserve">https://doi.org/10.1038/s43246-026-01219-5</w:t>
        </w:r>
      </w:hyperlink>
      <w:r>
        <w:t xml:space="preserve">.</w:t>
      </w:r>
    </w:p>
    <w:bookmarkEnd w:id="166"/>
    <w:bookmarkStart w:id="168"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67">
        <w:r>
          <w:rPr>
            <w:rStyle w:val="Hyperlink"/>
          </w:rPr>
          <w:t xml:space="preserve">https://arxiv.org/abs/2411.10430</w:t>
        </w:r>
      </w:hyperlink>
      <w:r>
        <w:t xml:space="preserve">.</w:t>
      </w:r>
    </w:p>
    <w:bookmarkEnd w:id="168"/>
    <w:bookmarkStart w:id="170" w:name="ref-lau2023topological"/>
    <w:p>
      <w:pPr>
        <w:pStyle w:val="Bibliography"/>
      </w:pPr>
      <w:r>
        <w:t xml:space="preserve">Lau, Liam L. H., and Piers Coleman. 2025.</w:t>
      </w:r>
      <w:r>
        <w:t xml:space="preserve"> </w:t>
      </w:r>
      <w:r>
        <w:t xml:space="preserve">“Topological Mixed Valence Model for Twisted Bilayer Graphene.”</w:t>
      </w:r>
      <w:r>
        <w:t xml:space="preserve"> </w:t>
      </w:r>
      <w:r>
        <w:rPr>
          <w:i/>
          <w:iCs/>
        </w:rPr>
        <w:t xml:space="preserve">Physical Review X</w:t>
      </w:r>
      <w:r>
        <w:t xml:space="preserve"> </w:t>
      </w:r>
      <w:r>
        <w:t xml:space="preserve">15: 021028.</w:t>
      </w:r>
      <w:r>
        <w:t xml:space="preserve"> </w:t>
      </w:r>
      <w:hyperlink r:id="rId169">
        <w:r>
          <w:rPr>
            <w:rStyle w:val="Hyperlink"/>
          </w:rPr>
          <w:t xml:space="preserve">https://doi.org/10.1103/PhysRevX.15.021028</w:t>
        </w:r>
      </w:hyperlink>
      <w:r>
        <w:t xml:space="preserve">.</w:t>
      </w:r>
    </w:p>
    <w:bookmarkEnd w:id="170"/>
    <w:bookmarkStart w:id="172" w:name="ref-lee2026toward"/>
    <w:p>
      <w:pPr>
        <w:pStyle w:val="Bibliography"/>
      </w:pPr>
      <w:r>
        <w:t xml:space="preserve">Lee, Heeseung, Hyuk Jun Yoo, Hye Su Jang, Byeongho Park, Yang Jeong Park, and Sang Soo Han. 2026.</w:t>
      </w:r>
      <w:r>
        <w:t xml:space="preserve"> </w:t>
      </w:r>
      <w:r>
        <w:t xml:space="preserve">“Toward Self-Driving Laboratory 2.0 for Chemistry and Materials Discovery.”</w:t>
      </w:r>
      <w:r>
        <w:t xml:space="preserve"> </w:t>
      </w:r>
      <w:r>
        <w:rPr>
          <w:i/>
          <w:iCs/>
        </w:rPr>
        <w:t xml:space="preserve">Materials Horizons</w:t>
      </w:r>
      <w:r>
        <w:t xml:space="preserve"> </w:t>
      </w:r>
      <w:r>
        <w:t xml:space="preserve">13: 4712–39.</w:t>
      </w:r>
      <w:r>
        <w:t xml:space="preserve"> </w:t>
      </w:r>
      <w:hyperlink r:id="rId171">
        <w:r>
          <w:rPr>
            <w:rStyle w:val="Hyperlink"/>
          </w:rPr>
          <w:t xml:space="preserve">https://doi.org/10.1039/D5MH01984B</w:t>
        </w:r>
      </w:hyperlink>
      <w:r>
        <w:t xml:space="preserve">.</w:t>
      </w:r>
    </w:p>
    <w:bookmarkEnd w:id="172"/>
    <w:bookmarkStart w:id="17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73">
        <w:r>
          <w:rPr>
            <w:rStyle w:val="Hyperlink"/>
          </w:rPr>
          <w:t xml:space="preserve">https://arxiv.org/abs/2307.12037</w:t>
        </w:r>
      </w:hyperlink>
      <w:r>
        <w:t xml:space="preserve">.</w:t>
      </w:r>
    </w:p>
    <w:bookmarkEnd w:id="174"/>
    <w:bookmarkStart w:id="17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75">
        <w:r>
          <w:rPr>
            <w:rStyle w:val="Hyperlink"/>
          </w:rPr>
          <w:t xml:space="preserve">https://arxiv.org/abs/2307.12008</w:t>
        </w:r>
      </w:hyperlink>
      <w:r>
        <w:t xml:space="preserve">.</w:t>
      </w:r>
    </w:p>
    <w:bookmarkEnd w:id="176"/>
    <w:bookmarkStart w:id="17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77">
        <w:r>
          <w:rPr>
            <w:rStyle w:val="Hyperlink"/>
          </w:rPr>
          <w:t xml:space="preserve">https://doi.org/10.1103/PRXEnergy.3.011002</w:t>
        </w:r>
      </w:hyperlink>
      <w:r>
        <w:t xml:space="preserve">.</w:t>
      </w:r>
    </w:p>
    <w:bookmarkEnd w:id="178"/>
    <w:bookmarkStart w:id="18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79">
        <w:r>
          <w:rPr>
            <w:rStyle w:val="Hyperlink"/>
          </w:rPr>
          <w:t xml:space="preserve">https://doi.org/10.1038/s41586-019-1496-5</w:t>
        </w:r>
      </w:hyperlink>
      <w:r>
        <w:t xml:space="preserve">.</w:t>
      </w:r>
    </w:p>
    <w:bookmarkEnd w:id="180"/>
    <w:bookmarkStart w:id="18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w:t>
      </w:r>
      <w:r>
        <w:t xml:space="preserve"> </w:t>
      </w:r>
      <w:r>
        <w:t xml:space="preserve">649: 871–78.</w:t>
      </w:r>
      <w:r>
        <w:t xml:space="preserve"> </w:t>
      </w:r>
      <w:hyperlink r:id="rId181">
        <w:r>
          <w:rPr>
            <w:rStyle w:val="Hyperlink"/>
          </w:rPr>
          <w:t xml:space="preserve">https://doi.org/10.1038/s41586-025-09954-4</w:t>
        </w:r>
      </w:hyperlink>
      <w:r>
        <w:t xml:space="preserve">.</w:t>
      </w:r>
    </w:p>
    <w:bookmarkEnd w:id="182"/>
    <w:bookmarkStart w:id="18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83">
        <w:r>
          <w:rPr>
            <w:rStyle w:val="Hyperlink"/>
          </w:rPr>
          <w:t xml:space="preserve">https://arxiv.org/abs/2604.23758</w:t>
        </w:r>
      </w:hyperlink>
      <w:r>
        <w:t xml:space="preserve">.</w:t>
      </w:r>
    </w:p>
    <w:bookmarkEnd w:id="184"/>
    <w:bookmarkStart w:id="186" w:name="ref-lotfizadeh2023superconducting"/>
    <w:p>
      <w:pPr>
        <w:pStyle w:val="Bibliography"/>
      </w:pPr>
      <w:r>
        <w:t xml:space="preserve">Lotfizadeh, Neda, William F. Schiela, Barış Pekerten, et al. 2024.</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w:t>
      </w:r>
      <w:r>
        <w:t xml:space="preserve"> </w:t>
      </w:r>
      <w:r>
        <w:t xml:space="preserve">7: 120.</w:t>
      </w:r>
      <w:r>
        <w:t xml:space="preserve"> </w:t>
      </w:r>
      <w:hyperlink r:id="rId185">
        <w:r>
          <w:rPr>
            <w:rStyle w:val="Hyperlink"/>
          </w:rPr>
          <w:t xml:space="preserve">https://doi.org/10.1038/s42005-024-01618-5</w:t>
        </w:r>
      </w:hyperlink>
      <w:r>
        <w:t xml:space="preserve">.</w:t>
      </w:r>
    </w:p>
    <w:bookmarkEnd w:id="186"/>
    <w:bookmarkStart w:id="18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Physical Review Letters</w:t>
      </w:r>
      <w:r>
        <w:t xml:space="preserve"> </w:t>
      </w:r>
      <w:r>
        <w:t xml:space="preserve">131: 126001.</w:t>
      </w:r>
      <w:r>
        <w:t xml:space="preserve"> </w:t>
      </w:r>
      <w:hyperlink r:id="rId187">
        <w:r>
          <w:rPr>
            <w:rStyle w:val="Hyperlink"/>
          </w:rPr>
          <w:t xml:space="preserve">https://doi.org/10.1103/PhysRevLett.131.126001</w:t>
        </w:r>
      </w:hyperlink>
      <w:r>
        <w:t xml:space="preserve">.</w:t>
      </w:r>
    </w:p>
    <w:bookmarkEnd w:id="188"/>
    <w:bookmarkStart w:id="190" w:name="ref-mazin2022notes"/>
    <w:p>
      <w:pPr>
        <w:pStyle w:val="Bibliography"/>
      </w:pPr>
      <w:r>
        <w:t xml:space="preserve">Mazin, Igor I. 2025.</w:t>
      </w:r>
      <w:r>
        <w:t xml:space="preserve"> </w:t>
      </w:r>
      <w:r>
        <w:t xml:space="preserve">“Notes on Altermagnetism and Superconductivity.”</w:t>
      </w:r>
      <w:r>
        <w:t xml:space="preserve"> </w:t>
      </w:r>
      <w:r>
        <w:rPr>
          <w:i/>
          <w:iCs/>
        </w:rPr>
        <w:t xml:space="preserve">AAPPS Bulletin</w:t>
      </w:r>
      <w:r>
        <w:t xml:space="preserve"> </w:t>
      </w:r>
      <w:r>
        <w:t xml:space="preserve">35: 18.</w:t>
      </w:r>
      <w:r>
        <w:t xml:space="preserve"> </w:t>
      </w:r>
      <w:hyperlink r:id="rId189">
        <w:r>
          <w:rPr>
            <w:rStyle w:val="Hyperlink"/>
          </w:rPr>
          <w:t xml:space="preserve">https://doi.org/10.1007/s43673-025-00158-6</w:t>
        </w:r>
      </w:hyperlink>
      <w:r>
        <w:t xml:space="preserve">.</w:t>
      </w:r>
    </w:p>
    <w:bookmarkEnd w:id="190"/>
    <w:bookmarkStart w:id="19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91">
        <w:r>
          <w:rPr>
            <w:rStyle w:val="Hyperlink"/>
          </w:rPr>
          <w:t xml:space="preserve">https://arxiv.org/abs/2211.14283</w:t>
        </w:r>
      </w:hyperlink>
      <w:r>
        <w:t xml:space="preserve">.</w:t>
      </w:r>
    </w:p>
    <w:bookmarkEnd w:id="192"/>
    <w:bookmarkStart w:id="19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93">
        <w:r>
          <w:rPr>
            <w:rStyle w:val="Hyperlink"/>
          </w:rPr>
          <w:t xml:space="preserve">https://doi.org/10.1038/s41586-023-06735-9</w:t>
        </w:r>
      </w:hyperlink>
      <w:r>
        <w:t xml:space="preserve">.</w:t>
      </w:r>
    </w:p>
    <w:bookmarkEnd w:id="194"/>
    <w:bookmarkStart w:id="196" w:name="ref-miao2026prlbench"/>
    <w:p>
      <w:pPr>
        <w:pStyle w:val="Bibliography"/>
      </w:pPr>
      <w:r>
        <w:t xml:space="preserve">Miao, Tingjia, Wenkai Jin, Muhua Zhang, et al. 2026.</w:t>
      </w:r>
      <w:r>
        <w:t xml:space="preserve"> </w:t>
      </w:r>
      <w:r>
        <w:rPr>
          <w:i/>
          <w:iCs/>
        </w:rPr>
        <w:t xml:space="preserve">PRL-Bench</w:t>
      </w:r>
      <w:r>
        <w:rPr>
          <w:i/>
          <w:iCs/>
        </w:rPr>
        <w:t xml:space="preserve">: A Comprehensive Benchmark Evaluating</w:t>
      </w:r>
      <w:r>
        <w:rPr>
          <w:i/>
          <w:iCs/>
        </w:rPr>
        <w:t xml:space="preserve"> </w:t>
      </w:r>
      <w:r>
        <w:rPr>
          <w:i/>
          <w:iCs/>
        </w:rPr>
        <w:t xml:space="preserve">LLMs</w:t>
      </w:r>
      <w:r>
        <w:rPr>
          <w:i/>
          <w:iCs/>
        </w:rPr>
        <w:t xml:space="preserve">’ Capabilities in Frontier Physics Research</w:t>
      </w:r>
      <w:r>
        <w:t xml:space="preserve">.</w:t>
      </w:r>
      <w:r>
        <w:t xml:space="preserve"> </w:t>
      </w:r>
      <w:hyperlink r:id="rId195">
        <w:r>
          <w:rPr>
            <w:rStyle w:val="Hyperlink"/>
          </w:rPr>
          <w:t xml:space="preserve">https://arxiv.org/abs/2604.15411</w:t>
        </w:r>
      </w:hyperlink>
      <w:r>
        <w:t xml:space="preserve">.</w:t>
      </w:r>
    </w:p>
    <w:bookmarkEnd w:id="196"/>
    <w:bookmarkStart w:id="198"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97">
        <w:r>
          <w:rPr>
            <w:rStyle w:val="Hyperlink"/>
          </w:rPr>
          <w:t xml:space="preserve">https://arxiv.org/abs/2411.10406</w:t>
        </w:r>
      </w:hyperlink>
      <w:r>
        <w:t xml:space="preserve">.</w:t>
      </w:r>
    </w:p>
    <w:bookmarkEnd w:id="198"/>
    <w:bookmarkStart w:id="200"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99">
        <w:r>
          <w:rPr>
            <w:rStyle w:val="Hyperlink"/>
          </w:rPr>
          <w:t xml:space="preserve">https://arxiv.org/abs/2301.13564</w:t>
        </w:r>
      </w:hyperlink>
      <w:r>
        <w:t xml:space="preserve">.</w:t>
      </w:r>
    </w:p>
    <w:bookmarkEnd w:id="200"/>
    <w:bookmarkStart w:id="202"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201">
        <w:r>
          <w:rPr>
            <w:rStyle w:val="Hyperlink"/>
          </w:rPr>
          <w:t xml:space="preserve">https://arxiv.org/abs/2607.11668</w:t>
        </w:r>
      </w:hyperlink>
      <w:r>
        <w:t xml:space="preserve">.</w:t>
      </w:r>
    </w:p>
    <w:bookmarkEnd w:id="202"/>
    <w:bookmarkStart w:id="204"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Physical Review B</w:t>
      </w:r>
      <w:r>
        <w:t xml:space="preserve"> </w:t>
      </w:r>
      <w:r>
        <w:t xml:space="preserve">111: L140501.</w:t>
      </w:r>
      <w:r>
        <w:t xml:space="preserve"> </w:t>
      </w:r>
      <w:hyperlink r:id="rId203">
        <w:r>
          <w:rPr>
            <w:rStyle w:val="Hyperlink"/>
          </w:rPr>
          <w:t xml:space="preserve">https://doi.org/10.1103/PhysRevB.111.L140501</w:t>
        </w:r>
      </w:hyperlink>
      <w:r>
        <w:t xml:space="preserve">.</w:t>
      </w:r>
    </w:p>
    <w:bookmarkEnd w:id="204"/>
    <w:bookmarkStart w:id="206" w:name="ref-peng2024flat"/>
    <w:p>
      <w:pPr>
        <w:pStyle w:val="Bibliography"/>
      </w:pPr>
      <w:r>
        <w:t xml:space="preserve">Peng, Shuting, Yulei Han, Yongkai Li, et al. 2025.</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Science China Physics, Mechanics &amp;Amp; Astronomy</w:t>
      </w:r>
      <w:r>
        <w:t xml:space="preserve"> </w:t>
      </w:r>
      <w:r>
        <w:t xml:space="preserve">69: 217412.</w:t>
      </w:r>
      <w:r>
        <w:t xml:space="preserve"> </w:t>
      </w:r>
      <w:hyperlink r:id="rId205">
        <w:r>
          <w:rPr>
            <w:rStyle w:val="Hyperlink"/>
          </w:rPr>
          <w:t xml:space="preserve">https://doi.org/10.1007/s11433-025-2773-3</w:t>
        </w:r>
      </w:hyperlink>
      <w:r>
        <w:t xml:space="preserve">.</w:t>
      </w:r>
    </w:p>
    <w:bookmarkEnd w:id="206"/>
    <w:bookmarkStart w:id="208"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207">
        <w:r>
          <w:rPr>
            <w:rStyle w:val="Hyperlink"/>
          </w:rPr>
          <w:t xml:space="preserve">https://arxiv.org/abs/2212.11855</w:t>
        </w:r>
      </w:hyperlink>
      <w:r>
        <w:t xml:space="preserve">.</w:t>
      </w:r>
    </w:p>
    <w:bookmarkEnd w:id="208"/>
    <w:bookmarkStart w:id="210" w:name="ref-puphal2023single"/>
    <w:p>
      <w:pPr>
        <w:pStyle w:val="Bibliography"/>
      </w:pPr>
      <w:r>
        <w:t xml:space="preserve">Puphal, P., M. Y. P. Akbar, M. Hepting, et al. 2023.</w:t>
      </w:r>
      <w:r>
        <w:t xml:space="preserve"> </w:t>
      </w:r>
      <w:r>
        <w:t xml:space="preserve">“Single Crystal Synthesis, Structure, and Magnetism of Pb$_</w:t>
      </w:r>
      <w:r>
        <w:t xml:space="preserve">10-x</w:t>
      </w:r>
      <w:r>
        <w:t xml:space="preserve">$cu$_x$(</w:t>
      </w:r>
      <w:r>
        <w:t xml:space="preserve">PO</w:t>
      </w:r>
      <w:r>
        <w:t xml:space="preserve">$_4$)$_6$o.”</w:t>
      </w:r>
      <w:r>
        <w:t xml:space="preserve"> </w:t>
      </w:r>
      <w:r>
        <w:rPr>
          <w:i/>
          <w:iCs/>
        </w:rPr>
        <w:t xml:space="preserve">APL Materials</w:t>
      </w:r>
      <w:r>
        <w:t xml:space="preserve"> </w:t>
      </w:r>
      <w:r>
        <w:t xml:space="preserve">11: 101128.</w:t>
      </w:r>
      <w:r>
        <w:t xml:space="preserve"> </w:t>
      </w:r>
      <w:hyperlink r:id="rId209">
        <w:r>
          <w:rPr>
            <w:rStyle w:val="Hyperlink"/>
          </w:rPr>
          <w:t xml:space="preserve">https://doi.org/10.1063/5.0172755</w:t>
        </w:r>
      </w:hyperlink>
      <w:r>
        <w:t xml:space="preserve">.</w:t>
      </w:r>
    </w:p>
    <w:bookmarkEnd w:id="210"/>
    <w:bookmarkStart w:id="212"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211">
        <w:r>
          <w:rPr>
            <w:rStyle w:val="Hyperlink"/>
          </w:rPr>
          <w:t xml:space="preserve">https://doi.org/10.1126/science.aav8645</w:t>
        </w:r>
      </w:hyperlink>
      <w:r>
        <w:t xml:space="preserve">.</w:t>
      </w:r>
    </w:p>
    <w:bookmarkEnd w:id="212"/>
    <w:bookmarkStart w:id="214"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213">
        <w:r>
          <w:rPr>
            <w:rStyle w:val="Hyperlink"/>
          </w:rPr>
          <w:t xml:space="preserve">https://arxiv.org/abs/2608.12465</w:t>
        </w:r>
      </w:hyperlink>
      <w:r>
        <w:t xml:space="preserve">.</w:t>
      </w:r>
    </w:p>
    <w:bookmarkEnd w:id="214"/>
    <w:bookmarkStart w:id="216"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215">
        <w:r>
          <w:rPr>
            <w:rStyle w:val="Hyperlink"/>
          </w:rPr>
          <w:t xml:space="preserve">https://arxiv.org/abs/2608.02753</w:t>
        </w:r>
      </w:hyperlink>
      <w:r>
        <w:t xml:space="preserve">.</w:t>
      </w:r>
    </w:p>
    <w:bookmarkEnd w:id="216"/>
    <w:bookmarkStart w:id="218" w:name="ref-sakakibara2023possible"/>
    <w:p>
      <w:pPr>
        <w:pStyle w:val="Bibliography"/>
      </w:pPr>
      <w:r>
        <w:t xml:space="preserve">Sakakibara, Hirofumi, Naoya Kitamine, Masayuki Ochi, and Kazuhiko Kuroki. 2024.</w:t>
      </w:r>
      <w:r>
        <w:t xml:space="preserve"> </w:t>
      </w:r>
      <w:r>
        <w:t xml:space="preserve">“Possible High $t_c$ Superconductivity in La$_3$ni$_2$o$_7$ Under High Pressure Through Manifestation of a Nearly-Half-Filled Bilayer Hubbard Model.”</w:t>
      </w:r>
      <w:r>
        <w:t xml:space="preserve"> </w:t>
      </w:r>
      <w:r>
        <w:rPr>
          <w:i/>
          <w:iCs/>
        </w:rPr>
        <w:t xml:space="preserve">Physical Review Letters</w:t>
      </w:r>
      <w:r>
        <w:t xml:space="preserve"> </w:t>
      </w:r>
      <w:r>
        <w:t xml:space="preserve">132: 106002.</w:t>
      </w:r>
      <w:r>
        <w:t xml:space="preserve"> </w:t>
      </w:r>
      <w:hyperlink r:id="rId217">
        <w:r>
          <w:rPr>
            <w:rStyle w:val="Hyperlink"/>
          </w:rPr>
          <w:t xml:space="preserve">https://doi.org/10.1103/PhysRevLett.132.106002</w:t>
        </w:r>
      </w:hyperlink>
      <w:r>
        <w:t xml:space="preserve">.</w:t>
      </w:r>
    </w:p>
    <w:bookmarkEnd w:id="218"/>
    <w:bookmarkStart w:id="220"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219">
        <w:r>
          <w:rPr>
            <w:rStyle w:val="Hyperlink"/>
          </w:rPr>
          <w:t xml:space="preserve">https://arxiv.org/abs/2306.06301</w:t>
        </w:r>
      </w:hyperlink>
      <w:r>
        <w:t xml:space="preserve">.</w:t>
      </w:r>
    </w:p>
    <w:bookmarkEnd w:id="220"/>
    <w:bookmarkStart w:id="222" w:name="ref-sanchez2023disordered"/>
    <w:p>
      <w:pPr>
        <w:pStyle w:val="Bibliography"/>
      </w:pPr>
      <w:r>
        <w:t xml:space="preserve">Sánchez, Jazmín Aragón, Raúl Cortés Maldonado, María Lourdes Amigó, Gladys Nieva, Alejandro Kolton, and Yanina Fasano. 2023.</w:t>
      </w:r>
      <w:r>
        <w:t xml:space="preserve"> </w:t>
      </w:r>
      <w:r>
        <w:t xml:space="preserve">“Disordered Hyperuniform Vortex Matter with Rhombic Distortions in</w:t>
      </w:r>
      <w:r>
        <w:t xml:space="preserve"> </w:t>
      </w:r>
      <w:r>
        <w:t xml:space="preserve">FeSe</w:t>
      </w:r>
      <w:r>
        <w:t xml:space="preserve"> </w:t>
      </w:r>
      <w:r>
        <w:t xml:space="preserve">at Low Fields.”</w:t>
      </w:r>
      <w:r>
        <w:t xml:space="preserve"> </w:t>
      </w:r>
      <w:r>
        <w:rPr>
          <w:i/>
          <w:iCs/>
        </w:rPr>
        <w:t xml:space="preserve">Physical Review B</w:t>
      </w:r>
      <w:r>
        <w:t xml:space="preserve"> </w:t>
      </w:r>
      <w:r>
        <w:t xml:space="preserve">107: 094508.</w:t>
      </w:r>
      <w:r>
        <w:t xml:space="preserve"> </w:t>
      </w:r>
      <w:hyperlink r:id="rId221">
        <w:r>
          <w:rPr>
            <w:rStyle w:val="Hyperlink"/>
          </w:rPr>
          <w:t xml:space="preserve">https://doi.org/10.1103/PhysRevB.107.094508</w:t>
        </w:r>
      </w:hyperlink>
      <w:r>
        <w:t xml:space="preserve">.</w:t>
      </w:r>
    </w:p>
    <w:bookmarkEnd w:id="222"/>
    <w:bookmarkStart w:id="224" w:name="ref-sanna2023prediction"/>
    <w:p>
      <w:pPr>
        <w:pStyle w:val="Bibliography"/>
      </w:pPr>
      <w:r>
        <w:t xml:space="preserve">Sanna, Antonio, Tiago F. T. Cerqueira, Yue-Wen Fang, Ion Errea, Alfred Ludwig, and Miguel A. L. Marques. 2024.</w:t>
      </w:r>
      <w:r>
        <w:t xml:space="preserve"> </w:t>
      </w:r>
      <w:r>
        <w:t xml:space="preserve">“Prediction of Ambient Pressure Conventional Superconductivity Above 80K in Thermodynamically Stable Hydride Compounds.”</w:t>
      </w:r>
      <w:r>
        <w:t xml:space="preserve"> </w:t>
      </w:r>
      <w:r>
        <w:rPr>
          <w:i/>
          <w:iCs/>
        </w:rPr>
        <w:t xml:space="preserve">Npj Computational Materials</w:t>
      </w:r>
      <w:r>
        <w:t xml:space="preserve"> </w:t>
      </w:r>
      <w:r>
        <w:t xml:space="preserve">10: 44.</w:t>
      </w:r>
      <w:r>
        <w:t xml:space="preserve"> </w:t>
      </w:r>
      <w:hyperlink r:id="rId223">
        <w:r>
          <w:rPr>
            <w:rStyle w:val="Hyperlink"/>
          </w:rPr>
          <w:t xml:space="preserve">https://doi.org/10.1038/s41524-024-01214-9</w:t>
        </w:r>
      </w:hyperlink>
      <w:r>
        <w:t xml:space="preserve">.</w:t>
      </w:r>
    </w:p>
    <w:bookmarkEnd w:id="224"/>
    <w:bookmarkStart w:id="226" w:name="ref-saykin2022high"/>
    <w:p>
      <w:pPr>
        <w:pStyle w:val="Bibliography"/>
      </w:pPr>
      <w:r>
        <w:t xml:space="preserve">Saykin, David R., Camron Farhang, Erik D. Kountz, et al. 2023.</w:t>
      </w:r>
      <w:r>
        <w:t xml:space="preserve"> </w:t>
      </w:r>
      <w:r>
        <w:t xml:space="preserve">“High Resolution Polar Kerr Effect Studies of</w:t>
      </w:r>
      <w:r>
        <w:t xml:space="preserve"> </w:t>
      </w:r>
      <w:r>
        <w:t xml:space="preserve">CsV</w:t>
      </w:r>
      <w:r>
        <w:t xml:space="preserve">$_3$sb$_5$: Tests for Time Reversal Symmetry Breaking Below the Charge Order Transition.”</w:t>
      </w:r>
      <w:r>
        <w:t xml:space="preserve"> </w:t>
      </w:r>
      <w:r>
        <w:rPr>
          <w:i/>
          <w:iCs/>
        </w:rPr>
        <w:t xml:space="preserve">Physical Review Letters</w:t>
      </w:r>
      <w:r>
        <w:t xml:space="preserve"> </w:t>
      </w:r>
      <w:r>
        <w:t xml:space="preserve">131: 016901.</w:t>
      </w:r>
      <w:r>
        <w:t xml:space="preserve"> </w:t>
      </w:r>
      <w:hyperlink r:id="rId225">
        <w:r>
          <w:rPr>
            <w:rStyle w:val="Hyperlink"/>
          </w:rPr>
          <w:t xml:space="preserve">https://doi.org/10.1103/PhysRevLett.131.016901</w:t>
        </w:r>
      </w:hyperlink>
      <w:r>
        <w:t xml:space="preserve">.</w:t>
      </w:r>
    </w:p>
    <w:bookmarkEnd w:id="226"/>
    <w:bookmarkStart w:id="228"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27">
        <w:r>
          <w:rPr>
            <w:rStyle w:val="Hyperlink"/>
          </w:rPr>
          <w:t xml:space="preserve">https://arxiv.org/abs/2601.03348</w:t>
        </w:r>
      </w:hyperlink>
      <w:r>
        <w:t xml:space="preserve">.</w:t>
      </w:r>
    </w:p>
    <w:bookmarkEnd w:id="228"/>
    <w:bookmarkStart w:id="230"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29">
        <w:r>
          <w:rPr>
            <w:rStyle w:val="Hyperlink"/>
          </w:rPr>
          <w:t xml:space="preserve">https://arxiv.org/abs/2307.11742</w:t>
        </w:r>
      </w:hyperlink>
      <w:r>
        <w:t xml:space="preserve">.</w:t>
      </w:r>
    </w:p>
    <w:bookmarkEnd w:id="230"/>
    <w:bookmarkStart w:id="232"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Physics Letters</w:t>
      </w:r>
      <w:r>
        <w:t xml:space="preserve"> </w:t>
      </w:r>
      <w:r>
        <w:t xml:space="preserve">40: 127401.</w:t>
      </w:r>
      <w:r>
        <w:t xml:space="preserve"> </w:t>
      </w:r>
      <w:hyperlink r:id="rId231">
        <w:r>
          <w:rPr>
            <w:rStyle w:val="Hyperlink"/>
          </w:rPr>
          <w:t xml:space="preserve">https://doi.org/10.1088/0256-307X/40/12/127401</w:t>
        </w:r>
      </w:hyperlink>
      <w:r>
        <w:t xml:space="preserve">.</w:t>
      </w:r>
    </w:p>
    <w:bookmarkEnd w:id="232"/>
    <w:bookmarkStart w:id="234"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33">
        <w:r>
          <w:rPr>
            <w:rStyle w:val="Hyperlink"/>
          </w:rPr>
          <w:t xml:space="preserve">https://doi.org/10.1038/s41586-020-2801-z</w:t>
        </w:r>
      </w:hyperlink>
      <w:r>
        <w:t xml:space="preserve">.</w:t>
      </w:r>
    </w:p>
    <w:bookmarkEnd w:id="234"/>
    <w:bookmarkStart w:id="236"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35">
        <w:r>
          <w:rPr>
            <w:rStyle w:val="Hyperlink"/>
          </w:rPr>
          <w:t xml:space="preserve">https://doi.org/10.1103/PhysRevLett.122.027001</w:t>
        </w:r>
      </w:hyperlink>
      <w:r>
        <w:t xml:space="preserve">.</w:t>
      </w:r>
    </w:p>
    <w:bookmarkEnd w:id="236"/>
    <w:bookmarkStart w:id="238"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37">
        <w:r>
          <w:rPr>
            <w:rStyle w:val="Hyperlink"/>
          </w:rPr>
          <w:t xml:space="preserve">https://arxiv.org/abs/2212.06071</w:t>
        </w:r>
      </w:hyperlink>
      <w:r>
        <w:t xml:space="preserve">.</w:t>
      </w:r>
    </w:p>
    <w:bookmarkEnd w:id="238"/>
    <w:bookmarkStart w:id="240"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39">
        <w:r>
          <w:rPr>
            <w:rStyle w:val="Hyperlink"/>
          </w:rPr>
          <w:t xml:space="preserve">https://arxiv.org/abs/2510.01273</w:t>
        </w:r>
      </w:hyperlink>
      <w:r>
        <w:t xml:space="preserve">.</w:t>
      </w:r>
    </w:p>
    <w:bookmarkEnd w:id="240"/>
    <w:bookmarkStart w:id="242"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41">
        <w:r>
          <w:rPr>
            <w:rStyle w:val="Hyperlink"/>
          </w:rPr>
          <w:t xml:space="preserve">https://doi.org/10.1038/s41524-018-0085-8</w:t>
        </w:r>
      </w:hyperlink>
      <w:r>
        <w:t xml:space="preserve">.</w:t>
      </w:r>
    </w:p>
    <w:bookmarkEnd w:id="242"/>
    <w:bookmarkStart w:id="244"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43">
        <w:r>
          <w:rPr>
            <w:rStyle w:val="Hyperlink"/>
          </w:rPr>
          <w:t xml:space="preserve">https://doi.org/10.1038/s41586-023-06408-7</w:t>
        </w:r>
      </w:hyperlink>
      <w:r>
        <w:t xml:space="preserve">.</w:t>
      </w:r>
    </w:p>
    <w:bookmarkEnd w:id="244"/>
    <w:bookmarkStart w:id="246" w:name="ref-szymanski2023autonomous"/>
    <w:p>
      <w:pPr>
        <w:pStyle w:val="Bibliography"/>
      </w:pPr>
      <w:r>
        <w:t xml:space="preserve">Szymanski, Nathan J., Bernardus Rendy, Yuxing Fei, et al. 2023.</w:t>
      </w:r>
      <w:r>
        <w:t xml:space="preserve"> </w:t>
      </w:r>
      <w:r>
        <w:t xml:space="preserve">“An Autonomous Laboratory for the Accelerated Synthesis of Inorganic Materials.”</w:t>
      </w:r>
      <w:r>
        <w:t xml:space="preserve"> </w:t>
      </w:r>
      <w:r>
        <w:rPr>
          <w:i/>
          <w:iCs/>
        </w:rPr>
        <w:t xml:space="preserve">Nature</w:t>
      </w:r>
      <w:r>
        <w:t xml:space="preserve"> </w:t>
      </w:r>
      <w:r>
        <w:t xml:space="preserve">624: 86–91.</w:t>
      </w:r>
      <w:r>
        <w:t xml:space="preserve"> </w:t>
      </w:r>
      <w:hyperlink r:id="rId245">
        <w:r>
          <w:rPr>
            <w:rStyle w:val="Hyperlink"/>
          </w:rPr>
          <w:t xml:space="preserve">https://doi.org/10.1038/s41586-023-06734-w</w:t>
        </w:r>
      </w:hyperlink>
      <w:r>
        <w:t xml:space="preserve">.</w:t>
      </w:r>
    </w:p>
    <w:bookmarkEnd w:id="246"/>
    <w:bookmarkStart w:id="248"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47">
        <w:r>
          <w:rPr>
            <w:rStyle w:val="Hyperlink"/>
          </w:rPr>
          <w:t xml:space="preserve">https://arxiv.org/abs/2409.12351</w:t>
        </w:r>
      </w:hyperlink>
      <w:r>
        <w:t xml:space="preserve">.</w:t>
      </w:r>
    </w:p>
    <w:bookmarkEnd w:id="248"/>
    <w:bookmarkStart w:id="250"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49">
        <w:r>
          <w:rPr>
            <w:rStyle w:val="Hyperlink"/>
          </w:rPr>
          <w:t xml:space="preserve">https://arxiv.org/abs/2203.04449</w:t>
        </w:r>
      </w:hyperlink>
      <w:r>
        <w:t xml:space="preserve">.</w:t>
      </w:r>
    </w:p>
    <w:bookmarkEnd w:id="250"/>
    <w:bookmarkStart w:id="252"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51">
        <w:r>
          <w:rPr>
            <w:rStyle w:val="Hyperlink"/>
          </w:rPr>
          <w:t xml:space="preserve">https://arxiv.org/abs/2303.08136</w:t>
        </w:r>
      </w:hyperlink>
      <w:r>
        <w:t xml:space="preserve">.</w:t>
      </w:r>
    </w:p>
    <w:bookmarkEnd w:id="252"/>
    <w:bookmarkStart w:id="254" w:name="ref-tran2025superconductor"/>
    <w:p>
      <w:pPr>
        <w:pStyle w:val="Bibliography"/>
      </w:pPr>
      <w:r>
        <w:t xml:space="preserve">Tran, Huan, Hieu-Chi Dam, Christopher Kuenneth, Tuoc N. Vu, and Hiori Kino. 2024.</w:t>
      </w:r>
      <w:r>
        <w:t xml:space="preserve"> </w:t>
      </w:r>
      <w:r>
        <w:t xml:space="preserve">“Superconductor Discovery in the Emerging Paradigm of Materials Informatics.”</w:t>
      </w:r>
      <w:r>
        <w:t xml:space="preserve"> </w:t>
      </w:r>
      <w:r>
        <w:rPr>
          <w:i/>
          <w:iCs/>
        </w:rPr>
        <w:t xml:space="preserve">Chemistry of Materials</w:t>
      </w:r>
      <w:r>
        <w:t xml:space="preserve"> </w:t>
      </w:r>
      <w:r>
        <w:t xml:space="preserve">36: 10939–66.</w:t>
      </w:r>
      <w:r>
        <w:t xml:space="preserve"> </w:t>
      </w:r>
      <w:hyperlink r:id="rId253">
        <w:r>
          <w:rPr>
            <w:rStyle w:val="Hyperlink"/>
          </w:rPr>
          <w:t xml:space="preserve">https://doi.org/10.1021/acs.chemmater.4c01757</w:t>
        </w:r>
      </w:hyperlink>
      <w:r>
        <w:t xml:space="preserve">.</w:t>
      </w:r>
    </w:p>
    <w:bookmarkEnd w:id="254"/>
    <w:bookmarkStart w:id="256" w:name="ref-tsintzis2023roadmap"/>
    <w:p>
      <w:pPr>
        <w:pStyle w:val="Bibliography"/>
      </w:pPr>
      <w:r>
        <w:t xml:space="preserve">Tsintzis, Athanasios, Rubén Seoane Souto, Karsten Flensberg, Jeroen Danon, and Martin Leijnse. 2024.</w:t>
      </w:r>
      <w:r>
        <w:t xml:space="preserve"> </w:t>
      </w:r>
      <w:r>
        <w:t xml:space="preserve">“Roadmap Towards Majorana Qubits and Nonabelian Physics in Quantum Dot-Based Minimal Kitaev Chains.”</w:t>
      </w:r>
      <w:r>
        <w:t xml:space="preserve"> </w:t>
      </w:r>
      <w:r>
        <w:rPr>
          <w:i/>
          <w:iCs/>
        </w:rPr>
        <w:t xml:space="preserve">PRX Quantum</w:t>
      </w:r>
      <w:r>
        <w:t xml:space="preserve"> </w:t>
      </w:r>
      <w:r>
        <w:t xml:space="preserve">5: 010323.</w:t>
      </w:r>
      <w:r>
        <w:t xml:space="preserve"> </w:t>
      </w:r>
      <w:hyperlink r:id="rId255">
        <w:r>
          <w:rPr>
            <w:rStyle w:val="Hyperlink"/>
          </w:rPr>
          <w:t xml:space="preserve">https://doi.org/10.1103/PRXQuantum.5.010323</w:t>
        </w:r>
      </w:hyperlink>
      <w:r>
        <w:t xml:space="preserve">.</w:t>
      </w:r>
    </w:p>
    <w:bookmarkEnd w:id="256"/>
    <w:bookmarkStart w:id="258"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57">
        <w:r>
          <w:rPr>
            <w:rStyle w:val="Hyperlink"/>
          </w:rPr>
          <w:t xml:space="preserve">https://arxiv.org/abs/2211.01376</w:t>
        </w:r>
      </w:hyperlink>
      <w:r>
        <w:t xml:space="preserve">.</w:t>
      </w:r>
    </w:p>
    <w:bookmarkEnd w:id="258"/>
    <w:bookmarkStart w:id="260"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59">
        <w:r>
          <w:rPr>
            <w:rStyle w:val="Hyperlink"/>
          </w:rPr>
          <w:t xml:space="preserve">https://arxiv.org/abs/2406.18807</w:t>
        </w:r>
      </w:hyperlink>
      <w:r>
        <w:t xml:space="preserve">.</w:t>
      </w:r>
    </w:p>
    <w:bookmarkEnd w:id="260"/>
    <w:bookmarkStart w:id="262"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61">
        <w:r>
          <w:rPr>
            <w:rStyle w:val="Hyperlink"/>
          </w:rPr>
          <w:t xml:space="preserve">https://arxiv.org/abs/2209.12646</w:t>
        </w:r>
      </w:hyperlink>
      <w:r>
        <w:t xml:space="preserve">.</w:t>
      </w:r>
    </w:p>
    <w:bookmarkEnd w:id="262"/>
    <w:bookmarkStart w:id="264" w:name="ref-wang2023pressurea"/>
    <w:p>
      <w:pPr>
        <w:pStyle w:val="Bibliography"/>
      </w:pPr>
      <w:r>
        <w:t xml:space="preserve">Wang, Gang, Ningning Wang, Jun Hou, et al. 2024.</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w:t>
      </w:r>
      <w:r>
        <w:t xml:space="preserve"> </w:t>
      </w:r>
      <w:r>
        <w:t xml:space="preserve">14: 011040.</w:t>
      </w:r>
      <w:r>
        <w:t xml:space="preserve"> </w:t>
      </w:r>
      <w:hyperlink r:id="rId263">
        <w:r>
          <w:rPr>
            <w:rStyle w:val="Hyperlink"/>
          </w:rPr>
          <w:t xml:space="preserve">https://doi.org/10.1103/PhysRevX.14.011040</w:t>
        </w:r>
      </w:hyperlink>
      <w:r>
        <w:t xml:space="preserve">.</w:t>
      </w:r>
    </w:p>
    <w:bookmarkEnd w:id="264"/>
    <w:bookmarkStart w:id="266"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65">
        <w:r>
          <w:rPr>
            <w:rStyle w:val="Hyperlink"/>
          </w:rPr>
          <w:t xml:space="preserve">https://arxiv.org/abs/2502.16558</w:t>
        </w:r>
      </w:hyperlink>
      <w:r>
        <w:t xml:space="preserve">.</w:t>
      </w:r>
    </w:p>
    <w:bookmarkEnd w:id="266"/>
    <w:bookmarkStart w:id="268" w:name="ref-wang2026naturebench"/>
    <w:p>
      <w:pPr>
        <w:pStyle w:val="Bibliography"/>
      </w:pPr>
      <w:r>
        <w:t xml:space="preserve">Wang, Yuru, Lejun Cheng, Yuxin Zuo, et al. 2026.</w:t>
      </w:r>
      <w:r>
        <w:t xml:space="preserve"> </w:t>
      </w:r>
      <w:r>
        <w:rPr>
          <w:i/>
          <w:iCs/>
        </w:rPr>
        <w:t xml:space="preserve">NatureBench</w:t>
      </w:r>
      <w:r>
        <w:rPr>
          <w:i/>
          <w:iCs/>
        </w:rPr>
        <w:t xml:space="preserve">: Can Coding Agents Match the Published</w:t>
      </w:r>
      <w:r>
        <w:rPr>
          <w:i/>
          <w:iCs/>
        </w:rPr>
        <w:t xml:space="preserve"> </w:t>
      </w:r>
      <w:r>
        <w:rPr>
          <w:i/>
          <w:iCs/>
        </w:rPr>
        <w:t xml:space="preserve">SOTA</w:t>
      </w:r>
      <w:r>
        <w:rPr>
          <w:i/>
          <w:iCs/>
        </w:rPr>
        <w:t xml:space="preserve"> </w:t>
      </w:r>
      <w:r>
        <w:rPr>
          <w:i/>
          <w:iCs/>
        </w:rPr>
        <w:t xml:space="preserve">of</w:t>
      </w:r>
      <w:r>
        <w:rPr>
          <w:i/>
          <w:iCs/>
        </w:rPr>
        <w:t xml:space="preserve"> </w:t>
      </w:r>
      <w:r>
        <w:rPr>
          <w:i/>
          <w:iCs/>
        </w:rPr>
        <w:t xml:space="preserve">Nature</w:t>
      </w:r>
      <w:r>
        <w:rPr>
          <w:i/>
          <w:iCs/>
        </w:rPr>
        <w:t xml:space="preserve">-Family Papers?</w:t>
      </w:r>
      <w:r>
        <w:t xml:space="preserve"> </w:t>
      </w:r>
      <w:hyperlink r:id="rId267">
        <w:r>
          <w:rPr>
            <w:rStyle w:val="Hyperlink"/>
          </w:rPr>
          <w:t xml:space="preserve">https://arxiv.org/abs/2606.24530</w:t>
        </w:r>
      </w:hyperlink>
      <w:r>
        <w:t xml:space="preserve">.</w:t>
      </w:r>
    </w:p>
    <w:bookmarkEnd w:id="268"/>
    <w:bookmarkStart w:id="270"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w:t>
      </w:r>
      <w:r>
        <w:t xml:space="preserve"> </w:t>
      </w:r>
      <w:r>
        <w:t xml:space="preserve">12: nwaf373.</w:t>
      </w:r>
      <w:r>
        <w:t xml:space="preserve"> </w:t>
      </w:r>
      <w:hyperlink r:id="rId269">
        <w:r>
          <w:rPr>
            <w:rStyle w:val="Hyperlink"/>
          </w:rPr>
          <w:t xml:space="preserve">https://doi.org/10.1093/nsr/nwaf373</w:t>
        </w:r>
      </w:hyperlink>
      <w:r>
        <w:t xml:space="preserve">.</w:t>
      </w:r>
    </w:p>
    <w:bookmarkEnd w:id="270"/>
    <w:bookmarkStart w:id="272"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Applied Physics Reviews</w:t>
      </w:r>
      <w:r>
        <w:t xml:space="preserve"> </w:t>
      </w:r>
      <w:r>
        <w:t xml:space="preserve">10: 041302.</w:t>
      </w:r>
      <w:r>
        <w:t xml:space="preserve"> </w:t>
      </w:r>
      <w:hyperlink r:id="rId271">
        <w:r>
          <w:rPr>
            <w:rStyle w:val="Hyperlink"/>
          </w:rPr>
          <w:t xml:space="preserve">https://doi.org/10.1063/5.0159299</w:t>
        </w:r>
      </w:hyperlink>
      <w:r>
        <w:t xml:space="preserve">.</w:t>
      </w:r>
    </w:p>
    <w:bookmarkEnd w:id="272"/>
    <w:bookmarkStart w:id="274" w:name="ref-wu2023enhanced"/>
    <w:p>
      <w:pPr>
        <w:pStyle w:val="Bibliography"/>
      </w:pPr>
      <w:r>
        <w:t xml:space="preserve">Wu, Z., T. I. Weinberger, J. Chen, et al. 2024.</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Proceedings of the National Academy of Sciences</w:t>
      </w:r>
      <w:r>
        <w:t xml:space="preserve"> </w:t>
      </w:r>
      <w:r>
        <w:t xml:space="preserve">121: e2403067121.</w:t>
      </w:r>
      <w:r>
        <w:t xml:space="preserve"> </w:t>
      </w:r>
      <w:hyperlink r:id="rId273">
        <w:r>
          <w:rPr>
            <w:rStyle w:val="Hyperlink"/>
          </w:rPr>
          <w:t xml:space="preserve">https://doi.org/10.1073/pnas.2403067121</w:t>
        </w:r>
      </w:hyperlink>
      <w:r>
        <w:t xml:space="preserve">.</w:t>
      </w:r>
    </w:p>
    <w:bookmarkEnd w:id="274"/>
    <w:bookmarkStart w:id="276" w:name="ref-xu2023altermagnetic"/>
    <w:p>
      <w:pPr>
        <w:pStyle w:val="Bibliography"/>
      </w:pPr>
      <w:r>
        <w:t xml:space="preserve">Xu, Chenchao, Siqi Wu, Guo-Xiang Zhi, et al. 2025.</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w:t>
      </w:r>
      <w:r>
        <w:t xml:space="preserve"> </w:t>
      </w:r>
      <w:r>
        <w:t xml:space="preserve">16: 3114.</w:t>
      </w:r>
      <w:r>
        <w:t xml:space="preserve"> </w:t>
      </w:r>
      <w:hyperlink r:id="rId275">
        <w:r>
          <w:rPr>
            <w:rStyle w:val="Hyperlink"/>
          </w:rPr>
          <w:t xml:space="preserve">https://doi.org/10.1038/s41467-025-58446-6</w:t>
        </w:r>
      </w:hyperlink>
      <w:r>
        <w:t xml:space="preserve">.</w:t>
      </w:r>
    </w:p>
    <w:bookmarkEnd w:id="276"/>
    <w:bookmarkStart w:id="278" w:name="ref-xu2023coexistence"/>
    <w:p>
      <w:pPr>
        <w:pStyle w:val="Bibliography"/>
      </w:pPr>
      <w:r>
        <w:t xml:space="preserve">Xu, Hao, Chia-Min Chung, Mingpu Qin, Ulrich Schollwöck, Steven R. White, and Shiwei Zhang. 2024.</w:t>
      </w:r>
      <w:r>
        <w:t xml:space="preserve"> </w:t>
      </w:r>
      <w:r>
        <w:t xml:space="preserve">“Coexistence of Superconductivity with Partially Filled Stripes in the Hubbard Model.”</w:t>
      </w:r>
      <w:r>
        <w:t xml:space="preserve"> </w:t>
      </w:r>
      <w:r>
        <w:rPr>
          <w:i/>
          <w:iCs/>
        </w:rPr>
        <w:t xml:space="preserve">Science</w:t>
      </w:r>
      <w:r>
        <w:t xml:space="preserve"> </w:t>
      </w:r>
      <w:r>
        <w:t xml:space="preserve">384: eadh7691.</w:t>
      </w:r>
      <w:r>
        <w:t xml:space="preserve"> </w:t>
      </w:r>
      <w:hyperlink r:id="rId277">
        <w:r>
          <w:rPr>
            <w:rStyle w:val="Hyperlink"/>
          </w:rPr>
          <w:t xml:space="preserve">https://doi.org/10.1126/science.adh7691</w:t>
        </w:r>
      </w:hyperlink>
      <w:r>
        <w:t xml:space="preserve">.</w:t>
      </w:r>
    </w:p>
    <w:bookmarkEnd w:id="278"/>
    <w:bookmarkStart w:id="280" w:name="ref-yang2022superconductivitya"/>
    <w:p>
      <w:pPr>
        <w:pStyle w:val="Bibliography"/>
      </w:pPr>
      <w:r>
        <w:t xml:space="preserve">Yang, Haitao, Yuhan Ye, Zhen Zhao, et al. 2024.</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Nature Communications</w:t>
      </w:r>
      <w:r>
        <w:t xml:space="preserve"> </w:t>
      </w:r>
      <w:r>
        <w:t xml:space="preserve">15: 9626.</w:t>
      </w:r>
      <w:r>
        <w:t xml:space="preserve"> </w:t>
      </w:r>
      <w:hyperlink r:id="rId279">
        <w:r>
          <w:rPr>
            <w:rStyle w:val="Hyperlink"/>
          </w:rPr>
          <w:t xml:space="preserve">https://doi.org/10.1038/s41467-024-53870-6</w:t>
        </w:r>
      </w:hyperlink>
      <w:r>
        <w:t xml:space="preserve">.</w:t>
      </w:r>
    </w:p>
    <w:bookmarkEnd w:id="280"/>
    <w:bookmarkStart w:id="282" w:name="ref-yu2023nontrivial"/>
    <w:p>
      <w:pPr>
        <w:pStyle w:val="Bibliography"/>
      </w:pPr>
      <w:r>
        <w:t xml:space="preserve">Yu, Jiabin, Christopher J. Ciccarino, Raffaello Bianco, Ion Errea, Prineha Narang, and B. Andrei Bernevig. 2024.</w:t>
      </w:r>
      <w:r>
        <w:t xml:space="preserve"> </w:t>
      </w:r>
      <w:r>
        <w:t xml:space="preserve">“Nontrivial Quantum Geometry and the Strength of Electron-Phonon Coupling.”</w:t>
      </w:r>
      <w:r>
        <w:t xml:space="preserve"> </w:t>
      </w:r>
      <w:r>
        <w:rPr>
          <w:i/>
          <w:iCs/>
        </w:rPr>
        <w:t xml:space="preserve">Nature Physics</w:t>
      </w:r>
      <w:r>
        <w:t xml:space="preserve"> </w:t>
      </w:r>
      <w:r>
        <w:t xml:space="preserve">20: 1262–68.</w:t>
      </w:r>
      <w:r>
        <w:t xml:space="preserve"> </w:t>
      </w:r>
      <w:hyperlink r:id="rId281">
        <w:r>
          <w:rPr>
            <w:rStyle w:val="Hyperlink"/>
          </w:rPr>
          <w:t xml:space="preserve">https://doi.org/10.1038/s41567-024-02486-0</w:t>
        </w:r>
      </w:hyperlink>
      <w:r>
        <w:t xml:space="preserve">.</w:t>
      </w:r>
    </w:p>
    <w:bookmarkEnd w:id="282"/>
    <w:bookmarkStart w:id="284" w:name="ref-zeni2025mattergen"/>
    <w:p>
      <w:pPr>
        <w:pStyle w:val="Bibliography"/>
      </w:pPr>
      <w:r>
        <w:t xml:space="preserve">Zeni, Claudio, Robert Pinsler, Daniel Zügner, et al. 2025.</w:t>
      </w:r>
      <w:r>
        <w:t xml:space="preserve"> </w:t>
      </w:r>
      <w:r>
        <w:t xml:space="preserve">“A Generative Model for Inorganic Materials Design.”</w:t>
      </w:r>
      <w:r>
        <w:t xml:space="preserve"> </w:t>
      </w:r>
      <w:r>
        <w:rPr>
          <w:i/>
          <w:iCs/>
        </w:rPr>
        <w:t xml:space="preserve">Nature</w:t>
      </w:r>
      <w:r>
        <w:t xml:space="preserve"> </w:t>
      </w:r>
      <w:r>
        <w:t xml:space="preserve">639: 624–32.</w:t>
      </w:r>
      <w:r>
        <w:t xml:space="preserve"> </w:t>
      </w:r>
      <w:hyperlink r:id="rId283">
        <w:r>
          <w:rPr>
            <w:rStyle w:val="Hyperlink"/>
          </w:rPr>
          <w:t xml:space="preserve">https://doi.org/10.1038/s41586-025-08628-5</w:t>
        </w:r>
      </w:hyperlink>
      <w:r>
        <w:t xml:space="preserve">.</w:t>
      </w:r>
    </w:p>
    <w:bookmarkEnd w:id="284"/>
    <w:bookmarkStart w:id="286" w:name="ref-zhang2023high"/>
    <w:p>
      <w:pPr>
        <w:pStyle w:val="Bibliography"/>
      </w:pPr>
      <w:r>
        <w:t xml:space="preserve">Zhang, Yanan, Dajun Su, Yanen Huang, et al. 2024.</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w:t>
      </w:r>
      <w:r>
        <w:t xml:space="preserve"> </w:t>
      </w:r>
      <w:r>
        <w:t xml:space="preserve">20: 1269–73.</w:t>
      </w:r>
      <w:r>
        <w:t xml:space="preserve"> </w:t>
      </w:r>
      <w:hyperlink r:id="rId285">
        <w:r>
          <w:rPr>
            <w:rStyle w:val="Hyperlink"/>
          </w:rPr>
          <w:t xml:space="preserve">https://doi.org/10.1038/s41567-024-02515-y</w:t>
        </w:r>
      </w:hyperlink>
      <w:r>
        <w:t xml:space="preserve">.</w:t>
      </w:r>
    </w:p>
    <w:bookmarkEnd w:id="286"/>
    <w:bookmarkStart w:id="288"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87">
        <w:r>
          <w:rPr>
            <w:rStyle w:val="Hyperlink"/>
          </w:rPr>
          <w:t xml:space="preserve">https://arxiv.org/abs/2604.18385</w:t>
        </w:r>
      </w:hyperlink>
      <w:r>
        <w:t xml:space="preserve">.</w:t>
      </w:r>
    </w:p>
    <w:bookmarkEnd w:id="288"/>
    <w:bookmarkStart w:id="290" w:name="ref-zhou2024ambient"/>
    <w:p>
      <w:pPr>
        <w:pStyle w:val="Bibliography"/>
      </w:pPr>
      <w:r>
        <w:t xml:space="preserve">Zhou, Guangdi, Wei Lv, Heng Wang, et al. 2025.</w:t>
      </w:r>
      <w:r>
        <w:t xml:space="preserve"> </w:t>
      </w:r>
      <w:r>
        <w:t xml:space="preserve">“Ambient-Pressure Superconductivity Onset Above 40 k in Bilayer Nickelate Ultrathin Films.”</w:t>
      </w:r>
      <w:r>
        <w:t xml:space="preserve"> </w:t>
      </w:r>
      <w:r>
        <w:rPr>
          <w:i/>
          <w:iCs/>
        </w:rPr>
        <w:t xml:space="preserve">Nature</w:t>
      </w:r>
      <w:r>
        <w:t xml:space="preserve"> </w:t>
      </w:r>
      <w:r>
        <w:t xml:space="preserve">640: 641–46.</w:t>
      </w:r>
      <w:r>
        <w:t xml:space="preserve"> </w:t>
      </w:r>
      <w:hyperlink r:id="rId289">
        <w:r>
          <w:rPr>
            <w:rStyle w:val="Hyperlink"/>
          </w:rPr>
          <w:t xml:space="preserve">https://doi.org/10.1038/s41586-025-08755-z</w:t>
        </w:r>
      </w:hyperlink>
      <w:r>
        <w:t xml:space="preserve">.</w:t>
      </w:r>
    </w:p>
    <w:bookmarkEnd w:id="290"/>
    <w:bookmarkStart w:id="292" w:name="ref-zhou2025superconductivity"/>
    <w:p>
      <w:pPr>
        <w:pStyle w:val="Bibliography"/>
      </w:pPr>
      <w:r>
        <w:t xml:space="preserve">Zhou, Guangdi, Heng Wang, Haoliang Huang, et al. 2026.</w:t>
      </w:r>
      <w:r>
        <w:t xml:space="preserve"> </w:t>
      </w:r>
      <w:r>
        <w:t xml:space="preserve">“Superconductivity Onset Above 60 k in Ambient-Pressure Nickelate Films.”</w:t>
      </w:r>
      <w:r>
        <w:t xml:space="preserve"> </w:t>
      </w:r>
      <w:r>
        <w:rPr>
          <w:i/>
          <w:iCs/>
        </w:rPr>
        <w:t xml:space="preserve">National Science Review</w:t>
      </w:r>
      <w:r>
        <w:t xml:space="preserve"> </w:t>
      </w:r>
      <w:r>
        <w:t xml:space="preserve">13: nwag151.</w:t>
      </w:r>
      <w:r>
        <w:t xml:space="preserve"> </w:t>
      </w:r>
      <w:hyperlink r:id="rId291">
        <w:r>
          <w:rPr>
            <w:rStyle w:val="Hyperlink"/>
          </w:rPr>
          <w:t xml:space="preserve">https://doi.org/10.1093/nsr/nwag151</w:t>
        </w:r>
      </w:hyperlink>
      <w:r>
        <w:t xml:space="preserve">.</w:t>
      </w:r>
    </w:p>
    <w:bookmarkEnd w:id="292"/>
    <w:bookmarkStart w:id="294" w:name="ref-zhou2023investigations"/>
    <w:p>
      <w:pPr>
        <w:pStyle w:val="Bibliography"/>
      </w:pPr>
      <w:r>
        <w:t xml:space="preserve">Zhou, Yazhou, Jing Guo, Shu Cai, et al. 2023.</w:t>
      </w:r>
      <w:r>
        <w:t xml:space="preserve"> </w:t>
      </w:r>
      <w:r>
        <w:rPr>
          <w:i/>
          <w:iCs/>
        </w:rPr>
        <w:t xml:space="preserve">Investigations of Key Issues on the Reproducibility of High-Tc Superconductivity Emerging from Compressed</w:t>
      </w:r>
      <w:r>
        <w:rPr>
          <w:i/>
          <w:iCs/>
        </w:rPr>
        <w:t xml:space="preserve"> </w:t>
      </w:r>
      <w:r>
        <w:rPr>
          <w:i/>
          <w:iCs/>
        </w:rPr>
        <w:t xml:space="preserve">La3Ni2O7</w:t>
      </w:r>
      <w:r>
        <w:t xml:space="preserve">.</w:t>
      </w:r>
      <w:r>
        <w:t xml:space="preserve"> </w:t>
      </w:r>
      <w:hyperlink r:id="rId293">
        <w:r>
          <w:rPr>
            <w:rStyle w:val="Hyperlink"/>
          </w:rPr>
          <w:t xml:space="preserve">https://arxiv.org/abs/2311.12361</w:t>
        </w:r>
      </w:hyperlink>
      <w:r>
        <w:t xml:space="preserve">.</w:t>
      </w:r>
    </w:p>
    <w:bookmarkEnd w:id="294"/>
    <w:bookmarkEnd w:id="295"/>
    <w:bookmarkEnd w:id="2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_rels/footnotes.xml.rels><?xml version="1.0" encoding="UTF-8"?><Relationships xmlns="http://schemas.openxmlformats.org/package/2006/relationships"><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Superconductivity: A Systematic Map and Readiness Assessment</dc:title>
  <dc:creator>Mingguang Chen — DeepGrounding — deepgroundingai@gmail.com</dc:creator>
  <cp:keywords/>
  <dcterms:created xsi:type="dcterms:W3CDTF">2026-09-07T19:17:27Z</dcterms:created>
  <dcterms:modified xsi:type="dcterms:W3CDTF">2026-09-07T19:17:27Z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86.3% and 87.0%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the rate-limiting step across material families, contains a single AI-tagged paper. The gap between prediction and measurement is concrete: recent screens advertise candidates above 200 K at 200 GPa, while the one closed prediction-synthesis-measurement loop in the recent literature delivered intermetallics between 2.5 and 6.5 K with no applied pressure reported.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