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42"/>
          <w:szCs w:val="42"/>
        </w:rPr>
      </w:pPr>
      <w:r w:rsidDel="00000000" w:rsidR="00000000" w:rsidRPr="00000000">
        <w:rPr>
          <w:sz w:val="42"/>
          <w:szCs w:val="42"/>
          <w:rtl w:val="0"/>
        </w:rPr>
        <w:t xml:space="preserve">MITRE ATT&amp;CK–Based Purple Team Lab – Synopsis </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before="280" w:lineRule="auto"/>
        <w:rPr/>
      </w:pPr>
      <w:bookmarkStart w:colFirst="0" w:colLast="0" w:name="_s2wq0rtqiaz6" w:id="0"/>
      <w:bookmarkEnd w:id="0"/>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This project aims to develop a lightweight, automated system for threat detection and incident mapping, utilizing the MITRE ATT&amp;CK framework.</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Its primary goal is to streamline the analysis of numerous security alerts by offering a clear, contextual understanding of potential attacks.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solution functions by collecting and analyzing logs from sources such as Windows Sysmon and Linux Syslog, applying detection rules, and then mapping these events to specific attacker tactics and techniques.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system provides an interactive visualization of attack chains on an ATT&amp;CK matrix, prioritizes incidents by severity, and generates reports suitable for compliance purposes.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Ultimately, this project facilitates faster and more effective incident response by converting raw security alerts into actionable intelligence.</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jc w:val="center"/>
        <w:rPr/>
      </w:pPr>
      <w:r w:rsidDel="00000000" w:rsidR="00000000" w:rsidRPr="00000000">
        <w:rPr/>
        <w:drawing>
          <wp:inline distB="114300" distT="114300" distL="114300" distR="114300">
            <wp:extent cx="6106110" cy="3415450"/>
            <wp:effectExtent b="0" l="0" r="0" t="0"/>
            <wp:docPr id="1" name="image1.png"/>
            <a:graphic>
              <a:graphicData uri="http://schemas.openxmlformats.org/drawingml/2006/picture">
                <pic:pic>
                  <pic:nvPicPr>
                    <pic:cNvPr id="0" name="image1.png"/>
                    <pic:cNvPicPr preferRelativeResize="0"/>
                  </pic:nvPicPr>
                  <pic:blipFill>
                    <a:blip r:embed="rId6"/>
                    <a:srcRect b="1336" l="0" r="6730" t="1858"/>
                    <a:stretch>
                      <a:fillRect/>
                    </a:stretch>
                  </pic:blipFill>
                  <pic:spPr>
                    <a:xfrm>
                      <a:off x="0" y="0"/>
                      <a:ext cx="6106110" cy="34154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before="280" w:lineRule="auto"/>
        <w:rPr/>
      </w:pPr>
      <w:bookmarkStart w:colFirst="0" w:colLast="0" w:name="_70d7arnl83co" w:id="1"/>
      <w:bookmarkEnd w:id="1"/>
      <w:r w:rsidDel="00000000" w:rsidR="00000000" w:rsidRPr="00000000">
        <w:rPr>
          <w:rtl w:val="0"/>
        </w:rPr>
        <w:t xml:space="preserve">Objectives </w:t>
      </w:r>
    </w:p>
    <w:p w:rsidR="00000000" w:rsidDel="00000000" w:rsidP="00000000" w:rsidRDefault="00000000" w:rsidRPr="00000000" w14:paraId="0000000A">
      <w:pPr>
        <w:spacing w:after="240" w:before="240" w:lineRule="auto"/>
        <w:rPr>
          <w:rFonts w:ascii="Aptos" w:cs="Aptos" w:eastAsia="Aptos" w:hAnsi="Aptos"/>
          <w:b w:val="0"/>
          <w:i w:val="0"/>
          <w:smallCaps w:val="0"/>
          <w:strike w:val="0"/>
          <w:color w:val="000000"/>
          <w:u w:val="none"/>
          <w:shd w:fill="auto" w:val="clear"/>
          <w:vertAlign w:val="baseline"/>
        </w:rPr>
      </w:pPr>
      <w:r w:rsidDel="00000000" w:rsidR="00000000" w:rsidRPr="00000000">
        <w:rPr>
          <w:rtl w:val="0"/>
        </w:rPr>
        <w:t xml:space="preserve">The project has several key objectives:</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Automated Detection &amp; Mapping:</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Automatically detect security events and map them to MITRE ATT&amp;CK tactics and techniques.</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Log Collection &amp; Normalization:</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Gather and standardize logs from Windows Sysmon and Linux Syslog.</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Severity-Based Prioritization:</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Assign severity scores to incidents for effective prioritization of high-risk events.</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Interactive Visualization:</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Present results through an interactive matrix and attack path view.</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ATT&amp;CK-Referenced Reporting:</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Generate reports referenced against ATT&amp;CK for documentation and compliance purposes.</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Custom Rule Support:</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Allow for custom detection rules to expand coverage for unique organizational scenarios.</w:t>
      </w:r>
      <w:r w:rsidDel="00000000" w:rsidR="00000000" w:rsidRPr="00000000">
        <w:rPr>
          <w:rtl w:val="0"/>
        </w:rPr>
      </w:r>
    </w:p>
    <w:p w:rsidR="00000000" w:rsidDel="00000000" w:rsidP="00000000" w:rsidRDefault="00000000" w:rsidRPr="00000000" w14:paraId="0000001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before="280" w:lineRule="auto"/>
        <w:rPr/>
      </w:pPr>
      <w:bookmarkStart w:colFirst="0" w:colLast="0" w:name="_cy8qwn3nsxdj" w:id="2"/>
      <w:bookmarkEnd w:id="2"/>
      <w:r w:rsidDel="00000000" w:rsidR="00000000" w:rsidRPr="00000000">
        <w:rPr>
          <w:rtl w:val="0"/>
        </w:rPr>
        <w:t xml:space="preserve">Scope</w:t>
      </w:r>
      <w:r w:rsidDel="00000000" w:rsidR="00000000" w:rsidRPr="00000000">
        <w:rPr>
          <w:rtl w:val="0"/>
        </w:rPr>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In-Scope:</w:t>
      </w:r>
    </w:p>
    <w:p w:rsidR="00000000" w:rsidDel="00000000" w:rsidP="00000000" w:rsidRDefault="00000000" w:rsidRPr="00000000" w14:paraId="00000014">
      <w:pPr>
        <w:numPr>
          <w:ilvl w:val="0"/>
          <w:numId w:val="2"/>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Implementation of selected MITRE ATT&amp;CK techniques:</w:t>
      </w:r>
      <w:r w:rsidDel="00000000" w:rsidR="00000000" w:rsidRPr="00000000">
        <w:rPr>
          <w:rtl w:val="0"/>
        </w:rPr>
      </w:r>
    </w:p>
    <w:p w:rsidR="00000000" w:rsidDel="00000000" w:rsidP="00000000" w:rsidRDefault="00000000" w:rsidRPr="00000000" w14:paraId="00000015">
      <w:pPr>
        <w:numPr>
          <w:ilvl w:val="1"/>
          <w:numId w:val="2"/>
        </w:numPr>
        <w:spacing w:after="0" w:afterAutospacing="0" w:before="0" w:beforeAutospacing="0" w:lineRule="auto"/>
        <w:ind w:left="1440" w:hanging="360"/>
        <w:rPr>
          <w:rFonts w:ascii="Arial" w:cs="Arial" w:eastAsia="Arial" w:hAnsi="Arial"/>
          <w:b w:val="1"/>
          <w:sz w:val="26"/>
          <w:szCs w:val="26"/>
          <w:u w:val="none"/>
        </w:rPr>
      </w:pPr>
      <w:r w:rsidDel="00000000" w:rsidR="00000000" w:rsidRPr="00000000">
        <w:rPr>
          <w:rFonts w:ascii="Arial" w:cs="Arial" w:eastAsia="Arial" w:hAnsi="Arial"/>
          <w:b w:val="1"/>
          <w:sz w:val="26"/>
          <w:szCs w:val="26"/>
          <w:rtl w:val="0"/>
        </w:rPr>
        <w:t xml:space="preserve">Reconnaissance (TA0043)</w:t>
      </w:r>
    </w:p>
    <w:p w:rsidR="00000000" w:rsidDel="00000000" w:rsidP="00000000" w:rsidRDefault="00000000" w:rsidRPr="00000000" w14:paraId="00000016">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Gather Victim Identity Information (T1589)</w:t>
      </w:r>
    </w:p>
    <w:p w:rsidR="00000000" w:rsidDel="00000000" w:rsidP="00000000" w:rsidRDefault="00000000" w:rsidRPr="00000000" w14:paraId="00000017">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Credentials (T1589.001)</w:t>
      </w:r>
    </w:p>
    <w:p w:rsidR="00000000" w:rsidDel="00000000" w:rsidP="00000000" w:rsidRDefault="00000000" w:rsidRPr="00000000" w14:paraId="00000018">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Email Addresses (T1589.002)</w:t>
      </w:r>
    </w:p>
    <w:p w:rsidR="00000000" w:rsidDel="00000000" w:rsidP="00000000" w:rsidRDefault="00000000" w:rsidRPr="00000000" w14:paraId="00000019">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Employee Names (T1589.003)</w:t>
      </w:r>
    </w:p>
    <w:p w:rsidR="00000000" w:rsidDel="00000000" w:rsidP="00000000" w:rsidRDefault="00000000" w:rsidRPr="00000000" w14:paraId="0000001A">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Search Open Technical Databases (T1596)</w:t>
      </w:r>
    </w:p>
    <w:p w:rsidR="00000000" w:rsidDel="00000000" w:rsidP="00000000" w:rsidRDefault="00000000" w:rsidRPr="00000000" w14:paraId="0000001B">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DNS/Passive DNS (T1596.001)</w:t>
      </w:r>
    </w:p>
    <w:p w:rsidR="00000000" w:rsidDel="00000000" w:rsidP="00000000" w:rsidRDefault="00000000" w:rsidRPr="00000000" w14:paraId="0000001C">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WHOIS (T1596.002)</w:t>
      </w:r>
    </w:p>
    <w:p w:rsidR="00000000" w:rsidDel="00000000" w:rsidP="00000000" w:rsidRDefault="00000000" w:rsidRPr="00000000" w14:paraId="0000001D">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Digital Certificate (T1596.004)</w:t>
      </w:r>
    </w:p>
    <w:p w:rsidR="00000000" w:rsidDel="00000000" w:rsidP="00000000" w:rsidRDefault="00000000" w:rsidRPr="00000000" w14:paraId="0000001E">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CDNs (T1596.005)</w:t>
      </w:r>
    </w:p>
    <w:p w:rsidR="00000000" w:rsidDel="00000000" w:rsidP="00000000" w:rsidRDefault="00000000" w:rsidRPr="00000000" w14:paraId="0000001F">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Scan Databases (T1596.006)</w:t>
      </w:r>
    </w:p>
    <w:p w:rsidR="00000000" w:rsidDel="00000000" w:rsidP="00000000" w:rsidRDefault="00000000" w:rsidRPr="00000000" w14:paraId="00000020">
      <w:pPr>
        <w:pStyle w:val="Heading3"/>
        <w:keepNext w:val="0"/>
        <w:keepLines w:val="0"/>
        <w:numPr>
          <w:ilvl w:val="1"/>
          <w:numId w:val="2"/>
        </w:numPr>
        <w:spacing w:after="0" w:afterAutospacing="0" w:before="0" w:beforeAutospacing="0" w:lineRule="auto"/>
        <w:ind w:left="1440" w:hanging="360"/>
        <w:rPr>
          <w:rFonts w:ascii="Arial" w:cs="Arial" w:eastAsia="Arial" w:hAnsi="Arial"/>
          <w:b w:val="1"/>
          <w:color w:val="000000"/>
          <w:sz w:val="26"/>
          <w:szCs w:val="26"/>
          <w:u w:val="none"/>
        </w:rPr>
      </w:pPr>
      <w:bookmarkStart w:colFirst="0" w:colLast="0" w:name="_pljn8j11lku6" w:id="3"/>
      <w:bookmarkEnd w:id="3"/>
      <w:r w:rsidDel="00000000" w:rsidR="00000000" w:rsidRPr="00000000">
        <w:rPr>
          <w:rFonts w:ascii="Arial" w:cs="Arial" w:eastAsia="Arial" w:hAnsi="Arial"/>
          <w:b w:val="1"/>
          <w:color w:val="000000"/>
          <w:sz w:val="26"/>
          <w:szCs w:val="26"/>
          <w:rtl w:val="0"/>
        </w:rPr>
        <w:t xml:space="preserve">Resource Development (TA0042)</w:t>
      </w:r>
    </w:p>
    <w:p w:rsidR="00000000" w:rsidDel="00000000" w:rsidP="00000000" w:rsidRDefault="00000000" w:rsidRPr="00000000" w14:paraId="00000021">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Compromise Accounts (T1586)</w:t>
      </w:r>
    </w:p>
    <w:p w:rsidR="00000000" w:rsidDel="00000000" w:rsidP="00000000" w:rsidRDefault="00000000" w:rsidRPr="00000000" w14:paraId="00000022">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Social Media Account (T1586.001)</w:t>
      </w:r>
    </w:p>
    <w:p w:rsidR="00000000" w:rsidDel="00000000" w:rsidP="00000000" w:rsidRDefault="00000000" w:rsidRPr="00000000" w14:paraId="00000023">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Email Account (T1586.002)</w:t>
      </w:r>
    </w:p>
    <w:p w:rsidR="00000000" w:rsidDel="00000000" w:rsidP="00000000" w:rsidRDefault="00000000" w:rsidRPr="00000000" w14:paraId="00000024">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Cloud Account (T1586.003)</w:t>
      </w:r>
    </w:p>
    <w:p w:rsidR="00000000" w:rsidDel="00000000" w:rsidP="00000000" w:rsidRDefault="00000000" w:rsidRPr="00000000" w14:paraId="00000025">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Establish Accounts (T1585)</w:t>
      </w:r>
    </w:p>
    <w:p w:rsidR="00000000" w:rsidDel="00000000" w:rsidP="00000000" w:rsidRDefault="00000000" w:rsidRPr="00000000" w14:paraId="00000026">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Social Media Account (T1585.001)</w:t>
      </w:r>
    </w:p>
    <w:p w:rsidR="00000000" w:rsidDel="00000000" w:rsidP="00000000" w:rsidRDefault="00000000" w:rsidRPr="00000000" w14:paraId="00000027">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Email Account (T1585.002)</w:t>
      </w:r>
    </w:p>
    <w:p w:rsidR="00000000" w:rsidDel="00000000" w:rsidP="00000000" w:rsidRDefault="00000000" w:rsidRPr="00000000" w14:paraId="00000028">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Cloud Account (T1585.003)</w:t>
      </w:r>
    </w:p>
    <w:p w:rsidR="00000000" w:rsidDel="00000000" w:rsidP="00000000" w:rsidRDefault="00000000" w:rsidRPr="00000000" w14:paraId="00000029">
      <w:pPr>
        <w:pStyle w:val="Heading3"/>
        <w:keepNext w:val="0"/>
        <w:keepLines w:val="0"/>
        <w:numPr>
          <w:ilvl w:val="1"/>
          <w:numId w:val="2"/>
        </w:numPr>
        <w:spacing w:after="0" w:afterAutospacing="0" w:before="0" w:beforeAutospacing="0" w:lineRule="auto"/>
        <w:ind w:left="1440" w:hanging="360"/>
        <w:rPr>
          <w:rFonts w:ascii="Arial" w:cs="Arial" w:eastAsia="Arial" w:hAnsi="Arial"/>
          <w:b w:val="1"/>
          <w:color w:val="000000"/>
          <w:sz w:val="26"/>
          <w:szCs w:val="26"/>
          <w:u w:val="none"/>
        </w:rPr>
      </w:pPr>
      <w:bookmarkStart w:colFirst="0" w:colLast="0" w:name="_4nm2svgfyd47" w:id="4"/>
      <w:bookmarkEnd w:id="4"/>
      <w:r w:rsidDel="00000000" w:rsidR="00000000" w:rsidRPr="00000000">
        <w:rPr>
          <w:rFonts w:ascii="Arial" w:cs="Arial" w:eastAsia="Arial" w:hAnsi="Arial"/>
          <w:b w:val="1"/>
          <w:color w:val="000000"/>
          <w:sz w:val="26"/>
          <w:szCs w:val="26"/>
          <w:rtl w:val="0"/>
        </w:rPr>
        <w:t xml:space="preserve">Initial Access (TA0001)</w:t>
      </w:r>
    </w:p>
    <w:p w:rsidR="00000000" w:rsidDel="00000000" w:rsidP="00000000" w:rsidRDefault="00000000" w:rsidRPr="00000000" w14:paraId="0000002A">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Content Injection (T1659)</w:t>
      </w:r>
    </w:p>
    <w:p w:rsidR="00000000" w:rsidDel="00000000" w:rsidP="00000000" w:rsidRDefault="00000000" w:rsidRPr="00000000" w14:paraId="0000002B">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Wi-Fi Networks (T1498)</w:t>
      </w:r>
    </w:p>
    <w:p w:rsidR="00000000" w:rsidDel="00000000" w:rsidP="00000000" w:rsidRDefault="00000000" w:rsidRPr="00000000" w14:paraId="0000002C">
      <w:pPr>
        <w:pStyle w:val="Heading3"/>
        <w:keepNext w:val="0"/>
        <w:keepLines w:val="0"/>
        <w:numPr>
          <w:ilvl w:val="1"/>
          <w:numId w:val="2"/>
        </w:numPr>
        <w:spacing w:after="0" w:afterAutospacing="0" w:before="0" w:beforeAutospacing="0" w:lineRule="auto"/>
        <w:ind w:left="1440" w:hanging="360"/>
        <w:rPr>
          <w:rFonts w:ascii="Arial" w:cs="Arial" w:eastAsia="Arial" w:hAnsi="Arial"/>
          <w:b w:val="1"/>
          <w:color w:val="000000"/>
          <w:sz w:val="26"/>
          <w:szCs w:val="26"/>
          <w:u w:val="none"/>
        </w:rPr>
      </w:pPr>
      <w:bookmarkStart w:colFirst="0" w:colLast="0" w:name="_4ox7t2v0frp4" w:id="5"/>
      <w:bookmarkEnd w:id="5"/>
      <w:r w:rsidDel="00000000" w:rsidR="00000000" w:rsidRPr="00000000">
        <w:rPr>
          <w:rFonts w:ascii="Arial" w:cs="Arial" w:eastAsia="Arial" w:hAnsi="Arial"/>
          <w:b w:val="1"/>
          <w:color w:val="000000"/>
          <w:sz w:val="26"/>
          <w:szCs w:val="26"/>
          <w:rtl w:val="0"/>
        </w:rPr>
        <w:t xml:space="preserve">Execution (TA0002)</w:t>
      </w:r>
    </w:p>
    <w:p w:rsidR="00000000" w:rsidDel="00000000" w:rsidP="00000000" w:rsidRDefault="00000000" w:rsidRPr="00000000" w14:paraId="0000002D">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User Execution (T1204)</w:t>
      </w:r>
    </w:p>
    <w:p w:rsidR="00000000" w:rsidDel="00000000" w:rsidP="00000000" w:rsidRDefault="00000000" w:rsidRPr="00000000" w14:paraId="0000002E">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Malicious Link (T1204.001)</w:t>
      </w:r>
    </w:p>
    <w:p w:rsidR="00000000" w:rsidDel="00000000" w:rsidP="00000000" w:rsidRDefault="00000000" w:rsidRPr="00000000" w14:paraId="0000002F">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Malicious File (T1204.002)</w:t>
      </w:r>
    </w:p>
    <w:p w:rsidR="00000000" w:rsidDel="00000000" w:rsidP="00000000" w:rsidRDefault="00000000" w:rsidRPr="00000000" w14:paraId="00000030">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Malicious Image (T1204.003)</w:t>
      </w:r>
    </w:p>
    <w:p w:rsidR="00000000" w:rsidDel="00000000" w:rsidP="00000000" w:rsidRDefault="00000000" w:rsidRPr="00000000" w14:paraId="00000031">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Malicious Copy and Paste (T1204.004)</w:t>
      </w:r>
    </w:p>
    <w:p w:rsidR="00000000" w:rsidDel="00000000" w:rsidP="00000000" w:rsidRDefault="00000000" w:rsidRPr="00000000" w14:paraId="00000032">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Input Injection (T1056)</w:t>
      </w:r>
    </w:p>
    <w:p w:rsidR="00000000" w:rsidDel="00000000" w:rsidP="00000000" w:rsidRDefault="00000000" w:rsidRPr="00000000" w14:paraId="00000033">
      <w:pPr>
        <w:pStyle w:val="Heading3"/>
        <w:keepNext w:val="0"/>
        <w:keepLines w:val="0"/>
        <w:numPr>
          <w:ilvl w:val="1"/>
          <w:numId w:val="2"/>
        </w:numPr>
        <w:spacing w:after="0" w:afterAutospacing="0" w:before="0" w:beforeAutospacing="0" w:lineRule="auto"/>
        <w:ind w:left="1440" w:hanging="360"/>
        <w:rPr>
          <w:rFonts w:ascii="Arial" w:cs="Arial" w:eastAsia="Arial" w:hAnsi="Arial"/>
          <w:b w:val="1"/>
          <w:color w:val="000000"/>
          <w:sz w:val="26"/>
          <w:szCs w:val="26"/>
          <w:u w:val="none"/>
        </w:rPr>
      </w:pPr>
      <w:bookmarkStart w:colFirst="0" w:colLast="0" w:name="_ail4xx6awn55" w:id="6"/>
      <w:bookmarkEnd w:id="6"/>
      <w:r w:rsidDel="00000000" w:rsidR="00000000" w:rsidRPr="00000000">
        <w:rPr>
          <w:rFonts w:ascii="Arial" w:cs="Arial" w:eastAsia="Arial" w:hAnsi="Arial"/>
          <w:b w:val="1"/>
          <w:color w:val="000000"/>
          <w:sz w:val="26"/>
          <w:szCs w:val="26"/>
          <w:rtl w:val="0"/>
        </w:rPr>
        <w:t xml:space="preserve">Persistence (TA0003)</w:t>
      </w:r>
    </w:p>
    <w:p w:rsidR="00000000" w:rsidDel="00000000" w:rsidP="00000000" w:rsidRDefault="00000000" w:rsidRPr="00000000" w14:paraId="00000034">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External Remote Services (T1133)</w:t>
      </w:r>
    </w:p>
    <w:p w:rsidR="00000000" w:rsidDel="00000000" w:rsidP="00000000" w:rsidRDefault="00000000" w:rsidRPr="00000000" w14:paraId="00000035">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Create Account (T1136)</w:t>
      </w:r>
    </w:p>
    <w:p w:rsidR="00000000" w:rsidDel="00000000" w:rsidP="00000000" w:rsidRDefault="00000000" w:rsidRPr="00000000" w14:paraId="00000036">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Local Account (T1136.001)</w:t>
      </w:r>
    </w:p>
    <w:p w:rsidR="00000000" w:rsidDel="00000000" w:rsidP="00000000" w:rsidRDefault="00000000" w:rsidRPr="00000000" w14:paraId="00000037">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Domain Account (T1136.002)</w:t>
      </w:r>
    </w:p>
    <w:p w:rsidR="00000000" w:rsidDel="00000000" w:rsidP="00000000" w:rsidRDefault="00000000" w:rsidRPr="00000000" w14:paraId="00000038">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Cloud Account (T1136.003)</w:t>
      </w:r>
    </w:p>
    <w:p w:rsidR="00000000" w:rsidDel="00000000" w:rsidP="00000000" w:rsidRDefault="00000000" w:rsidRPr="00000000" w14:paraId="00000039">
      <w:pPr>
        <w:pStyle w:val="Heading3"/>
        <w:keepNext w:val="0"/>
        <w:keepLines w:val="0"/>
        <w:numPr>
          <w:ilvl w:val="1"/>
          <w:numId w:val="2"/>
        </w:numPr>
        <w:spacing w:after="0" w:afterAutospacing="0" w:before="0" w:beforeAutospacing="0" w:lineRule="auto"/>
        <w:ind w:left="1440" w:hanging="360"/>
        <w:rPr>
          <w:rFonts w:ascii="Arial" w:cs="Arial" w:eastAsia="Arial" w:hAnsi="Arial"/>
          <w:b w:val="1"/>
          <w:color w:val="000000"/>
          <w:sz w:val="26"/>
          <w:szCs w:val="26"/>
          <w:u w:val="none"/>
        </w:rPr>
      </w:pPr>
      <w:bookmarkStart w:colFirst="0" w:colLast="0" w:name="_wxjv7z84o81v" w:id="7"/>
      <w:bookmarkEnd w:id="7"/>
      <w:r w:rsidDel="00000000" w:rsidR="00000000" w:rsidRPr="00000000">
        <w:rPr>
          <w:rFonts w:ascii="Arial" w:cs="Arial" w:eastAsia="Arial" w:hAnsi="Arial"/>
          <w:b w:val="1"/>
          <w:color w:val="000000"/>
          <w:sz w:val="26"/>
          <w:szCs w:val="26"/>
          <w:rtl w:val="0"/>
        </w:rPr>
        <w:t xml:space="preserve">Privilege Escalation (TA0004)</w:t>
      </w:r>
    </w:p>
    <w:p w:rsidR="00000000" w:rsidDel="00000000" w:rsidP="00000000" w:rsidRDefault="00000000" w:rsidRPr="00000000" w14:paraId="0000003A">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Valid Accounts (T1078)</w:t>
      </w:r>
    </w:p>
    <w:p w:rsidR="00000000" w:rsidDel="00000000" w:rsidP="00000000" w:rsidRDefault="00000000" w:rsidRPr="00000000" w14:paraId="0000003B">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Default Account (T1078.001)</w:t>
      </w:r>
    </w:p>
    <w:p w:rsidR="00000000" w:rsidDel="00000000" w:rsidP="00000000" w:rsidRDefault="00000000" w:rsidRPr="00000000" w14:paraId="0000003C">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Domain Account (T1078.002)</w:t>
      </w:r>
    </w:p>
    <w:p w:rsidR="00000000" w:rsidDel="00000000" w:rsidP="00000000" w:rsidRDefault="00000000" w:rsidRPr="00000000" w14:paraId="0000003D">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Local Account (T1078.003)</w:t>
      </w:r>
    </w:p>
    <w:p w:rsidR="00000000" w:rsidDel="00000000" w:rsidP="00000000" w:rsidRDefault="00000000" w:rsidRPr="00000000" w14:paraId="0000003E">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Cloud Account (T1078.004)</w:t>
      </w:r>
    </w:p>
    <w:p w:rsidR="00000000" w:rsidDel="00000000" w:rsidP="00000000" w:rsidRDefault="00000000" w:rsidRPr="00000000" w14:paraId="0000003F">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Escape to Host (T1210)</w:t>
      </w:r>
    </w:p>
    <w:p w:rsidR="00000000" w:rsidDel="00000000" w:rsidP="00000000" w:rsidRDefault="00000000" w:rsidRPr="00000000" w14:paraId="00000040">
      <w:pPr>
        <w:pStyle w:val="Heading3"/>
        <w:keepNext w:val="0"/>
        <w:keepLines w:val="0"/>
        <w:numPr>
          <w:ilvl w:val="1"/>
          <w:numId w:val="2"/>
        </w:numPr>
        <w:spacing w:after="0" w:afterAutospacing="0" w:before="0" w:beforeAutospacing="0" w:lineRule="auto"/>
        <w:ind w:left="1440" w:hanging="360"/>
        <w:rPr>
          <w:rFonts w:ascii="Arial" w:cs="Arial" w:eastAsia="Arial" w:hAnsi="Arial"/>
          <w:b w:val="1"/>
          <w:color w:val="000000"/>
          <w:sz w:val="26"/>
          <w:szCs w:val="26"/>
          <w:u w:val="none"/>
        </w:rPr>
      </w:pPr>
      <w:bookmarkStart w:colFirst="0" w:colLast="0" w:name="_q08a0vg6ac9p" w:id="8"/>
      <w:bookmarkEnd w:id="8"/>
      <w:r w:rsidDel="00000000" w:rsidR="00000000" w:rsidRPr="00000000">
        <w:rPr>
          <w:rFonts w:ascii="Arial" w:cs="Arial" w:eastAsia="Arial" w:hAnsi="Arial"/>
          <w:b w:val="1"/>
          <w:color w:val="000000"/>
          <w:sz w:val="26"/>
          <w:szCs w:val="26"/>
          <w:rtl w:val="0"/>
        </w:rPr>
        <w:t xml:space="preserve">Defense Evasion (TA0005)</w:t>
      </w:r>
    </w:p>
    <w:p w:rsidR="00000000" w:rsidDel="00000000" w:rsidP="00000000" w:rsidRDefault="00000000" w:rsidRPr="00000000" w14:paraId="00000041">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Email Spoofing (T1566.001)</w:t>
      </w:r>
    </w:p>
    <w:p w:rsidR="00000000" w:rsidDel="00000000" w:rsidP="00000000" w:rsidRDefault="00000000" w:rsidRPr="00000000" w14:paraId="00000042">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Impersonation (T1464)</w:t>
      </w:r>
    </w:p>
    <w:p w:rsidR="00000000" w:rsidDel="00000000" w:rsidP="00000000" w:rsidRDefault="00000000" w:rsidRPr="00000000" w14:paraId="00000043">
      <w:pPr>
        <w:pStyle w:val="Heading3"/>
        <w:keepNext w:val="0"/>
        <w:keepLines w:val="0"/>
        <w:numPr>
          <w:ilvl w:val="1"/>
          <w:numId w:val="2"/>
        </w:numPr>
        <w:spacing w:after="0" w:afterAutospacing="0" w:before="0" w:beforeAutospacing="0" w:lineRule="auto"/>
        <w:ind w:left="1440" w:hanging="360"/>
        <w:rPr>
          <w:rFonts w:ascii="Arial" w:cs="Arial" w:eastAsia="Arial" w:hAnsi="Arial"/>
          <w:b w:val="1"/>
          <w:color w:val="000000"/>
          <w:sz w:val="26"/>
          <w:szCs w:val="26"/>
          <w:u w:val="none"/>
        </w:rPr>
      </w:pPr>
      <w:bookmarkStart w:colFirst="0" w:colLast="0" w:name="_vk2gg1z7hdsc" w:id="9"/>
      <w:bookmarkEnd w:id="9"/>
      <w:r w:rsidDel="00000000" w:rsidR="00000000" w:rsidRPr="00000000">
        <w:rPr>
          <w:rFonts w:ascii="Arial" w:cs="Arial" w:eastAsia="Arial" w:hAnsi="Arial"/>
          <w:b w:val="1"/>
          <w:color w:val="000000"/>
          <w:sz w:val="26"/>
          <w:szCs w:val="26"/>
          <w:rtl w:val="0"/>
        </w:rPr>
        <w:t xml:space="preserve">Credential Access (TA0006)</w:t>
      </w:r>
    </w:p>
    <w:p w:rsidR="00000000" w:rsidDel="00000000" w:rsidP="00000000" w:rsidRDefault="00000000" w:rsidRPr="00000000" w14:paraId="00000044">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Brute Force (T1110)</w:t>
      </w:r>
    </w:p>
    <w:p w:rsidR="00000000" w:rsidDel="00000000" w:rsidP="00000000" w:rsidRDefault="00000000" w:rsidRPr="00000000" w14:paraId="00000045">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Password Guessing (T1110.001)</w:t>
      </w:r>
    </w:p>
    <w:p w:rsidR="00000000" w:rsidDel="00000000" w:rsidP="00000000" w:rsidRDefault="00000000" w:rsidRPr="00000000" w14:paraId="00000046">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Password Cracking (T1110.002)</w:t>
      </w:r>
    </w:p>
    <w:p w:rsidR="00000000" w:rsidDel="00000000" w:rsidP="00000000" w:rsidRDefault="00000000" w:rsidRPr="00000000" w14:paraId="00000047">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Password Spraying (T1110.003)</w:t>
      </w:r>
    </w:p>
    <w:p w:rsidR="00000000" w:rsidDel="00000000" w:rsidP="00000000" w:rsidRDefault="00000000" w:rsidRPr="00000000" w14:paraId="00000048">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Credential Stuffing (T1110.004)</w:t>
      </w:r>
    </w:p>
    <w:p w:rsidR="00000000" w:rsidDel="00000000" w:rsidP="00000000" w:rsidRDefault="00000000" w:rsidRPr="00000000" w14:paraId="00000049">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Forced Authentication (T1187)</w:t>
      </w:r>
    </w:p>
    <w:p w:rsidR="00000000" w:rsidDel="00000000" w:rsidP="00000000" w:rsidRDefault="00000000" w:rsidRPr="00000000" w14:paraId="0000004A">
      <w:pPr>
        <w:pStyle w:val="Heading3"/>
        <w:keepNext w:val="0"/>
        <w:keepLines w:val="0"/>
        <w:numPr>
          <w:ilvl w:val="1"/>
          <w:numId w:val="2"/>
        </w:numPr>
        <w:spacing w:after="0" w:afterAutospacing="0" w:before="0" w:beforeAutospacing="0" w:lineRule="auto"/>
        <w:ind w:left="1440" w:hanging="360"/>
        <w:rPr>
          <w:rFonts w:ascii="Arial" w:cs="Arial" w:eastAsia="Arial" w:hAnsi="Arial"/>
          <w:b w:val="1"/>
          <w:color w:val="000000"/>
          <w:sz w:val="26"/>
          <w:szCs w:val="26"/>
          <w:u w:val="none"/>
        </w:rPr>
      </w:pPr>
      <w:bookmarkStart w:colFirst="0" w:colLast="0" w:name="_t1disheyoslb" w:id="10"/>
      <w:bookmarkEnd w:id="10"/>
      <w:r w:rsidDel="00000000" w:rsidR="00000000" w:rsidRPr="00000000">
        <w:rPr>
          <w:rFonts w:ascii="Arial" w:cs="Arial" w:eastAsia="Arial" w:hAnsi="Arial"/>
          <w:b w:val="1"/>
          <w:color w:val="000000"/>
          <w:sz w:val="26"/>
          <w:szCs w:val="26"/>
          <w:rtl w:val="0"/>
        </w:rPr>
        <w:t xml:space="preserve">Discovery (TA0007)</w:t>
      </w:r>
    </w:p>
    <w:p w:rsidR="00000000" w:rsidDel="00000000" w:rsidP="00000000" w:rsidRDefault="00000000" w:rsidRPr="00000000" w14:paraId="0000004B">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Network Sniffing (T1040)</w:t>
      </w:r>
    </w:p>
    <w:p w:rsidR="00000000" w:rsidDel="00000000" w:rsidP="00000000" w:rsidRDefault="00000000" w:rsidRPr="00000000" w14:paraId="0000004C">
      <w:pPr>
        <w:pStyle w:val="Heading3"/>
        <w:keepNext w:val="0"/>
        <w:keepLines w:val="0"/>
        <w:numPr>
          <w:ilvl w:val="1"/>
          <w:numId w:val="2"/>
        </w:numPr>
        <w:spacing w:after="0" w:afterAutospacing="0" w:before="0" w:beforeAutospacing="0" w:lineRule="auto"/>
        <w:ind w:left="1440" w:hanging="360"/>
        <w:rPr>
          <w:rFonts w:ascii="Arial" w:cs="Arial" w:eastAsia="Arial" w:hAnsi="Arial"/>
          <w:b w:val="1"/>
          <w:color w:val="000000"/>
          <w:sz w:val="26"/>
          <w:szCs w:val="26"/>
          <w:u w:val="none"/>
        </w:rPr>
      </w:pPr>
      <w:bookmarkStart w:colFirst="0" w:colLast="0" w:name="_kwadltqnzwz2" w:id="11"/>
      <w:bookmarkEnd w:id="11"/>
      <w:r w:rsidDel="00000000" w:rsidR="00000000" w:rsidRPr="00000000">
        <w:rPr>
          <w:rFonts w:ascii="Arial" w:cs="Arial" w:eastAsia="Arial" w:hAnsi="Arial"/>
          <w:b w:val="1"/>
          <w:color w:val="000000"/>
          <w:sz w:val="26"/>
          <w:szCs w:val="26"/>
          <w:rtl w:val="0"/>
        </w:rPr>
        <w:t xml:space="preserve">Lateral Movement (TA0008)</w:t>
      </w:r>
    </w:p>
    <w:p w:rsidR="00000000" w:rsidDel="00000000" w:rsidP="00000000" w:rsidRDefault="00000000" w:rsidRPr="00000000" w14:paraId="0000004D">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Internal Spearphishing (T1566.002)</w:t>
      </w:r>
    </w:p>
    <w:p w:rsidR="00000000" w:rsidDel="00000000" w:rsidP="00000000" w:rsidRDefault="00000000" w:rsidRPr="00000000" w14:paraId="0000004E">
      <w:pPr>
        <w:pStyle w:val="Heading3"/>
        <w:keepNext w:val="0"/>
        <w:keepLines w:val="0"/>
        <w:numPr>
          <w:ilvl w:val="1"/>
          <w:numId w:val="2"/>
        </w:numPr>
        <w:spacing w:after="0" w:afterAutospacing="0" w:before="0" w:beforeAutospacing="0" w:lineRule="auto"/>
        <w:ind w:left="1440" w:hanging="360"/>
        <w:rPr>
          <w:rFonts w:ascii="Arial" w:cs="Arial" w:eastAsia="Arial" w:hAnsi="Arial"/>
          <w:b w:val="1"/>
          <w:color w:val="000000"/>
          <w:sz w:val="26"/>
          <w:szCs w:val="26"/>
          <w:u w:val="none"/>
        </w:rPr>
      </w:pPr>
      <w:bookmarkStart w:colFirst="0" w:colLast="0" w:name="_8oyotiid15j4" w:id="12"/>
      <w:bookmarkEnd w:id="12"/>
      <w:r w:rsidDel="00000000" w:rsidR="00000000" w:rsidRPr="00000000">
        <w:rPr>
          <w:rFonts w:ascii="Arial" w:cs="Arial" w:eastAsia="Arial" w:hAnsi="Arial"/>
          <w:b w:val="1"/>
          <w:color w:val="000000"/>
          <w:sz w:val="26"/>
          <w:szCs w:val="26"/>
          <w:rtl w:val="0"/>
        </w:rPr>
        <w:t xml:space="preserve">Collection (TA0009)</w:t>
      </w:r>
    </w:p>
    <w:p w:rsidR="00000000" w:rsidDel="00000000" w:rsidP="00000000" w:rsidRDefault="00000000" w:rsidRPr="00000000" w14:paraId="0000004F">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Input Capture (T1056)</w:t>
      </w:r>
    </w:p>
    <w:p w:rsidR="00000000" w:rsidDel="00000000" w:rsidP="00000000" w:rsidRDefault="00000000" w:rsidRPr="00000000" w14:paraId="00000050">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Keylogging (T1056.001)</w:t>
      </w:r>
    </w:p>
    <w:p w:rsidR="00000000" w:rsidDel="00000000" w:rsidP="00000000" w:rsidRDefault="00000000" w:rsidRPr="00000000" w14:paraId="00000051">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GUI Input Capture (T1056.002)</w:t>
      </w:r>
    </w:p>
    <w:p w:rsidR="00000000" w:rsidDel="00000000" w:rsidP="00000000" w:rsidRDefault="00000000" w:rsidRPr="00000000" w14:paraId="00000052">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Web Portal Capture (T1056.003)</w:t>
      </w:r>
    </w:p>
    <w:p w:rsidR="00000000" w:rsidDel="00000000" w:rsidP="00000000" w:rsidRDefault="00000000" w:rsidRPr="00000000" w14:paraId="00000053">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Credential API Hooking (T1056.004)</w:t>
      </w:r>
    </w:p>
    <w:p w:rsidR="00000000" w:rsidDel="00000000" w:rsidP="00000000" w:rsidRDefault="00000000" w:rsidRPr="00000000" w14:paraId="00000054">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Audio Capture (T1123)</w:t>
      </w:r>
    </w:p>
    <w:p w:rsidR="00000000" w:rsidDel="00000000" w:rsidP="00000000" w:rsidRDefault="00000000" w:rsidRPr="00000000" w14:paraId="00000055">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Screen Capture (T1113)</w:t>
      </w:r>
    </w:p>
    <w:p w:rsidR="00000000" w:rsidDel="00000000" w:rsidP="00000000" w:rsidRDefault="00000000" w:rsidRPr="00000000" w14:paraId="00000056">
      <w:pPr>
        <w:pStyle w:val="Heading3"/>
        <w:keepNext w:val="0"/>
        <w:keepLines w:val="0"/>
        <w:numPr>
          <w:ilvl w:val="1"/>
          <w:numId w:val="2"/>
        </w:numPr>
        <w:spacing w:after="0" w:afterAutospacing="0" w:before="0" w:beforeAutospacing="0" w:lineRule="auto"/>
        <w:ind w:left="1440" w:hanging="360"/>
        <w:rPr>
          <w:rFonts w:ascii="Arial" w:cs="Arial" w:eastAsia="Arial" w:hAnsi="Arial"/>
          <w:b w:val="1"/>
          <w:color w:val="000000"/>
          <w:sz w:val="26"/>
          <w:szCs w:val="26"/>
          <w:u w:val="none"/>
        </w:rPr>
      </w:pPr>
      <w:bookmarkStart w:colFirst="0" w:colLast="0" w:name="_blypgndhh2ag" w:id="13"/>
      <w:bookmarkEnd w:id="13"/>
      <w:r w:rsidDel="00000000" w:rsidR="00000000" w:rsidRPr="00000000">
        <w:rPr>
          <w:rFonts w:ascii="Arial" w:cs="Arial" w:eastAsia="Arial" w:hAnsi="Arial"/>
          <w:b w:val="1"/>
          <w:color w:val="000000"/>
          <w:sz w:val="26"/>
          <w:szCs w:val="26"/>
          <w:rtl w:val="0"/>
        </w:rPr>
        <w:t xml:space="preserve">Command and Control (TA0011)</w:t>
      </w:r>
    </w:p>
    <w:p w:rsidR="00000000" w:rsidDel="00000000" w:rsidP="00000000" w:rsidRDefault="00000000" w:rsidRPr="00000000" w14:paraId="00000057">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Data Encoding (T1132)</w:t>
      </w:r>
    </w:p>
    <w:p w:rsidR="00000000" w:rsidDel="00000000" w:rsidP="00000000" w:rsidRDefault="00000000" w:rsidRPr="00000000" w14:paraId="00000058">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Standard Encoding (T1132.001)</w:t>
      </w:r>
    </w:p>
    <w:p w:rsidR="00000000" w:rsidDel="00000000" w:rsidP="00000000" w:rsidRDefault="00000000" w:rsidRPr="00000000" w14:paraId="00000059">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Non-Standard Encoding (T1132.002)</w:t>
      </w:r>
    </w:p>
    <w:p w:rsidR="00000000" w:rsidDel="00000000" w:rsidP="00000000" w:rsidRDefault="00000000" w:rsidRPr="00000000" w14:paraId="0000005A">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Data Obfuscation (T1001)</w:t>
      </w:r>
    </w:p>
    <w:p w:rsidR="00000000" w:rsidDel="00000000" w:rsidP="00000000" w:rsidRDefault="00000000" w:rsidRPr="00000000" w14:paraId="0000005B">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Junk Data (T1001.001)</w:t>
      </w:r>
    </w:p>
    <w:p w:rsidR="00000000" w:rsidDel="00000000" w:rsidP="00000000" w:rsidRDefault="00000000" w:rsidRPr="00000000" w14:paraId="0000005C">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Steganography (T1001.002)</w:t>
      </w:r>
    </w:p>
    <w:p w:rsidR="00000000" w:rsidDel="00000000" w:rsidP="00000000" w:rsidRDefault="00000000" w:rsidRPr="00000000" w14:paraId="0000005D">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Protocol or Service Impersonation (T1001.003)</w:t>
      </w:r>
    </w:p>
    <w:p w:rsidR="00000000" w:rsidDel="00000000" w:rsidP="00000000" w:rsidRDefault="00000000" w:rsidRPr="00000000" w14:paraId="0000005E">
      <w:pPr>
        <w:pStyle w:val="Heading3"/>
        <w:keepNext w:val="0"/>
        <w:keepLines w:val="0"/>
        <w:numPr>
          <w:ilvl w:val="1"/>
          <w:numId w:val="2"/>
        </w:numPr>
        <w:spacing w:after="0" w:afterAutospacing="0" w:before="0" w:beforeAutospacing="0" w:lineRule="auto"/>
        <w:ind w:left="1440" w:hanging="360"/>
        <w:rPr>
          <w:rFonts w:ascii="Arial" w:cs="Arial" w:eastAsia="Arial" w:hAnsi="Arial"/>
          <w:b w:val="1"/>
          <w:color w:val="000000"/>
          <w:sz w:val="26"/>
          <w:szCs w:val="26"/>
          <w:u w:val="none"/>
        </w:rPr>
      </w:pPr>
      <w:bookmarkStart w:colFirst="0" w:colLast="0" w:name="_1xi449gi4kbw" w:id="14"/>
      <w:bookmarkEnd w:id="14"/>
      <w:r w:rsidDel="00000000" w:rsidR="00000000" w:rsidRPr="00000000">
        <w:rPr>
          <w:rFonts w:ascii="Arial" w:cs="Arial" w:eastAsia="Arial" w:hAnsi="Arial"/>
          <w:b w:val="1"/>
          <w:color w:val="000000"/>
          <w:sz w:val="26"/>
          <w:szCs w:val="26"/>
          <w:rtl w:val="0"/>
        </w:rPr>
        <w:t xml:space="preserve">Exfiltration (TA0010)</w:t>
      </w:r>
    </w:p>
    <w:p w:rsidR="00000000" w:rsidDel="00000000" w:rsidP="00000000" w:rsidRDefault="00000000" w:rsidRPr="00000000" w14:paraId="0000005F">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Automated Exfiltration (T1041)</w:t>
      </w:r>
    </w:p>
    <w:p w:rsidR="00000000" w:rsidDel="00000000" w:rsidP="00000000" w:rsidRDefault="00000000" w:rsidRPr="00000000" w14:paraId="00000060">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Traffic Duplication (T1041.001)</w:t>
      </w:r>
    </w:p>
    <w:p w:rsidR="00000000" w:rsidDel="00000000" w:rsidP="00000000" w:rsidRDefault="00000000" w:rsidRPr="00000000" w14:paraId="00000061">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Data Transfer Size Limits (T1030)</w:t>
      </w:r>
    </w:p>
    <w:p w:rsidR="00000000" w:rsidDel="00000000" w:rsidP="00000000" w:rsidRDefault="00000000" w:rsidRPr="00000000" w14:paraId="00000062">
      <w:pPr>
        <w:pStyle w:val="Heading3"/>
        <w:keepNext w:val="0"/>
        <w:keepLines w:val="0"/>
        <w:numPr>
          <w:ilvl w:val="1"/>
          <w:numId w:val="2"/>
        </w:numPr>
        <w:spacing w:after="0" w:afterAutospacing="0" w:before="0" w:beforeAutospacing="0" w:lineRule="auto"/>
        <w:ind w:left="1440" w:hanging="360"/>
        <w:rPr>
          <w:rFonts w:ascii="Arial" w:cs="Arial" w:eastAsia="Arial" w:hAnsi="Arial"/>
          <w:b w:val="1"/>
          <w:color w:val="000000"/>
          <w:sz w:val="26"/>
          <w:szCs w:val="26"/>
          <w:u w:val="none"/>
        </w:rPr>
      </w:pPr>
      <w:bookmarkStart w:colFirst="0" w:colLast="0" w:name="_au25ny71gt6f" w:id="15"/>
      <w:bookmarkEnd w:id="15"/>
      <w:r w:rsidDel="00000000" w:rsidR="00000000" w:rsidRPr="00000000">
        <w:rPr>
          <w:rFonts w:ascii="Arial" w:cs="Arial" w:eastAsia="Arial" w:hAnsi="Arial"/>
          <w:b w:val="1"/>
          <w:color w:val="000000"/>
          <w:sz w:val="26"/>
          <w:szCs w:val="26"/>
          <w:rtl w:val="0"/>
        </w:rPr>
        <w:t xml:space="preserve">Impact (TA0040)</w:t>
      </w:r>
    </w:p>
    <w:p w:rsidR="00000000" w:rsidDel="00000000" w:rsidP="00000000" w:rsidRDefault="00000000" w:rsidRPr="00000000" w14:paraId="00000063">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Email Bombing (T1498.001)</w:t>
      </w:r>
    </w:p>
    <w:p w:rsidR="00000000" w:rsidDel="00000000" w:rsidP="00000000" w:rsidRDefault="00000000" w:rsidRPr="00000000" w14:paraId="00000064">
      <w:pPr>
        <w:numPr>
          <w:ilvl w:val="2"/>
          <w:numId w:val="2"/>
        </w:numPr>
        <w:spacing w:after="0" w:afterAutospacing="0" w:before="0" w:beforeAutospacing="0" w:lineRule="auto"/>
        <w:ind w:left="2160" w:hanging="360"/>
        <w:rPr>
          <w:rFonts w:ascii="Arial" w:cs="Arial" w:eastAsia="Arial" w:hAnsi="Arial"/>
          <w:u w:val="none"/>
        </w:rPr>
      </w:pPr>
      <w:r w:rsidDel="00000000" w:rsidR="00000000" w:rsidRPr="00000000">
        <w:rPr>
          <w:rFonts w:ascii="Arial" w:cs="Arial" w:eastAsia="Arial" w:hAnsi="Arial"/>
          <w:b w:val="1"/>
          <w:rtl w:val="0"/>
        </w:rPr>
        <w:t xml:space="preserve">Technique:</w:t>
      </w:r>
      <w:r w:rsidDel="00000000" w:rsidR="00000000" w:rsidRPr="00000000">
        <w:rPr>
          <w:rFonts w:ascii="Arial" w:cs="Arial" w:eastAsia="Arial" w:hAnsi="Arial"/>
          <w:rtl w:val="0"/>
        </w:rPr>
        <w:t xml:space="preserve"> Defacement (T1491)</w:t>
      </w:r>
    </w:p>
    <w:p w:rsidR="00000000" w:rsidDel="00000000" w:rsidP="00000000" w:rsidRDefault="00000000" w:rsidRPr="00000000" w14:paraId="00000065">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Internal (T1491.001)</w:t>
      </w:r>
    </w:p>
    <w:p w:rsidR="00000000" w:rsidDel="00000000" w:rsidP="00000000" w:rsidRDefault="00000000" w:rsidRPr="00000000" w14:paraId="00000066">
      <w:pPr>
        <w:numPr>
          <w:ilvl w:val="3"/>
          <w:numId w:val="2"/>
        </w:numPr>
        <w:spacing w:after="0" w:afterAutospacing="0" w:before="0" w:beforeAutospacing="0" w:lineRule="auto"/>
        <w:ind w:left="2880" w:hanging="360"/>
        <w:rPr>
          <w:rFonts w:ascii="Arial" w:cs="Arial" w:eastAsia="Arial" w:hAnsi="Arial"/>
          <w:u w:val="none"/>
        </w:rPr>
      </w:pPr>
      <w:r w:rsidDel="00000000" w:rsidR="00000000" w:rsidRPr="00000000">
        <w:rPr>
          <w:rFonts w:ascii="Arial" w:cs="Arial" w:eastAsia="Arial" w:hAnsi="Arial"/>
          <w:b w:val="1"/>
          <w:rtl w:val="0"/>
        </w:rPr>
        <w:t xml:space="preserve">Sub-technique:</w:t>
      </w:r>
      <w:r w:rsidDel="00000000" w:rsidR="00000000" w:rsidRPr="00000000">
        <w:rPr>
          <w:rFonts w:ascii="Arial" w:cs="Arial" w:eastAsia="Arial" w:hAnsi="Arial"/>
          <w:rtl w:val="0"/>
        </w:rPr>
        <w:t xml:space="preserve"> External (T1491.002)</w:t>
      </w:r>
    </w:p>
    <w:p w:rsidR="00000000" w:rsidDel="00000000" w:rsidP="00000000" w:rsidRDefault="00000000" w:rsidRPr="00000000" w14:paraId="00000067">
      <w:pPr>
        <w:numPr>
          <w:ilvl w:val="1"/>
          <w:numId w:val="2"/>
        </w:numPr>
        <w:spacing w:after="0" w:afterAutospacing="0" w:before="0" w:beforeAutospacing="0" w:lineRule="auto"/>
        <w:ind w:left="1440" w:hanging="360"/>
        <w:rPr>
          <w:rFonts w:ascii="Arial" w:cs="Arial" w:eastAsia="Arial" w:hAnsi="Arial"/>
          <w:u w:val="none"/>
        </w:rPr>
      </w:pPr>
      <w:r w:rsidDel="00000000" w:rsidR="00000000" w:rsidRPr="00000000">
        <w:rPr>
          <w:rtl w:val="0"/>
        </w:rPr>
      </w:r>
    </w:p>
    <w:p w:rsidR="00000000" w:rsidDel="00000000" w:rsidP="00000000" w:rsidRDefault="00000000" w:rsidRPr="00000000" w14:paraId="00000068">
      <w:pPr>
        <w:numPr>
          <w:ilvl w:val="0"/>
          <w:numId w:val="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Development of backend detection engine with Python (FastAPI + SQLite).</w:t>
      </w:r>
    </w:p>
    <w:p w:rsidR="00000000" w:rsidDel="00000000" w:rsidP="00000000" w:rsidRDefault="00000000" w:rsidRPr="00000000" w14:paraId="00000069">
      <w:pPr>
        <w:numPr>
          <w:ilvl w:val="0"/>
          <w:numId w:val="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Visualization of attack chains and tactics through a web dashboard.</w:t>
      </w:r>
    </w:p>
    <w:p w:rsidR="00000000" w:rsidDel="00000000" w:rsidP="00000000" w:rsidRDefault="00000000" w:rsidRPr="00000000" w14:paraId="0000006A">
      <w:pPr>
        <w:numPr>
          <w:ilvl w:val="0"/>
          <w:numId w:val="2"/>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Basic report generation for incidents.</w:t>
      </w:r>
      <w:r w:rsidDel="00000000" w:rsidR="00000000" w:rsidRPr="00000000">
        <w:rPr>
          <w:rtl w:val="0"/>
        </w:rPr>
      </w:r>
    </w:p>
    <w:p w:rsidR="00000000" w:rsidDel="00000000" w:rsidP="00000000" w:rsidRDefault="00000000" w:rsidRPr="00000000" w14:paraId="0000006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before="280" w:lineRule="auto"/>
        <w:rPr/>
      </w:pPr>
      <w:bookmarkStart w:colFirst="0" w:colLast="0" w:name="_jt3kvq7071kg" w:id="16"/>
      <w:bookmarkEnd w:id="16"/>
      <w:r w:rsidDel="00000000" w:rsidR="00000000" w:rsidRPr="00000000">
        <w:rPr>
          <w:rtl w:val="0"/>
        </w:rPr>
        <w:t xml:space="preserve">Methodology</w:t>
      </w:r>
    </w:p>
    <w:p w:rsidR="00000000" w:rsidDel="00000000" w:rsidP="00000000" w:rsidRDefault="00000000" w:rsidRPr="00000000" w14:paraId="0000006D">
      <w:pPr>
        <w:numPr>
          <w:ilvl w:val="0"/>
          <w:numId w:val="5"/>
        </w:numPr>
        <w:spacing w:after="0" w:afterAutospacing="0" w:before="240" w:lineRule="auto"/>
        <w:ind w:left="720" w:hanging="360"/>
      </w:pPr>
      <w:r w:rsidDel="00000000" w:rsidR="00000000" w:rsidRPr="00000000">
        <w:rPr>
          <w:b w:val="1"/>
          <w:rtl w:val="0"/>
        </w:rPr>
        <w:t xml:space="preserve">Lab Setup: </w:t>
      </w:r>
      <w:r w:rsidDel="00000000" w:rsidR="00000000" w:rsidRPr="00000000">
        <w:rPr>
          <w:rtl w:val="0"/>
        </w:rPr>
        <w:t xml:space="preserve">Configure Windows and Linux virtual machines with Sysmon and Syslog.</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b w:val="1"/>
          <w:rtl w:val="0"/>
        </w:rPr>
        <w:t xml:space="preserve">Data Generation:</w:t>
      </w:r>
      <w:r w:rsidDel="00000000" w:rsidR="00000000" w:rsidRPr="00000000">
        <w:rPr>
          <w:rtl w:val="0"/>
        </w:rPr>
        <w:t xml:space="preserve"> Use Atomic Red Team and custom PowerShell/Bash scripts to create attack scenarios.</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b w:val="1"/>
          <w:rtl w:val="0"/>
        </w:rPr>
        <w:t xml:space="preserve">Detection Rules:</w:t>
      </w:r>
      <w:r w:rsidDel="00000000" w:rsidR="00000000" w:rsidRPr="00000000">
        <w:rPr>
          <w:rtl w:val="0"/>
        </w:rPr>
        <w:t xml:space="preserve"> Write YAML-based rules to detect chosen MITRE ATT&amp;CK techniques.</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b w:val="1"/>
          <w:rtl w:val="0"/>
        </w:rPr>
        <w:t xml:space="preserve">Mapping Engine:</w:t>
      </w:r>
      <w:r w:rsidDel="00000000" w:rsidR="00000000" w:rsidRPr="00000000">
        <w:rPr>
          <w:rtl w:val="0"/>
        </w:rPr>
        <w:t xml:space="preserve"> Implement logic to link detections with ATT&amp;CK tactics and techniques.</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b w:val="1"/>
          <w:rtl w:val="0"/>
        </w:rPr>
        <w:t xml:space="preserve">Incident Scoring:</w:t>
      </w:r>
      <w:r w:rsidDel="00000000" w:rsidR="00000000" w:rsidRPr="00000000">
        <w:rPr>
          <w:rtl w:val="0"/>
        </w:rPr>
        <w:t xml:space="preserve"> Apply severity-based ranking for triage.</w:t>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b w:val="1"/>
          <w:rtl w:val="0"/>
        </w:rPr>
        <w:t xml:space="preserve">Visualization:</w:t>
      </w:r>
      <w:r w:rsidDel="00000000" w:rsidR="00000000" w:rsidRPr="00000000">
        <w:rPr>
          <w:rtl w:val="0"/>
        </w:rPr>
        <w:t xml:space="preserve"> Display detections on an interactive matrix or graph.</w:t>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b w:val="1"/>
          <w:rtl w:val="0"/>
        </w:rPr>
        <w:t xml:space="preserve">Reporting:</w:t>
      </w:r>
      <w:r w:rsidDel="00000000" w:rsidR="00000000" w:rsidRPr="00000000">
        <w:rPr>
          <w:rtl w:val="0"/>
        </w:rPr>
        <w:t xml:space="preserve"> Generate PDF/HTML reports with ATT&amp;CK references.</w:t>
      </w:r>
    </w:p>
    <w:p w:rsidR="00000000" w:rsidDel="00000000" w:rsidP="00000000" w:rsidRDefault="00000000" w:rsidRPr="00000000" w14:paraId="00000074">
      <w:pPr>
        <w:numPr>
          <w:ilvl w:val="0"/>
          <w:numId w:val="5"/>
        </w:numPr>
        <w:spacing w:after="240" w:before="0" w:beforeAutospacing="0" w:lineRule="auto"/>
        <w:ind w:left="720" w:hanging="360"/>
      </w:pPr>
      <w:r w:rsidDel="00000000" w:rsidR="00000000" w:rsidRPr="00000000">
        <w:rPr>
          <w:b w:val="1"/>
          <w:rtl w:val="0"/>
        </w:rPr>
        <w:t xml:space="preserve">Testing:</w:t>
      </w:r>
      <w:r w:rsidDel="00000000" w:rsidR="00000000" w:rsidRPr="00000000">
        <w:rPr>
          <w:rtl w:val="0"/>
        </w:rPr>
        <w:t xml:space="preserve"> Validate detections against simulated attacks and fine-tune rules.</w:t>
      </w:r>
      <w:r w:rsidDel="00000000" w:rsidR="00000000" w:rsidRPr="00000000">
        <w:rPr>
          <w:rtl w:val="0"/>
        </w:rPr>
      </w:r>
    </w:p>
    <w:p w:rsidR="00000000" w:rsidDel="00000000" w:rsidP="00000000" w:rsidRDefault="00000000" w:rsidRPr="00000000" w14:paraId="0000007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before="280" w:lineRule="auto"/>
        <w:rPr/>
      </w:pPr>
      <w:bookmarkStart w:colFirst="0" w:colLast="0" w:name="_3ydz3m1a9j1e" w:id="17"/>
      <w:bookmarkEnd w:id="17"/>
      <w:r w:rsidDel="00000000" w:rsidR="00000000" w:rsidRPr="00000000">
        <w:rPr>
          <w:rtl w:val="0"/>
        </w:rPr>
        <w:t xml:space="preserve">Expected Outcomes</w:t>
      </w:r>
      <w:r w:rsidDel="00000000" w:rsidR="00000000" w:rsidRPr="00000000">
        <w:rPr>
          <w:rtl w:val="0"/>
        </w:rPr>
      </w:r>
    </w:p>
    <w:p w:rsidR="00000000" w:rsidDel="00000000" w:rsidP="00000000" w:rsidRDefault="00000000" w:rsidRPr="00000000" w14:paraId="00000077">
      <w:pPr>
        <w:spacing w:after="240" w:before="240" w:lineRule="auto"/>
        <w:ind w:left="0" w:firstLine="0"/>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This project will deliver:</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 functional detection engine aligned with MITRE ATT&amp;CK.</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 web dashboard displaying mapped attack techniques and their severity scores.</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Sample reports documenting attack simulations and detection coverage.</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Comprehensive documentation of the lab setup, methodology, and results.</w:t>
      </w:r>
      <w:r w:rsidDel="00000000" w:rsidR="00000000" w:rsidRPr="00000000">
        <w:rPr>
          <w:rtl w:val="0"/>
        </w:rPr>
      </w:r>
    </w:p>
    <w:p w:rsidR="00000000" w:rsidDel="00000000" w:rsidP="00000000" w:rsidRDefault="00000000" w:rsidRPr="00000000" w14:paraId="0000007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before="280" w:lineRule="auto"/>
        <w:rPr/>
      </w:pPr>
      <w:bookmarkStart w:colFirst="0" w:colLast="0" w:name="_qdt8ezxprjw0" w:id="18"/>
      <w:bookmarkEnd w:id="18"/>
      <w:r w:rsidDel="00000000" w:rsidR="00000000" w:rsidRPr="00000000">
        <w:rPr>
          <w:rtl w:val="0"/>
        </w:rPr>
        <w:t xml:space="preserve">Technologies  &amp; Tools </w:t>
      </w:r>
      <w:r w:rsidDel="00000000" w:rsidR="00000000" w:rsidRPr="00000000">
        <w:rPr>
          <w:rtl w:val="0"/>
        </w:rPr>
      </w:r>
    </w:p>
    <w:p w:rsidR="00000000" w:rsidDel="00000000" w:rsidP="00000000" w:rsidRDefault="00000000" w:rsidRPr="00000000" w14:paraId="0000007E">
      <w:pPr>
        <w:numPr>
          <w:ilvl w:val="0"/>
          <w:numId w:val="3"/>
        </w:numPr>
        <w:spacing w:after="0" w:afterAutospacing="0" w:before="240" w:lineRule="auto"/>
        <w:ind w:left="720" w:hanging="360"/>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Programming Languages &amp; Frameworks:</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Python 3 (FastAPI, PyYAML, SQLite, Jinja2)</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Data Visualization:</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Jinja2 + Bootstrap (React is an optional choice for enhanced user interfaces)</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Log Data Sources:</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Windows Sysmon, Linux Syslog</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Attack Simulation Tools:</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Atomic Red Team, Custom Scripts</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Development Environment:</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VS Code, GitHub, Postman, Docker (optional)</w:t>
      </w:r>
      <w:r w:rsidDel="00000000" w:rsidR="00000000" w:rsidRPr="00000000">
        <w:rPr>
          <w:rtl w:val="0"/>
        </w:rPr>
      </w:r>
    </w:p>
    <w:p w:rsidR="00000000" w:rsidDel="00000000" w:rsidP="00000000" w:rsidRDefault="00000000" w:rsidRPr="00000000" w14:paraId="0000008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before="280" w:lineRule="auto"/>
        <w:rPr/>
      </w:pPr>
      <w:bookmarkStart w:colFirst="0" w:colLast="0" w:name="_qdbrhqdhx8mr" w:id="19"/>
      <w:bookmarkEnd w:id="19"/>
      <w:r w:rsidDel="00000000" w:rsidR="00000000" w:rsidRPr="00000000">
        <w:rPr>
          <w:rtl w:val="0"/>
        </w:rPr>
        <w:t xml:space="preserve">Conclusion </w:t>
      </w:r>
      <w:r w:rsidDel="00000000" w:rsidR="00000000" w:rsidRPr="00000000">
        <w:rPr>
          <w:rtl w:val="0"/>
        </w:rPr>
      </w:r>
    </w:p>
    <w:p w:rsidR="00000000" w:rsidDel="00000000" w:rsidP="00000000" w:rsidRDefault="00000000" w:rsidRPr="00000000" w14:paraId="00000085">
      <w:pPr>
        <w:spacing w:after="240" w:before="240" w:lineRule="auto"/>
        <w:ind w:left="0" w:firstLine="0"/>
        <w:rPr/>
      </w:pPr>
      <w:r w:rsidDel="00000000" w:rsidR="00000000" w:rsidRPr="00000000">
        <w:rPr>
          <w:rtl w:val="0"/>
        </w:rPr>
        <w:t xml:space="preserve">MITRE ATT&amp;CK Security Automation is designed to make threat detection smarter, faster, and more contextual. By mapping real-time detections to adversary tactics and techniques, it helps analysts understand the “story” of an attack and respond quickly. The project is practical, scalable, and aligned with industry practices, making it both academically valuable and industry-relevant.</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