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00"/>
        <w:jc w:val="center"/>
      </w:pPr>
      <w:r>
        <w:rPr>
          <w:rFonts w:ascii="Calibri" w:cs="Calibri" w:eastAsia="Calibri" w:hAnsi="Calibri"/>
          <w:b/>
          <w:bCs/>
          <w:color w:val="1F3864"/>
          <w:sz w:val="56"/>
          <w:szCs w:val="56"/>
        </w:rPr>
        <w:t xml:space="preserve">DMI CAMPUS CONNECT</w:t>
      </w:r>
    </w:p>
    <w:p>
      <w:pPr>
        <w:spacing w:after="400"/>
        <w:jc w:val="center"/>
      </w:pPr>
      <w:r>
        <w:rPr>
          <w:rFonts w:ascii="Calibri" w:cs="Calibri" w:eastAsia="Calibri" w:hAnsi="Calibri"/>
          <w:color w:val="2E74B5"/>
          <w:sz w:val="32"/>
          <w:szCs w:val="32"/>
        </w:rPr>
        <w:t xml:space="preserve">Campus ERP System</w:t>
      </w:r>
    </w:p>
    <w:p>
      <w:pPr>
        <w:spacing w:after="60"/>
        <w:jc w:val="center"/>
      </w:pPr>
      <w:r>
        <w:rPr>
          <w:rFonts w:ascii="Calibri" w:cs="Calibri" w:eastAsia="Calibri" w:hAnsi="Calibri"/>
          <w:b/>
          <w:bCs/>
          <w:color w:val="13233F"/>
          <w:sz w:val="30"/>
          <w:szCs w:val="30"/>
        </w:rPr>
        <w:t xml:space="preserve">PROJECT OVERVIEW &amp; DETAILED SPECIFICATION</w:t>
      </w:r>
    </w:p>
    <w:p>
      <w:pPr>
        <w:spacing w:after="700"/>
        <w:jc w:val="center"/>
      </w:pPr>
      <w:r>
        <w:rPr>
          <w:rFonts w:ascii="Calibri" w:cs="Calibri" w:eastAsia="Calibri" w:hAnsi="Calibri"/>
          <w:i/>
          <w:iCs/>
          <w:color w:val="404040"/>
          <w:sz w:val="24"/>
          <w:szCs w:val="24"/>
        </w:rPr>
        <w:t xml:space="preserve">What We're Building, Why, and How It All Fits Together</w:t>
      </w:r>
    </w:p>
    <w:tbl>
      <w:tblPr>
        <w:tblW w:type="pct" w:w="72%"/>
        <w:jc w:val="center"/>
        <w:tblBorders>
          <w:top w:val="single" w:color="1F3864" w:sz="6"/>
          <w:left w:val="single" w:color="1F3864" w:sz="6"/>
          <w:bottom w:val="single" w:color="1F3864" w:sz="6"/>
          <w:right w:val="single" w:color="1F3864" w:sz="6"/>
          <w:insideH w:val="single" w:color="D9D9D9" w:sz="4"/>
          <w:insideV w:val="single" w:color="D9D9D9" w:sz="4"/>
        </w:tblBorders>
      </w:tblPr>
      <w:tblGrid>
        <w:gridCol w:w="100"/>
        <w:gridCol w:w="100"/>
      </w:tblGrid>
      <w:tr>
        <w:tc>
          <w:tcPr>
            <w:tcW w:type="dxa" w:w="3000"/>
            <w:shd w:fill="DCE6F1" w:val="clear"/>
            <w:tcMar>
              <w:top w:type="dxa" w:w="90"/>
              <w:left w:type="dxa" w:w="120"/>
              <w:bottom w:type="dxa" w:w="90"/>
              <w:right w:type="dxa" w:w="120"/>
            </w:tcMar>
            <w:vAlign w:val="center"/>
          </w:tcPr>
          <w:p>
            <w:pPr>
              <w:jc w:val="left"/>
            </w:pPr>
            <w:r>
              <w:rPr>
                <w:rFonts w:ascii="Calibri" w:cs="Calibri" w:eastAsia="Calibri" w:hAnsi="Calibri"/>
                <w:b/>
                <w:bCs/>
                <w:color w:val="13233F"/>
                <w:sz w:val="20"/>
                <w:szCs w:val="20"/>
              </w:rPr>
              <w:t xml:space="preserve">Document Type</w:t>
            </w:r>
          </w:p>
        </w:tc>
        <w:tc>
          <w:tcPr>
            <w:tcW w:type="dxa" w:w="67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Full Project Overview &amp; Detailed Specification</w:t>
            </w:r>
          </w:p>
        </w:tc>
      </w:tr>
      <w:tr>
        <w:tc>
          <w:tcPr>
            <w:tcW w:type="dxa" w:w="3000"/>
            <w:shd w:fill="DCE6F1" w:val="clear"/>
            <w:tcMar>
              <w:top w:type="dxa" w:w="90"/>
              <w:left w:type="dxa" w:w="120"/>
              <w:bottom w:type="dxa" w:w="90"/>
              <w:right w:type="dxa" w:w="120"/>
            </w:tcMar>
            <w:vAlign w:val="center"/>
          </w:tcPr>
          <w:p>
            <w:pPr>
              <w:jc w:val="left"/>
            </w:pPr>
            <w:r>
              <w:rPr>
                <w:rFonts w:ascii="Calibri" w:cs="Calibri" w:eastAsia="Calibri" w:hAnsi="Calibri"/>
                <w:b/>
                <w:bCs/>
                <w:color w:val="13233F"/>
                <w:sz w:val="20"/>
                <w:szCs w:val="20"/>
              </w:rPr>
              <w:t xml:space="preserve">Project</w:t>
            </w:r>
          </w:p>
        </w:tc>
        <w:tc>
          <w:tcPr>
            <w:tcW w:type="dxa" w:w="67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DMI Campus Connect — Campus ERP, Built From Scratch</w:t>
            </w:r>
          </w:p>
        </w:tc>
      </w:tr>
      <w:tr>
        <w:tc>
          <w:tcPr>
            <w:tcW w:type="dxa" w:w="3000"/>
            <w:shd w:fill="DCE6F1" w:val="clear"/>
            <w:tcMar>
              <w:top w:type="dxa" w:w="90"/>
              <w:left w:type="dxa" w:w="120"/>
              <w:bottom w:type="dxa" w:w="90"/>
              <w:right w:type="dxa" w:w="120"/>
            </w:tcMar>
            <w:vAlign w:val="center"/>
          </w:tcPr>
          <w:p>
            <w:pPr>
              <w:jc w:val="left"/>
            </w:pPr>
            <w:r>
              <w:rPr>
                <w:rFonts w:ascii="Calibri" w:cs="Calibri" w:eastAsia="Calibri" w:hAnsi="Calibri"/>
                <w:b/>
                <w:bCs/>
                <w:color w:val="13233F"/>
                <w:sz w:val="20"/>
                <w:szCs w:val="20"/>
              </w:rPr>
              <w:t xml:space="preserve">Platform</w:t>
            </w:r>
          </w:p>
        </w:tc>
        <w:tc>
          <w:tcPr>
            <w:tcW w:type="dxa" w:w="67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Web application (browser-based, responsive to tablet/mobile)</w:t>
            </w:r>
          </w:p>
        </w:tc>
      </w:tr>
      <w:tr>
        <w:tc>
          <w:tcPr>
            <w:tcW w:type="dxa" w:w="3000"/>
            <w:shd w:fill="DCE6F1" w:val="clear"/>
            <w:tcMar>
              <w:top w:type="dxa" w:w="90"/>
              <w:left w:type="dxa" w:w="120"/>
              <w:bottom w:type="dxa" w:w="90"/>
              <w:right w:type="dxa" w:w="120"/>
            </w:tcMar>
            <w:vAlign w:val="center"/>
          </w:tcPr>
          <w:p>
            <w:pPr>
              <w:jc w:val="left"/>
            </w:pPr>
            <w:r>
              <w:rPr>
                <w:rFonts w:ascii="Calibri" w:cs="Calibri" w:eastAsia="Calibri" w:hAnsi="Calibri"/>
                <w:b/>
                <w:bCs/>
                <w:color w:val="13233F"/>
                <w:sz w:val="20"/>
                <w:szCs w:val="20"/>
              </w:rPr>
              <w:t xml:space="preserve">Roles Served</w:t>
            </w:r>
          </w:p>
        </w:tc>
        <w:tc>
          <w:tcPr>
            <w:tcW w:type="dxa" w:w="67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Student, Faculty, HOD, Admin, Parent (5 roles)</w:t>
            </w:r>
          </w:p>
        </w:tc>
      </w:tr>
      <w:tr>
        <w:tc>
          <w:tcPr>
            <w:tcW w:type="dxa" w:w="3000"/>
            <w:shd w:fill="DCE6F1" w:val="clear"/>
            <w:tcMar>
              <w:top w:type="dxa" w:w="90"/>
              <w:left w:type="dxa" w:w="120"/>
              <w:bottom w:type="dxa" w:w="90"/>
              <w:right w:type="dxa" w:w="120"/>
            </w:tcMar>
            <w:vAlign w:val="center"/>
          </w:tcPr>
          <w:p>
            <w:pPr>
              <w:jc w:val="left"/>
            </w:pPr>
            <w:r>
              <w:rPr>
                <w:rFonts w:ascii="Calibri" w:cs="Calibri" w:eastAsia="Calibri" w:hAnsi="Calibri"/>
                <w:b/>
                <w:bCs/>
                <w:color w:val="13233F"/>
                <w:sz w:val="20"/>
                <w:szCs w:val="20"/>
              </w:rPr>
              <w:t xml:space="preserve">Functional Scope</w:t>
            </w:r>
          </w:p>
        </w:tc>
        <w:tc>
          <w:tcPr>
            <w:tcW w:type="dxa" w:w="67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13 feature modules — see Section 5 for the full breakdown</w:t>
            </w:r>
          </w:p>
        </w:tc>
      </w:tr>
      <w:tr>
        <w:tc>
          <w:tcPr>
            <w:tcW w:type="dxa" w:w="3000"/>
            <w:shd w:fill="DCE6F1" w:val="clear"/>
            <w:tcMar>
              <w:top w:type="dxa" w:w="90"/>
              <w:left w:type="dxa" w:w="120"/>
              <w:bottom w:type="dxa" w:w="90"/>
              <w:right w:type="dxa" w:w="120"/>
            </w:tcMar>
            <w:vAlign w:val="center"/>
          </w:tcPr>
          <w:p>
            <w:pPr>
              <w:jc w:val="left"/>
            </w:pPr>
            <w:r>
              <w:rPr>
                <w:rFonts w:ascii="Calibri" w:cs="Calibri" w:eastAsia="Calibri" w:hAnsi="Calibri"/>
                <w:b/>
                <w:bCs/>
                <w:color w:val="13233F"/>
                <w:sz w:val="20"/>
                <w:szCs w:val="20"/>
              </w:rPr>
              <w:t xml:space="preserve">Tech Stack</w:t>
            </w:r>
          </w:p>
        </w:tc>
        <w:tc>
          <w:tcPr>
            <w:tcW w:type="dxa" w:w="67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Next.js / React.js / Tailwind CSS (frontend) · Python / Flask (backend) · MongoDB Atlas (database) · Cloudinary (file storage)</w:t>
            </w:r>
          </w:p>
        </w:tc>
      </w:tr>
      <w:tr>
        <w:tc>
          <w:tcPr>
            <w:tcW w:type="dxa" w:w="3000"/>
            <w:shd w:fill="DCE6F1" w:val="clear"/>
            <w:tcMar>
              <w:top w:type="dxa" w:w="90"/>
              <w:left w:type="dxa" w:w="120"/>
              <w:bottom w:type="dxa" w:w="90"/>
              <w:right w:type="dxa" w:w="120"/>
            </w:tcMar>
            <w:vAlign w:val="center"/>
          </w:tcPr>
          <w:p>
            <w:pPr>
              <w:jc w:val="left"/>
            </w:pPr>
            <w:r>
              <w:rPr>
                <w:rFonts w:ascii="Calibri" w:cs="Calibri" w:eastAsia="Calibri" w:hAnsi="Calibri"/>
                <w:b/>
                <w:bCs/>
                <w:color w:val="13233F"/>
                <w:sz w:val="20"/>
                <w:szCs w:val="20"/>
              </w:rPr>
              <w:t xml:space="preserve">Build Method</w:t>
            </w:r>
          </w:p>
        </w:tc>
        <w:tc>
          <w:tcPr>
            <w:tcW w:type="dxa" w:w="67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13-developer team, each owning one full-stack module, using AI coding assistants (Antigravity / CLI-based tools)</w:t>
            </w:r>
          </w:p>
        </w:tc>
      </w:tr>
      <w:tr>
        <w:tc>
          <w:tcPr>
            <w:tcW w:type="dxa" w:w="3000"/>
            <w:shd w:fill="DCE6F1" w:val="clear"/>
            <w:tcMar>
              <w:top w:type="dxa" w:w="90"/>
              <w:left w:type="dxa" w:w="120"/>
              <w:bottom w:type="dxa" w:w="90"/>
              <w:right w:type="dxa" w:w="120"/>
            </w:tcMar>
            <w:vAlign w:val="center"/>
          </w:tcPr>
          <w:p>
            <w:pPr>
              <w:jc w:val="left"/>
            </w:pPr>
            <w:r>
              <w:rPr>
                <w:rFonts w:ascii="Calibri" w:cs="Calibri" w:eastAsia="Calibri" w:hAnsi="Calibri"/>
                <w:b/>
                <w:bCs/>
                <w:color w:val="13233F"/>
                <w:sz w:val="20"/>
                <w:szCs w:val="20"/>
              </w:rPr>
              <w:t xml:space="preserve">Companion Documents</w:t>
            </w:r>
          </w:p>
        </w:tc>
        <w:tc>
          <w:tcPr>
            <w:tcW w:type="dxa" w:w="67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1 Master Architecture document + 13 individual Module Briefs (Modules 1–13)</w:t>
            </w:r>
          </w:p>
        </w:tc>
      </w:tr>
      <w:tr>
        <w:tc>
          <w:tcPr>
            <w:tcW w:type="dxa" w:w="3000"/>
            <w:shd w:fill="DCE6F1" w:val="clear"/>
            <w:tcMar>
              <w:top w:type="dxa" w:w="90"/>
              <w:left w:type="dxa" w:w="120"/>
              <w:bottom w:type="dxa" w:w="90"/>
              <w:right w:type="dxa" w:w="120"/>
            </w:tcMar>
            <w:vAlign w:val="center"/>
          </w:tcPr>
          <w:p>
            <w:pPr>
              <w:jc w:val="left"/>
            </w:pPr>
            <w:r>
              <w:rPr>
                <w:rFonts w:ascii="Calibri" w:cs="Calibri" w:eastAsia="Calibri" w:hAnsi="Calibri"/>
                <w:b/>
                <w:bCs/>
                <w:color w:val="13233F"/>
                <w:sz w:val="20"/>
                <w:szCs w:val="20"/>
              </w:rPr>
              <w:t xml:space="preserve">Status</w:t>
            </w:r>
          </w:p>
        </w:tc>
        <w:tc>
          <w:tcPr>
            <w:tcW w:type="dxa" w:w="67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Specification complete — build in progress</w:t>
            </w:r>
          </w:p>
        </w:tc>
      </w:tr>
    </w:tbl>
    <w:p>
      <w:r>
        <w:br w:type="page"/>
      </w:r>
    </w:p>
    <w:p>
      <w:pPr>
        <w:pStyle w:val="Heading1"/>
        <w:spacing w:after="320"/>
      </w:pPr>
      <w:r>
        <w:rPr>
          <w:rFonts w:ascii="Calibri" w:cs="Calibri" w:eastAsia="Calibri" w:hAnsi="Calibri"/>
          <w:b/>
          <w:bCs/>
          <w:color w:val="1F3864"/>
        </w:rPr>
        <w:t xml:space="preserve">Table of Contents</w:t>
      </w:r>
    </w:p>
    <w:p>
      <w:pPr>
        <w:tabs>
          <w:tab w:val="right" w:pos="9026" w:leader="dot"/>
        </w:tabs>
        <w:spacing w:after="160"/>
      </w:pPr>
      <w:r>
        <w:rPr>
          <w:rFonts w:ascii="Calibri" w:cs="Calibri" w:eastAsia="Calibri" w:hAnsi="Calibri"/>
          <w:b/>
          <w:bCs/>
          <w:color w:val="2E74B5"/>
          <w:sz w:val="22"/>
          <w:szCs w:val="22"/>
        </w:rPr>
        <w:t xml:space="preserve">1   </w:t>
      </w:r>
      <w:r>
        <w:rPr>
          <w:rFonts w:ascii="Calibri" w:cs="Calibri" w:eastAsia="Calibri" w:hAnsi="Calibri"/>
          <w:color w:val="13233F"/>
          <w:sz w:val="22"/>
          <w:szCs w:val="22"/>
        </w:rPr>
        <w:t xml:space="preserve">What Is DMI Campus Connect?</w:t>
      </w:r>
      <w:r>
        <w:rPr>
          <w:rFonts w:ascii="Calibri" w:cs="Calibri" w:eastAsia="Calibri" w:hAnsi="Calibri"/>
          <w:color w:val="404040"/>
          <w:sz w:val="22"/>
          <w:szCs w:val="22"/>
        </w:rPr>
        <w:t xml:space="preserve">	3</w:t>
      </w:r>
    </w:p>
    <w:p>
      <w:pPr>
        <w:tabs>
          <w:tab w:val="right" w:pos="9026" w:leader="dot"/>
        </w:tabs>
        <w:spacing w:after="160"/>
      </w:pPr>
      <w:r>
        <w:rPr>
          <w:rFonts w:ascii="Calibri" w:cs="Calibri" w:eastAsia="Calibri" w:hAnsi="Calibri"/>
          <w:b/>
          <w:bCs/>
          <w:color w:val="2E74B5"/>
          <w:sz w:val="22"/>
          <w:szCs w:val="22"/>
        </w:rPr>
        <w:t xml:space="preserve">2   </w:t>
      </w:r>
      <w:r>
        <w:rPr>
          <w:rFonts w:ascii="Calibri" w:cs="Calibri" w:eastAsia="Calibri" w:hAnsi="Calibri"/>
          <w:color w:val="13233F"/>
          <w:sz w:val="22"/>
          <w:szCs w:val="22"/>
        </w:rPr>
        <w:t xml:space="preserve">The Five Roles, In Detail</w:t>
      </w:r>
      <w:r>
        <w:rPr>
          <w:rFonts w:ascii="Calibri" w:cs="Calibri" w:eastAsia="Calibri" w:hAnsi="Calibri"/>
          <w:color w:val="404040"/>
          <w:sz w:val="22"/>
          <w:szCs w:val="22"/>
        </w:rPr>
        <w:t xml:space="preserve">	4</w:t>
      </w:r>
    </w:p>
    <w:p>
      <w:pPr>
        <w:tabs>
          <w:tab w:val="right" w:pos="9026" w:leader="dot"/>
        </w:tabs>
        <w:spacing w:after="160"/>
      </w:pPr>
      <w:r>
        <w:rPr>
          <w:rFonts w:ascii="Calibri" w:cs="Calibri" w:eastAsia="Calibri" w:hAnsi="Calibri"/>
          <w:b/>
          <w:bCs/>
          <w:color w:val="2E74B5"/>
          <w:sz w:val="22"/>
          <w:szCs w:val="22"/>
        </w:rPr>
        <w:t xml:space="preserve">3   </w:t>
      </w:r>
      <w:r>
        <w:rPr>
          <w:rFonts w:ascii="Calibri" w:cs="Calibri" w:eastAsia="Calibri" w:hAnsi="Calibri"/>
          <w:color w:val="13233F"/>
          <w:sz w:val="22"/>
          <w:szCs w:val="22"/>
        </w:rPr>
        <w:t xml:space="preserve">Technology Stack</w:t>
      </w:r>
      <w:r>
        <w:rPr>
          <w:rFonts w:ascii="Calibri" w:cs="Calibri" w:eastAsia="Calibri" w:hAnsi="Calibri"/>
          <w:color w:val="404040"/>
          <w:sz w:val="22"/>
          <w:szCs w:val="22"/>
        </w:rPr>
        <w:t xml:space="preserve">	5</w:t>
      </w:r>
    </w:p>
    <w:p>
      <w:pPr>
        <w:tabs>
          <w:tab w:val="right" w:pos="9026" w:leader="dot"/>
        </w:tabs>
        <w:spacing w:after="160"/>
      </w:pPr>
      <w:r>
        <w:rPr>
          <w:rFonts w:ascii="Calibri" w:cs="Calibri" w:eastAsia="Calibri" w:hAnsi="Calibri"/>
          <w:b/>
          <w:bCs/>
          <w:color w:val="2E74B5"/>
          <w:sz w:val="22"/>
          <w:szCs w:val="22"/>
        </w:rPr>
        <w:t xml:space="preserve">4   </w:t>
      </w:r>
      <w:r>
        <w:rPr>
          <w:rFonts w:ascii="Calibri" w:cs="Calibri" w:eastAsia="Calibri" w:hAnsi="Calibri"/>
          <w:color w:val="13233F"/>
          <w:sz w:val="22"/>
          <w:szCs w:val="22"/>
        </w:rPr>
        <w:t xml:space="preserve">System Architecture</w:t>
      </w:r>
      <w:r>
        <w:rPr>
          <w:rFonts w:ascii="Calibri" w:cs="Calibri" w:eastAsia="Calibri" w:hAnsi="Calibri"/>
          <w:color w:val="404040"/>
          <w:sz w:val="22"/>
          <w:szCs w:val="22"/>
        </w:rPr>
        <w:t xml:space="preserve">	6</w:t>
      </w:r>
    </w:p>
    <w:p>
      <w:pPr>
        <w:tabs>
          <w:tab w:val="right" w:pos="9026" w:leader="dot"/>
        </w:tabs>
        <w:spacing w:after="160"/>
      </w:pPr>
      <w:r>
        <w:rPr>
          <w:rFonts w:ascii="Calibri" w:cs="Calibri" w:eastAsia="Calibri" w:hAnsi="Calibri"/>
          <w:b/>
          <w:bCs/>
          <w:color w:val="2E74B5"/>
          <w:sz w:val="22"/>
          <w:szCs w:val="22"/>
        </w:rPr>
        <w:t xml:space="preserve">5   </w:t>
      </w:r>
      <w:r>
        <w:rPr>
          <w:rFonts w:ascii="Calibri" w:cs="Calibri" w:eastAsia="Calibri" w:hAnsi="Calibri"/>
          <w:color w:val="13233F"/>
          <w:sz w:val="22"/>
          <w:szCs w:val="22"/>
        </w:rPr>
        <w:t xml:space="preserve">The 13 Feature Modules</w:t>
      </w:r>
      <w:r>
        <w:rPr>
          <w:rFonts w:ascii="Calibri" w:cs="Calibri" w:eastAsia="Calibri" w:hAnsi="Calibri"/>
          <w:color w:val="404040"/>
          <w:sz w:val="22"/>
          <w:szCs w:val="22"/>
        </w:rPr>
        <w:t xml:space="preserve">	7</w:t>
      </w:r>
    </w:p>
    <w:p>
      <w:pPr>
        <w:tabs>
          <w:tab w:val="right" w:pos="9026" w:leader="dot"/>
        </w:tabs>
        <w:spacing w:after="160"/>
      </w:pPr>
      <w:r>
        <w:rPr>
          <w:rFonts w:ascii="Calibri" w:cs="Calibri" w:eastAsia="Calibri" w:hAnsi="Calibri"/>
          <w:b/>
          <w:bCs/>
          <w:color w:val="2E74B5"/>
          <w:sz w:val="22"/>
          <w:szCs w:val="22"/>
        </w:rPr>
        <w:t xml:space="preserve">6   </w:t>
      </w:r>
      <w:r>
        <w:rPr>
          <w:rFonts w:ascii="Calibri" w:cs="Calibri" w:eastAsia="Calibri" w:hAnsi="Calibri"/>
          <w:color w:val="13233F"/>
          <w:sz w:val="22"/>
          <w:szCs w:val="22"/>
        </w:rPr>
        <w:t xml:space="preserve">Data Model At a Glance</w:t>
      </w:r>
      <w:r>
        <w:rPr>
          <w:rFonts w:ascii="Calibri" w:cs="Calibri" w:eastAsia="Calibri" w:hAnsi="Calibri"/>
          <w:color w:val="404040"/>
          <w:sz w:val="22"/>
          <w:szCs w:val="22"/>
        </w:rPr>
        <w:t xml:space="preserve">	8</w:t>
      </w:r>
    </w:p>
    <w:p>
      <w:pPr>
        <w:tabs>
          <w:tab w:val="right" w:pos="9026" w:leader="dot"/>
        </w:tabs>
        <w:spacing w:after="160"/>
      </w:pPr>
      <w:r>
        <w:rPr>
          <w:rFonts w:ascii="Calibri" w:cs="Calibri" w:eastAsia="Calibri" w:hAnsi="Calibri"/>
          <w:b/>
          <w:bCs/>
          <w:color w:val="2E74B5"/>
          <w:sz w:val="22"/>
          <w:szCs w:val="22"/>
        </w:rPr>
        <w:t xml:space="preserve">7   </w:t>
      </w:r>
      <w:r>
        <w:rPr>
          <w:rFonts w:ascii="Calibri" w:cs="Calibri" w:eastAsia="Calibri" w:hAnsi="Calibri"/>
          <w:color w:val="13233F"/>
          <w:sz w:val="22"/>
          <w:szCs w:val="22"/>
        </w:rPr>
        <w:t xml:space="preserve">How the Team Is Building This</w:t>
      </w:r>
      <w:r>
        <w:rPr>
          <w:rFonts w:ascii="Calibri" w:cs="Calibri" w:eastAsia="Calibri" w:hAnsi="Calibri"/>
          <w:color w:val="404040"/>
          <w:sz w:val="22"/>
          <w:szCs w:val="22"/>
        </w:rPr>
        <w:t xml:space="preserve">	9</w:t>
      </w:r>
    </w:p>
    <w:p>
      <w:pPr>
        <w:tabs>
          <w:tab w:val="right" w:pos="9026" w:leader="dot"/>
        </w:tabs>
        <w:spacing w:after="160"/>
      </w:pPr>
      <w:r>
        <w:rPr>
          <w:rFonts w:ascii="Calibri" w:cs="Calibri" w:eastAsia="Calibri" w:hAnsi="Calibri"/>
          <w:b/>
          <w:bCs/>
          <w:color w:val="2E74B5"/>
          <w:sz w:val="22"/>
          <w:szCs w:val="22"/>
        </w:rPr>
        <w:t xml:space="preserve">8   </w:t>
      </w:r>
      <w:r>
        <w:rPr>
          <w:rFonts w:ascii="Calibri" w:cs="Calibri" w:eastAsia="Calibri" w:hAnsi="Calibri"/>
          <w:color w:val="13233F"/>
          <w:sz w:val="22"/>
          <w:szCs w:val="22"/>
        </w:rPr>
        <w:t xml:space="preserve">Project Documentation Map</w:t>
      </w:r>
      <w:r>
        <w:rPr>
          <w:rFonts w:ascii="Calibri" w:cs="Calibri" w:eastAsia="Calibri" w:hAnsi="Calibri"/>
          <w:color w:val="404040"/>
          <w:sz w:val="22"/>
          <w:szCs w:val="22"/>
        </w:rPr>
        <w:t xml:space="preserve">	10</w:t>
      </w:r>
    </w:p>
    <w:p>
      <w:r>
        <w:br w:type="page"/>
      </w:r>
    </w:p>
    <w:p>
      <w:pPr>
        <w:pStyle w:val="Heading1"/>
        <w:pBdr>
          <w:bottom w:val="single" w:color="2E74B5" w:sz="8" w:space="6"/>
        </w:pBdr>
        <w:spacing w:after="240" w:before="480"/>
      </w:pPr>
      <w:r>
        <w:rPr>
          <w:rFonts w:ascii="Calibri" w:cs="Calibri" w:eastAsia="Calibri" w:hAnsi="Calibri"/>
          <w:b/>
          <w:bCs/>
          <w:color w:val="2E74B5"/>
        </w:rPr>
        <w:t xml:space="preserve">1  </w:t>
      </w:r>
      <w:r>
        <w:rPr>
          <w:rFonts w:ascii="Calibri" w:cs="Calibri" w:eastAsia="Calibri" w:hAnsi="Calibri"/>
          <w:b/>
          <w:bCs/>
          <w:color w:val="1F3864"/>
        </w:rPr>
        <w:t xml:space="preserve">What Is DMI Campus Connect?</w:t>
      </w:r>
    </w:p>
    <w:p>
      <w:pPr>
        <w:spacing w:after="160" w:line="276"/>
        <w:jc w:val="both"/>
      </w:pPr>
      <w:r>
        <w:rPr>
          <w:rFonts w:ascii="Calibri" w:cs="Calibri" w:eastAsia="Calibri" w:hAnsi="Calibri"/>
          <w:b w:val="false"/>
          <w:bCs w:val="false"/>
          <w:i w:val="false"/>
          <w:iCs w:val="false"/>
          <w:color w:val="404040"/>
          <w:sz w:val="22"/>
          <w:szCs w:val="22"/>
        </w:rPr>
        <w:t xml:space="preserve">DMI Campus Connect is a campus ERP (Enterprise Resource Planning) web application being built from scratch to run the day-to-day academic and administrative life of an institute. It replaces the scattered mix of spreadsheets, notice boards, and disconnected tools that campuses typically rely on with a single system that every person in the institute — students, teaching staff, department heads, administrators, and parents — logs into and uses for their own view of the same underlying data.</w:t>
      </w:r>
    </w:p>
    <w:p>
      <w:pPr>
        <w:spacing w:after="160" w:line="276"/>
        <w:jc w:val="both"/>
      </w:pPr>
      <w:r>
        <w:rPr>
          <w:rFonts w:ascii="Calibri" w:cs="Calibri" w:eastAsia="Calibri" w:hAnsi="Calibri"/>
          <w:b w:val="false"/>
          <w:bCs w:val="false"/>
          <w:i w:val="false"/>
          <w:iCs w:val="false"/>
          <w:color w:val="404040"/>
          <w:sz w:val="22"/>
          <w:szCs w:val="22"/>
        </w:rPr>
        <w:t xml:space="preserve">The core idea is simple: one system, five very different experiences. A Student opens the app to see today's timetable and their attendance percentage. A Faculty member opens the same app to mark that same attendance and grade assignments. An HOD opens it to see department-wide numbers. An Admin opens it to run the institute. A Parent opens it to check on their child. All five are looking at different slices of the same connected data, not five different databases that happen to sit near each other.</w:t>
      </w:r>
    </w:p>
    <w:p>
      <w:pPr>
        <w:pStyle w:val="Heading2"/>
        <w:spacing w:after="160" w:before="320"/>
      </w:pPr>
      <w:r>
        <w:rPr>
          <w:rFonts w:ascii="Calibri" w:cs="Calibri" w:eastAsia="Calibri" w:hAnsi="Calibri"/>
          <w:b/>
          <w:bCs/>
          <w:color w:val="13233F"/>
        </w:rPr>
        <w:t xml:space="preserve">1.1 Why Build This</w:t>
      </w:r>
    </w:p>
    <w:p>
      <w:pPr>
        <w:pStyle w:val="ListParagraph"/>
        <w:numPr>
          <w:ilvl w:val="0"/>
          <w:numId w:val="2"/>
        </w:numPr>
        <w:spacing w:after="90" w:line="264"/>
      </w:pPr>
      <w:r>
        <w:rPr>
          <w:rFonts w:ascii="Calibri" w:cs="Calibri" w:eastAsia="Calibri" w:hAnsi="Calibri"/>
          <w:color w:val="404040"/>
          <w:sz w:val="22"/>
          <w:szCs w:val="22"/>
        </w:rPr>
        <w:t xml:space="preserve">Attendance, results, fees, and announcements currently live in disconnected spreadsheets, paper registers, and ad hoc WhatsApp/notice-board communication — nothing talks to anything else</w:t>
      </w:r>
    </w:p>
    <w:p>
      <w:pPr>
        <w:pStyle w:val="ListParagraph"/>
        <w:numPr>
          <w:ilvl w:val="0"/>
          <w:numId w:val="2"/>
        </w:numPr>
        <w:spacing w:after="90" w:line="264"/>
      </w:pPr>
      <w:r>
        <w:rPr>
          <w:rFonts w:ascii="Calibri" w:cs="Calibri" w:eastAsia="Calibri" w:hAnsi="Calibri"/>
          <w:color w:val="404040"/>
          <w:sz w:val="22"/>
          <w:szCs w:val="22"/>
        </w:rPr>
        <w:t xml:space="preserve">Faculty spend real time on manual, repetitive record-keeping (attendance registers, marks sheets) that a system can do faster and with fewer errors</w:t>
      </w:r>
    </w:p>
    <w:p>
      <w:pPr>
        <w:pStyle w:val="ListParagraph"/>
        <w:numPr>
          <w:ilvl w:val="0"/>
          <w:numId w:val="2"/>
        </w:numPr>
        <w:spacing w:after="90" w:line="264"/>
      </w:pPr>
      <w:r>
        <w:rPr>
          <w:rFonts w:ascii="Calibri" w:cs="Calibri" w:eastAsia="Calibri" w:hAnsi="Calibri"/>
          <w:color w:val="404040"/>
          <w:sz w:val="22"/>
          <w:szCs w:val="22"/>
        </w:rPr>
        <w:t xml:space="preserve">Students and parents have no single place to check standing — attendance shortage, pending fees, or a dropping grade is often discovered too late to act on</w:t>
      </w:r>
    </w:p>
    <w:p>
      <w:pPr>
        <w:pStyle w:val="ListParagraph"/>
        <w:numPr>
          <w:ilvl w:val="0"/>
          <w:numId w:val="2"/>
        </w:numPr>
        <w:spacing w:after="90" w:line="264"/>
      </w:pPr>
      <w:r>
        <w:rPr>
          <w:rFonts w:ascii="Calibri" w:cs="Calibri" w:eastAsia="Calibri" w:hAnsi="Calibri"/>
          <w:color w:val="404040"/>
          <w:sz w:val="22"/>
          <w:szCs w:val="22"/>
        </w:rPr>
        <w:t xml:space="preserve">Department and institute leadership lack real-time visibility into attendance trends, pass rates, and faculty workload without manually compiling reports</w:t>
      </w:r>
    </w:p>
    <w:p>
      <w:pPr>
        <w:pStyle w:val="Heading2"/>
        <w:spacing w:after="160" w:before="320"/>
      </w:pPr>
      <w:r>
        <w:rPr>
          <w:rFonts w:ascii="Calibri" w:cs="Calibri" w:eastAsia="Calibri" w:hAnsi="Calibri"/>
          <w:b/>
          <w:bCs/>
          <w:color w:val="13233F"/>
        </w:rPr>
        <w:t xml:space="preserve">1.2 What Makes This a Non-Trivial Build</w:t>
      </w:r>
    </w:p>
    <w:p>
      <w:pPr>
        <w:spacing w:after="160" w:line="276"/>
        <w:jc w:val="both"/>
      </w:pPr>
      <w:r>
        <w:rPr>
          <w:rFonts w:ascii="Calibri" w:cs="Calibri" w:eastAsia="Calibri" w:hAnsi="Calibri"/>
          <w:b w:val="false"/>
          <w:bCs w:val="false"/>
          <w:i w:val="false"/>
          <w:iCs w:val="false"/>
          <w:color w:val="404040"/>
          <w:sz w:val="22"/>
          <w:szCs w:val="22"/>
        </w:rPr>
        <w:t xml:space="preserve">This isn't a simple CRUD app with a login screen bolted on. Two things make it genuinely hard to get right, and both are called out explicitly throughout the project documentation:</w:t>
      </w:r>
    </w:p>
    <w:tbl>
      <w:tblPr>
        <w:tblW w:type="pct" w:w="100%"/>
        <w:tblBorders>
          <w:top w:val="single" w:color="2E74B5" w:sz="4"/>
          <w:left w:val="single" w:color="2E74B5" w:sz="24"/>
          <w:bottom w:val="single" w:color="2E74B5" w:sz="4"/>
          <w:right w:val="single" w:color="2E74B5" w:sz="4"/>
          <w:insideH w:val="none" w:color="FFFFFF" w:sz="0"/>
          <w:insideV w:val="none" w:color="FFFFFF" w:sz="0"/>
        </w:tblBorders>
      </w:tblPr>
      <w:tblGrid>
        <w:gridCol w:w="100"/>
      </w:tblGrid>
      <w:tr>
        <w:tc>
          <w:tcPr>
            <w:shd w:fill="DCE6F1" w:val="clear"/>
            <w:tcMar>
              <w:top w:type="dxa" w:w="160"/>
              <w:left w:type="dxa" w:w="220"/>
              <w:bottom w:type="dxa" w:w="160"/>
              <w:right w:type="dxa" w:w="220"/>
            </w:tcMar>
          </w:tcPr>
          <w:p>
            <w:pPr>
              <w:spacing w:after="100"/>
            </w:pPr>
            <w:r>
              <w:rPr>
                <w:rFonts w:ascii="Calibri" w:cs="Calibri" w:eastAsia="Calibri" w:hAnsi="Calibri"/>
                <w:b/>
                <w:bCs/>
                <w:color w:val="13233F"/>
                <w:sz w:val="22"/>
                <w:szCs w:val="22"/>
              </w:rPr>
              <w:t xml:space="preserve">The two things that separate this from an easy build</w:t>
            </w:r>
          </w:p>
          <w:p>
            <w:pPr>
              <w:spacing w:after="60"/>
            </w:pPr>
            <w:r>
              <w:rPr>
                <w:rFonts w:ascii="Calibri" w:cs="Calibri" w:eastAsia="Calibri" w:hAnsi="Calibri"/>
                <w:color w:val="2E74B5"/>
                <w:sz w:val="20"/>
                <w:szCs w:val="20"/>
              </w:rPr>
              <w:t xml:space="preserve">•  </w:t>
            </w:r>
            <w:r>
              <w:rPr>
                <w:rFonts w:ascii="Calibri" w:cs="Calibri" w:eastAsia="Calibri" w:hAnsi="Calibri"/>
                <w:color w:val="404040"/>
                <w:sz w:val="20"/>
                <w:szCs w:val="20"/>
              </w:rPr>
              <w:t xml:space="preserve">Role-based data visibility is a first-class design constraint, not an afterthought. Almost every screen changes shape depending on who's looking at it, and one rule — a Parent may only ever see their own child's data — is enforced at the database-query level on every single request, never assumed from the UI.</w:t>
            </w:r>
          </w:p>
          <w:p>
            <w:pPr>
              <w:spacing w:after="60"/>
            </w:pPr>
            <w:r>
              <w:rPr>
                <w:rFonts w:ascii="Calibri" w:cs="Calibri" w:eastAsia="Calibri" w:hAnsi="Calibri"/>
                <w:color w:val="2E74B5"/>
                <w:sz w:val="20"/>
                <w:szCs w:val="20"/>
              </w:rPr>
              <w:t xml:space="preserve">•  </w:t>
            </w:r>
            <w:r>
              <w:rPr>
                <w:rFonts w:ascii="Calibri" w:cs="Calibri" w:eastAsia="Calibri" w:hAnsi="Calibri"/>
                <w:color w:val="404040"/>
                <w:sz w:val="20"/>
                <w:szCs w:val="20"/>
              </w:rPr>
              <w:t xml:space="preserve">Two calculations are correctness-critical: the attendance percentage (a specific On-Duty/Medical-Leave rule) and the GPA/CGPA grading pipeline. A silent bug in either produces a wrong permanent academic record — not a cosmetic bug, a real one. Both get dedicated worked examples, unit tests, and manual verification requirements in their respective module briefs.</w:t>
            </w:r>
          </w:p>
        </w:tc>
      </w:tr>
    </w:tbl>
    <w:p>
      <w:pPr>
        <w:pStyle w:val="Heading1"/>
        <w:pBdr>
          <w:bottom w:val="single" w:color="2E74B5" w:sz="8" w:space="6"/>
        </w:pBdr>
        <w:spacing w:after="240" w:before="480"/>
      </w:pPr>
      <w:r>
        <w:rPr>
          <w:rFonts w:ascii="Calibri" w:cs="Calibri" w:eastAsia="Calibri" w:hAnsi="Calibri"/>
          <w:b/>
          <w:bCs/>
          <w:color w:val="2E74B5"/>
        </w:rPr>
        <w:t xml:space="preserve">2  </w:t>
      </w:r>
      <w:r>
        <w:rPr>
          <w:rFonts w:ascii="Calibri" w:cs="Calibri" w:eastAsia="Calibri" w:hAnsi="Calibri"/>
          <w:b/>
          <w:bCs/>
          <w:color w:val="1F3864"/>
        </w:rPr>
        <w:t xml:space="preserve">The Five Roles, In Detail</w:t>
      </w:r>
    </w:p>
    <w:p>
      <w:pPr>
        <w:spacing w:after="160" w:line="276"/>
        <w:jc w:val="both"/>
      </w:pPr>
      <w:r>
        <w:rPr>
          <w:rFonts w:ascii="Calibri" w:cs="Calibri" w:eastAsia="Calibri" w:hAnsi="Calibri"/>
          <w:b w:val="false"/>
          <w:bCs w:val="false"/>
          <w:i w:val="false"/>
          <w:iCs w:val="false"/>
          <w:color w:val="404040"/>
          <w:sz w:val="22"/>
          <w:szCs w:val="22"/>
        </w:rPr>
        <w:t xml:space="preserve">Every feature in this system exists to serve one (often several) of these five roles. Understanding what each role actually does in the system — not just their job title — is the foundation for everything else in this document.</w:t>
      </w:r>
    </w:p>
    <w:p>
      <w:pPr>
        <w:pStyle w:val="Heading2"/>
        <w:spacing w:after="160" w:before="320"/>
      </w:pPr>
      <w:r>
        <w:rPr>
          <w:rFonts w:ascii="Calibri" w:cs="Calibri" w:eastAsia="Calibri" w:hAnsi="Calibri"/>
          <w:b/>
          <w:bCs/>
          <w:color w:val="13233F"/>
        </w:rPr>
        <w:t xml:space="preserve">2.1 Student</w:t>
      </w:r>
    </w:p>
    <w:p>
      <w:pPr>
        <w:spacing w:after="160" w:line="276"/>
        <w:jc w:val="both"/>
      </w:pPr>
      <w:r>
        <w:rPr>
          <w:rFonts w:ascii="Calibri" w:cs="Calibri" w:eastAsia="Calibri" w:hAnsi="Calibri"/>
          <w:b w:val="false"/>
          <w:bCs w:val="false"/>
          <w:i w:val="false"/>
          <w:iCs w:val="false"/>
          <w:color w:val="404040"/>
          <w:sz w:val="22"/>
          <w:szCs w:val="22"/>
        </w:rPr>
        <w:t xml:space="preserve">The largest user group. A Student's daily use of the app centers on knowing where they stand: attendance, timetable, upcoming work, and grades.</w:t>
      </w:r>
    </w:p>
    <w:p>
      <w:pPr>
        <w:pStyle w:val="ListParagraph"/>
        <w:numPr>
          <w:ilvl w:val="0"/>
          <w:numId w:val="2"/>
        </w:numPr>
        <w:spacing w:after="90" w:line="264"/>
      </w:pPr>
      <w:r>
        <w:rPr>
          <w:rFonts w:ascii="Calibri" w:cs="Calibri" w:eastAsia="Calibri" w:hAnsi="Calibri"/>
          <w:color w:val="404040"/>
          <w:sz w:val="22"/>
          <w:szCs w:val="22"/>
        </w:rPr>
        <w:t xml:space="preserve">Views their own timetable, attendance percentage (overall and per subject), and day-by-day history</w:t>
      </w:r>
    </w:p>
    <w:p>
      <w:pPr>
        <w:pStyle w:val="ListParagraph"/>
        <w:numPr>
          <w:ilvl w:val="0"/>
          <w:numId w:val="2"/>
        </w:numPr>
        <w:spacing w:after="90" w:line="264"/>
      </w:pPr>
      <w:r>
        <w:rPr>
          <w:rFonts w:ascii="Calibri" w:cs="Calibri" w:eastAsia="Calibri" w:hAnsi="Calibri"/>
          <w:color w:val="404040"/>
          <w:sz w:val="22"/>
          <w:szCs w:val="22"/>
        </w:rPr>
        <w:t xml:space="preserve">Submits assignments, tracks due dates, and sees grades/feedback once released</w:t>
      </w:r>
    </w:p>
    <w:p>
      <w:pPr>
        <w:pStyle w:val="ListParagraph"/>
        <w:numPr>
          <w:ilvl w:val="0"/>
          <w:numId w:val="2"/>
        </w:numPr>
        <w:spacing w:after="90" w:line="264"/>
      </w:pPr>
      <w:r>
        <w:rPr>
          <w:rFonts w:ascii="Calibri" w:cs="Calibri" w:eastAsia="Calibri" w:hAnsi="Calibri"/>
          <w:color w:val="404040"/>
          <w:sz w:val="22"/>
          <w:szCs w:val="22"/>
        </w:rPr>
        <w:t xml:space="preserve">Sees their exam schedule (hall, seat), and once published, their semester results — GPA, CGPA, arrears clearly flagged</w:t>
      </w:r>
    </w:p>
    <w:p>
      <w:pPr>
        <w:pStyle w:val="ListParagraph"/>
        <w:numPr>
          <w:ilvl w:val="0"/>
          <w:numId w:val="2"/>
        </w:numPr>
        <w:spacing w:after="90" w:line="264"/>
      </w:pPr>
      <w:r>
        <w:rPr>
          <w:rFonts w:ascii="Calibri" w:cs="Calibri" w:eastAsia="Calibri" w:hAnsi="Calibri"/>
          <w:color w:val="404040"/>
          <w:sz w:val="22"/>
          <w:szCs w:val="22"/>
        </w:rPr>
        <w:t xml:space="preserve">Browses study materials Faculty upload, per subject</w:t>
      </w:r>
    </w:p>
    <w:p>
      <w:pPr>
        <w:pStyle w:val="ListParagraph"/>
        <w:numPr>
          <w:ilvl w:val="0"/>
          <w:numId w:val="2"/>
        </w:numPr>
        <w:spacing w:after="90" w:line="264"/>
      </w:pPr>
      <w:r>
        <w:rPr>
          <w:rFonts w:ascii="Calibri" w:cs="Calibri" w:eastAsia="Calibri" w:hAnsi="Calibri"/>
          <w:color w:val="404040"/>
          <w:sz w:val="22"/>
          <w:szCs w:val="22"/>
        </w:rPr>
        <w:t xml:space="preserve">Sees fee dues by head, with status and receipts</w:t>
      </w:r>
    </w:p>
    <w:p>
      <w:pPr>
        <w:pStyle w:val="ListParagraph"/>
        <w:numPr>
          <w:ilvl w:val="0"/>
          <w:numId w:val="2"/>
        </w:numPr>
        <w:spacing w:after="90" w:line="264"/>
      </w:pPr>
      <w:r>
        <w:rPr>
          <w:rFonts w:ascii="Calibri" w:cs="Calibri" w:eastAsia="Calibri" w:hAnsi="Calibri"/>
          <w:color w:val="404040"/>
          <w:sz w:val="22"/>
          <w:szCs w:val="22"/>
        </w:rPr>
        <w:t xml:space="preserve">Submits leave requests and tracks their status</w:t>
      </w:r>
    </w:p>
    <w:p>
      <w:pPr>
        <w:pStyle w:val="ListParagraph"/>
        <w:numPr>
          <w:ilvl w:val="0"/>
          <w:numId w:val="2"/>
        </w:numPr>
        <w:spacing w:after="90" w:line="264"/>
      </w:pPr>
      <w:r>
        <w:rPr>
          <w:rFonts w:ascii="Calibri" w:cs="Calibri" w:eastAsia="Calibri" w:hAnsi="Calibri"/>
          <w:color w:val="404040"/>
          <w:sz w:val="22"/>
          <w:szCs w:val="22"/>
        </w:rPr>
        <w:t xml:space="preserve">Browses placement drives they're eligible for and registers; requests certificates</w:t>
      </w:r>
    </w:p>
    <w:p>
      <w:pPr>
        <w:pStyle w:val="Heading2"/>
        <w:spacing w:after="160" w:before="320"/>
      </w:pPr>
      <w:r>
        <w:rPr>
          <w:rFonts w:ascii="Calibri" w:cs="Calibri" w:eastAsia="Calibri" w:hAnsi="Calibri"/>
          <w:b/>
          <w:bCs/>
          <w:color w:val="13233F"/>
        </w:rPr>
        <w:t xml:space="preserve">2.2 Faculty</w:t>
      </w:r>
    </w:p>
    <w:p>
      <w:pPr>
        <w:spacing w:after="160" w:line="276"/>
        <w:jc w:val="both"/>
      </w:pPr>
      <w:r>
        <w:rPr>
          <w:rFonts w:ascii="Calibri" w:cs="Calibri" w:eastAsia="Calibri" w:hAnsi="Calibri"/>
          <w:b w:val="false"/>
          <w:bCs w:val="false"/>
          <w:i w:val="false"/>
          <w:iCs w:val="false"/>
          <w:color w:val="404040"/>
          <w:sz w:val="22"/>
          <w:szCs w:val="22"/>
        </w:rPr>
        <w:t xml:space="preserve">Faculty are the primary data-entry role in the system — most of what Students and Parents see originates from something a Faculty member records.</w:t>
      </w:r>
    </w:p>
    <w:p>
      <w:pPr>
        <w:pStyle w:val="ListParagraph"/>
        <w:numPr>
          <w:ilvl w:val="0"/>
          <w:numId w:val="2"/>
        </w:numPr>
        <w:spacing w:after="90" w:line="264"/>
      </w:pPr>
      <w:r>
        <w:rPr>
          <w:rFonts w:ascii="Calibri" w:cs="Calibri" w:eastAsia="Calibri" w:hAnsi="Calibri"/>
          <w:color w:val="404040"/>
          <w:sz w:val="22"/>
          <w:szCs w:val="22"/>
        </w:rPr>
        <w:t xml:space="preserve">Marks attendance for their classes — a full class register per subject/section/date/period in one pass</w:t>
      </w:r>
    </w:p>
    <w:p>
      <w:pPr>
        <w:pStyle w:val="ListParagraph"/>
        <w:numPr>
          <w:ilvl w:val="0"/>
          <w:numId w:val="2"/>
        </w:numPr>
        <w:spacing w:after="90" w:line="264"/>
      </w:pPr>
      <w:r>
        <w:rPr>
          <w:rFonts w:ascii="Calibri" w:cs="Calibri" w:eastAsia="Calibri" w:hAnsi="Calibri"/>
          <w:color w:val="404040"/>
          <w:sz w:val="22"/>
          <w:szCs w:val="22"/>
        </w:rPr>
        <w:t xml:space="preserve">Creates assignments, reviews submissions, and grades them with a score and feedback</w:t>
      </w:r>
    </w:p>
    <w:p>
      <w:pPr>
        <w:pStyle w:val="ListParagraph"/>
        <w:numPr>
          <w:ilvl w:val="0"/>
          <w:numId w:val="2"/>
        </w:numPr>
        <w:spacing w:after="90" w:line="264"/>
      </w:pPr>
      <w:r>
        <w:rPr>
          <w:rFonts w:ascii="Calibri" w:cs="Calibri" w:eastAsia="Calibri" w:hAnsi="Calibri"/>
          <w:color w:val="404040"/>
          <w:sz w:val="22"/>
          <w:szCs w:val="22"/>
        </w:rPr>
        <w:t xml:space="preserve">Enters marks for internal assessments, feeding the grading pipeline</w:t>
      </w:r>
    </w:p>
    <w:p>
      <w:pPr>
        <w:pStyle w:val="ListParagraph"/>
        <w:numPr>
          <w:ilvl w:val="0"/>
          <w:numId w:val="2"/>
        </w:numPr>
        <w:spacing w:after="90" w:line="264"/>
      </w:pPr>
      <w:r>
        <w:rPr>
          <w:rFonts w:ascii="Calibri" w:cs="Calibri" w:eastAsia="Calibri" w:hAnsi="Calibri"/>
          <w:color w:val="404040"/>
          <w:sz w:val="22"/>
          <w:szCs w:val="22"/>
        </w:rPr>
        <w:t xml:space="preserve">Uploads study materials for subjects they teach</w:t>
      </w:r>
    </w:p>
    <w:p>
      <w:pPr>
        <w:pStyle w:val="ListParagraph"/>
        <w:numPr>
          <w:ilvl w:val="0"/>
          <w:numId w:val="2"/>
        </w:numPr>
        <w:spacing w:after="90" w:line="264"/>
      </w:pPr>
      <w:r>
        <w:rPr>
          <w:rFonts w:ascii="Calibri" w:cs="Calibri" w:eastAsia="Calibri" w:hAnsi="Calibri"/>
          <w:color w:val="404040"/>
          <w:sz w:val="22"/>
          <w:szCs w:val="22"/>
        </w:rPr>
        <w:t xml:space="preserve">Approves or rejects leave requests from students, where routed to them</w:t>
      </w:r>
    </w:p>
    <w:p>
      <w:pPr>
        <w:pStyle w:val="ListParagraph"/>
        <w:numPr>
          <w:ilvl w:val="0"/>
          <w:numId w:val="2"/>
        </w:numPr>
        <w:spacing w:after="90" w:line="264"/>
      </w:pPr>
      <w:r>
        <w:rPr>
          <w:rFonts w:ascii="Calibri" w:cs="Calibri" w:eastAsia="Calibri" w:hAnsi="Calibri"/>
          <w:color w:val="404040"/>
          <w:sz w:val="22"/>
          <w:szCs w:val="22"/>
        </w:rPr>
        <w:t xml:space="preserve">Sees their own combined weekly timetable across every section they teach</w:t>
      </w:r>
    </w:p>
    <w:p>
      <w:pPr>
        <w:pStyle w:val="ListParagraph"/>
        <w:numPr>
          <w:ilvl w:val="0"/>
          <w:numId w:val="2"/>
        </w:numPr>
        <w:spacing w:after="90" w:line="264"/>
      </w:pPr>
      <w:r>
        <w:rPr>
          <w:rFonts w:ascii="Calibri" w:cs="Calibri" w:eastAsia="Calibri" w:hAnsi="Calibri"/>
          <w:color w:val="404040"/>
          <w:sz w:val="22"/>
          <w:szCs w:val="22"/>
        </w:rPr>
        <w:t xml:space="preserve">Sees a subject-performance summary for classes they teach</w:t>
      </w:r>
    </w:p>
    <w:p>
      <w:pPr>
        <w:pStyle w:val="Heading2"/>
        <w:spacing w:after="160" w:before="320"/>
      </w:pPr>
      <w:r>
        <w:rPr>
          <w:rFonts w:ascii="Calibri" w:cs="Calibri" w:eastAsia="Calibri" w:hAnsi="Calibri"/>
          <w:b/>
          <w:bCs/>
          <w:color w:val="13233F"/>
        </w:rPr>
        <w:t xml:space="preserve">2.3 HOD (Head of Department)</w:t>
      </w:r>
    </w:p>
    <w:p>
      <w:pPr>
        <w:spacing w:after="160" w:line="276"/>
        <w:jc w:val="both"/>
      </w:pPr>
      <w:r>
        <w:rPr>
          <w:rFonts w:ascii="Calibri" w:cs="Calibri" w:eastAsia="Calibri" w:hAnsi="Calibri"/>
          <w:b w:val="false"/>
          <w:bCs w:val="false"/>
          <w:i w:val="false"/>
          <w:iCs w:val="false"/>
          <w:color w:val="404040"/>
          <w:sz w:val="22"/>
          <w:szCs w:val="22"/>
        </w:rPr>
        <w:t xml:space="preserve">A department-scoped supervisory role — everything an HOD sees and does is restricted to their own department, enforced server-side, never a UI-only restriction.</w:t>
      </w:r>
    </w:p>
    <w:p>
      <w:pPr>
        <w:pStyle w:val="ListParagraph"/>
        <w:numPr>
          <w:ilvl w:val="0"/>
          <w:numId w:val="2"/>
        </w:numPr>
        <w:spacing w:after="90" w:line="264"/>
      </w:pPr>
      <w:r>
        <w:rPr>
          <w:rFonts w:ascii="Calibri" w:cs="Calibri" w:eastAsia="Calibri" w:hAnsi="Calibri"/>
          <w:color w:val="404040"/>
          <w:sz w:val="22"/>
          <w:szCs w:val="22"/>
        </w:rPr>
        <w:t xml:space="preserve">Sees department-wide attendance and pass-rate summaries, with drill-down to individual sections and students</w:t>
      </w:r>
    </w:p>
    <w:p>
      <w:pPr>
        <w:pStyle w:val="ListParagraph"/>
        <w:numPr>
          <w:ilvl w:val="0"/>
          <w:numId w:val="2"/>
        </w:numPr>
        <w:spacing w:after="90" w:line="264"/>
      </w:pPr>
      <w:r>
        <w:rPr>
          <w:rFonts w:ascii="Calibri" w:cs="Calibri" w:eastAsia="Calibri" w:hAnsi="Calibri"/>
          <w:color w:val="404040"/>
          <w:sz w:val="22"/>
          <w:szCs w:val="22"/>
        </w:rPr>
        <w:t xml:space="preserve">Allocates subjects to Faculty within their department, with over-allocation prevented</w:t>
      </w:r>
    </w:p>
    <w:p>
      <w:pPr>
        <w:pStyle w:val="ListParagraph"/>
        <w:numPr>
          <w:ilvl w:val="0"/>
          <w:numId w:val="2"/>
        </w:numPr>
        <w:spacing w:after="90" w:line="264"/>
      </w:pPr>
      <w:r>
        <w:rPr>
          <w:rFonts w:ascii="Calibri" w:cs="Calibri" w:eastAsia="Calibri" w:hAnsi="Calibri"/>
          <w:color w:val="404040"/>
          <w:sz w:val="22"/>
          <w:szCs w:val="22"/>
        </w:rPr>
        <w:t xml:space="preserve">Approves leave requests escalated to them and other department-level approvals</w:t>
      </w:r>
    </w:p>
    <w:p>
      <w:pPr>
        <w:pStyle w:val="ListParagraph"/>
        <w:numPr>
          <w:ilvl w:val="0"/>
          <w:numId w:val="2"/>
        </w:numPr>
        <w:spacing w:after="90" w:line="264"/>
      </w:pPr>
      <w:r>
        <w:rPr>
          <w:rFonts w:ascii="Calibri" w:cs="Calibri" w:eastAsia="Calibri" w:hAnsi="Calibri"/>
          <w:color w:val="404040"/>
          <w:sz w:val="22"/>
          <w:szCs w:val="22"/>
        </w:rPr>
        <w:t xml:space="preserve">Creates and edits the department's timetable, with double-booking conflicts surfaced before saving</w:t>
      </w:r>
    </w:p>
    <w:p>
      <w:pPr>
        <w:pStyle w:val="ListParagraph"/>
        <w:numPr>
          <w:ilvl w:val="0"/>
          <w:numId w:val="2"/>
        </w:numPr>
        <w:spacing w:after="90" w:line="264"/>
      </w:pPr>
      <w:r>
        <w:rPr>
          <w:rFonts w:ascii="Calibri" w:cs="Calibri" w:eastAsia="Calibri" w:hAnsi="Calibri"/>
          <w:color w:val="404040"/>
          <w:sz w:val="22"/>
          <w:szCs w:val="22"/>
        </w:rPr>
        <w:t xml:space="preserve">Reviews faculty workload and faculty feedback summaries for their department</w:t>
      </w:r>
    </w:p>
    <w:p>
      <w:pPr>
        <w:pStyle w:val="Heading2"/>
        <w:spacing w:after="160" w:before="320"/>
      </w:pPr>
      <w:r>
        <w:rPr>
          <w:rFonts w:ascii="Calibri" w:cs="Calibri" w:eastAsia="Calibri" w:hAnsi="Calibri"/>
          <w:b/>
          <w:bCs/>
          <w:color w:val="13233F"/>
        </w:rPr>
        <w:t xml:space="preserve">2.4 Admin</w:t>
      </w:r>
    </w:p>
    <w:p>
      <w:pPr>
        <w:spacing w:after="160" w:line="276"/>
        <w:jc w:val="both"/>
      </w:pPr>
      <w:r>
        <w:rPr>
          <w:rFonts w:ascii="Calibri" w:cs="Calibri" w:eastAsia="Calibri" w:hAnsi="Calibri"/>
          <w:b w:val="false"/>
          <w:bCs w:val="false"/>
          <w:i w:val="false"/>
          <w:iCs w:val="false"/>
          <w:color w:val="404040"/>
          <w:sz w:val="22"/>
          <w:szCs w:val="22"/>
        </w:rPr>
        <w:t xml:space="preserve">The institute-wide operational role — Admin is the only role with unrestricted visibility and the only role that manages system configuration.</w:t>
      </w:r>
    </w:p>
    <w:p>
      <w:pPr>
        <w:pStyle w:val="ListParagraph"/>
        <w:numPr>
          <w:ilvl w:val="0"/>
          <w:numId w:val="2"/>
        </w:numPr>
        <w:spacing w:after="90" w:line="264"/>
      </w:pPr>
      <w:r>
        <w:rPr>
          <w:rFonts w:ascii="Calibri" w:cs="Calibri" w:eastAsia="Calibri" w:hAnsi="Calibri"/>
          <w:color w:val="404040"/>
          <w:sz w:val="22"/>
          <w:szCs w:val="22"/>
        </w:rPr>
        <w:t xml:space="preserve">Creates and manages every account across all roles — Students, Faculty, HODs, Parents</w:t>
      </w:r>
    </w:p>
    <w:p>
      <w:pPr>
        <w:pStyle w:val="ListParagraph"/>
        <w:numPr>
          <w:ilvl w:val="0"/>
          <w:numId w:val="2"/>
        </w:numPr>
        <w:spacing w:after="90" w:line="264"/>
      </w:pPr>
      <w:r>
        <w:rPr>
          <w:rFonts w:ascii="Calibri" w:cs="Calibri" w:eastAsia="Calibri" w:hAnsi="Calibri"/>
          <w:color w:val="404040"/>
          <w:sz w:val="22"/>
          <w:szCs w:val="22"/>
        </w:rPr>
        <w:t xml:space="preserve">Manages the institutional structure — departments, courses, semesters, sections, subjects</w:t>
      </w:r>
    </w:p>
    <w:p>
      <w:pPr>
        <w:pStyle w:val="ListParagraph"/>
        <w:numPr>
          <w:ilvl w:val="0"/>
          <w:numId w:val="2"/>
        </w:numPr>
        <w:spacing w:after="90" w:line="264"/>
      </w:pPr>
      <w:r>
        <w:rPr>
          <w:rFonts w:ascii="Calibri" w:cs="Calibri" w:eastAsia="Calibri" w:hAnsi="Calibri"/>
          <w:color w:val="404040"/>
          <w:sz w:val="22"/>
          <w:szCs w:val="22"/>
        </w:rPr>
        <w:t xml:space="preserve">Defines fee structures and reconciles payments made outside the online flow</w:t>
      </w:r>
    </w:p>
    <w:p>
      <w:pPr>
        <w:pStyle w:val="ListParagraph"/>
        <w:numPr>
          <w:ilvl w:val="0"/>
          <w:numId w:val="2"/>
        </w:numPr>
        <w:spacing w:after="90" w:line="264"/>
      </w:pPr>
      <w:r>
        <w:rPr>
          <w:rFonts w:ascii="Calibri" w:cs="Calibri" w:eastAsia="Calibri" w:hAnsi="Calibri"/>
          <w:color w:val="404040"/>
          <w:sz w:val="22"/>
          <w:szCs w:val="22"/>
        </w:rPr>
        <w:t xml:space="preserve">Schedules exams and manages hall/seat allocation institute-wide</w:t>
      </w:r>
    </w:p>
    <w:p>
      <w:pPr>
        <w:pStyle w:val="ListParagraph"/>
        <w:numPr>
          <w:ilvl w:val="0"/>
          <w:numId w:val="2"/>
        </w:numPr>
        <w:spacing w:after="90" w:line="264"/>
      </w:pPr>
      <w:r>
        <w:rPr>
          <w:rFonts w:ascii="Calibri" w:cs="Calibri" w:eastAsia="Calibri" w:hAnsi="Calibri"/>
          <w:color w:val="404040"/>
          <w:sz w:val="22"/>
          <w:szCs w:val="22"/>
        </w:rPr>
        <w:t xml:space="preserve">Publishes semester results across the institute</w:t>
      </w:r>
    </w:p>
    <w:p>
      <w:pPr>
        <w:pStyle w:val="ListParagraph"/>
        <w:numPr>
          <w:ilvl w:val="0"/>
          <w:numId w:val="2"/>
        </w:numPr>
        <w:spacing w:after="90" w:line="264"/>
      </w:pPr>
      <w:r>
        <w:rPr>
          <w:rFonts w:ascii="Calibri" w:cs="Calibri" w:eastAsia="Calibri" w:hAnsi="Calibri"/>
          <w:color w:val="404040"/>
          <w:sz w:val="22"/>
          <w:szCs w:val="22"/>
        </w:rPr>
        <w:t xml:space="preserve">Manages placement drives and reviews certificate requests</w:t>
      </w:r>
    </w:p>
    <w:p>
      <w:pPr>
        <w:pStyle w:val="ListParagraph"/>
        <w:numPr>
          <w:ilvl w:val="0"/>
          <w:numId w:val="2"/>
        </w:numPr>
        <w:spacing w:after="90" w:line="264"/>
      </w:pPr>
      <w:r>
        <w:rPr>
          <w:rFonts w:ascii="Calibri" w:cs="Calibri" w:eastAsia="Calibri" w:hAnsi="Calibri"/>
          <w:color w:val="404040"/>
          <w:sz w:val="22"/>
          <w:szCs w:val="22"/>
        </w:rPr>
        <w:t xml:space="preserve">Views institute-wide reporting across attendance, academics, fees, and placement, filterable by department/semester/date range</w:t>
      </w:r>
    </w:p>
    <w:p>
      <w:pPr>
        <w:pStyle w:val="Heading2"/>
        <w:spacing w:after="160" w:before="320"/>
      </w:pPr>
      <w:r>
        <w:rPr>
          <w:rFonts w:ascii="Calibri" w:cs="Calibri" w:eastAsia="Calibri" w:hAnsi="Calibri"/>
          <w:b/>
          <w:bCs/>
          <w:color w:val="13233F"/>
        </w:rPr>
        <w:t xml:space="preserve">2.5 Parent</w:t>
      </w:r>
    </w:p>
    <w:p>
      <w:pPr>
        <w:spacing w:after="160" w:line="276"/>
        <w:jc w:val="both"/>
      </w:pPr>
      <w:r>
        <w:rPr>
          <w:rFonts w:ascii="Calibri" w:cs="Calibri" w:eastAsia="Calibri" w:hAnsi="Calibri"/>
          <w:b w:val="false"/>
          <w:bCs w:val="false"/>
          <w:i w:val="false"/>
          <w:iCs w:val="false"/>
          <w:color w:val="404040"/>
          <w:sz w:val="22"/>
          <w:szCs w:val="22"/>
        </w:rPr>
        <w:t xml:space="preserve">A deliberately narrow, read-only role — the single most security-sensitive rule in the whole system exists because of this role.</w:t>
      </w:r>
    </w:p>
    <w:p>
      <w:pPr>
        <w:pStyle w:val="ListParagraph"/>
        <w:numPr>
          <w:ilvl w:val="0"/>
          <w:numId w:val="2"/>
        </w:numPr>
        <w:spacing w:after="90" w:line="264"/>
      </w:pPr>
      <w:r>
        <w:rPr>
          <w:rFonts w:ascii="Calibri" w:cs="Calibri" w:eastAsia="Calibri" w:hAnsi="Calibri"/>
          <w:color w:val="404040"/>
          <w:sz w:val="22"/>
          <w:szCs w:val="22"/>
        </w:rPr>
        <w:t xml:space="preserve">Sees a snapshot of their own child's ("ward's") attendance, recent results, and fee status</w:t>
      </w:r>
    </w:p>
    <w:p>
      <w:pPr>
        <w:pStyle w:val="ListParagraph"/>
        <w:numPr>
          <w:ilvl w:val="0"/>
          <w:numId w:val="2"/>
        </w:numPr>
        <w:spacing w:after="90" w:line="264"/>
      </w:pPr>
      <w:r>
        <w:rPr>
          <w:rFonts w:ascii="Calibri" w:cs="Calibri" w:eastAsia="Calibri" w:hAnsi="Calibri"/>
          <w:color w:val="404040"/>
          <w:sz w:val="22"/>
          <w:szCs w:val="22"/>
        </w:rPr>
        <w:t xml:space="preserve">Can be linked to more than one child; a child can have more than one linked parent</w:t>
      </w:r>
    </w:p>
    <w:tbl>
      <w:tblPr>
        <w:tblW w:type="pct" w:w="100%"/>
        <w:tblBorders>
          <w:top w:val="single" w:color="B45309" w:sz="4"/>
          <w:left w:val="single" w:color="B45309" w:sz="24"/>
          <w:bottom w:val="single" w:color="B45309" w:sz="4"/>
          <w:right w:val="single" w:color="B45309" w:sz="4"/>
          <w:insideH w:val="none" w:color="FFFFFF" w:sz="0"/>
          <w:insideV w:val="none" w:color="FFFFFF" w:sz="0"/>
        </w:tblBorders>
      </w:tblPr>
      <w:tblGrid>
        <w:gridCol w:w="100"/>
      </w:tblGrid>
      <w:tr>
        <w:tc>
          <w:tcPr>
            <w:shd w:fill="FDF1E1" w:val="clear"/>
            <w:tcMar>
              <w:top w:type="dxa" w:w="160"/>
              <w:left w:type="dxa" w:w="220"/>
              <w:bottom w:type="dxa" w:w="160"/>
              <w:right w:type="dxa" w:w="220"/>
            </w:tcMar>
          </w:tcPr>
          <w:p>
            <w:pPr>
              <w:spacing w:after="100"/>
            </w:pPr>
            <w:r>
              <w:rPr>
                <w:rFonts w:ascii="Calibri" w:cs="Calibri" w:eastAsia="Calibri" w:hAnsi="Calibri"/>
                <w:b/>
                <w:bCs/>
                <w:color w:val="13233F"/>
                <w:sz w:val="22"/>
                <w:szCs w:val="22"/>
              </w:rPr>
              <w:t xml:space="preserve">The one rule that governs everything a Parent can do</w:t>
            </w:r>
          </w:p>
          <w:p>
            <w:pPr>
              <w:spacing w:after="60"/>
            </w:pPr>
            <w:r>
              <w:rPr>
                <w:rFonts w:ascii="Calibri" w:cs="Calibri" w:eastAsia="Calibri" w:hAnsi="Calibri"/>
                <w:color w:val="B45309"/>
                <w:sz w:val="20"/>
                <w:szCs w:val="20"/>
              </w:rPr>
              <w:t xml:space="preserve">•  </w:t>
            </w:r>
            <w:r>
              <w:rPr>
                <w:rFonts w:ascii="Calibri" w:cs="Calibri" w:eastAsia="Calibri" w:hAnsi="Calibri"/>
                <w:color w:val="404040"/>
                <w:sz w:val="20"/>
                <w:szCs w:val="20"/>
              </w:rPr>
              <w:t xml:space="preserve">A Parent account may only ever read data belonging to their own linked ward — enforced server-side on every single request, never trusted from a client-supplied student ID.</w:t>
            </w:r>
          </w:p>
          <w:p>
            <w:pPr>
              <w:spacing w:after="60"/>
            </w:pPr>
            <w:r>
              <w:rPr>
                <w:rFonts w:ascii="Calibri" w:cs="Calibri" w:eastAsia="Calibri" w:hAnsi="Calibri"/>
                <w:color w:val="B45309"/>
                <w:sz w:val="20"/>
                <w:szCs w:val="20"/>
              </w:rPr>
              <w:t xml:space="preserve">•  </w:t>
            </w:r>
            <w:r>
              <w:rPr>
                <w:rFonts w:ascii="Calibri" w:cs="Calibri" w:eastAsia="Calibri" w:hAnsi="Calibri"/>
                <w:color w:val="404040"/>
                <w:sz w:val="20"/>
                <w:szCs w:val="20"/>
              </w:rPr>
              <w:t xml:space="preserve">This rule is implemented once, in Module 1, as a shared function every other module that returns student data must call. It is treated as security-critical, not merely correctness-critical, throughout the project documentation.</w:t>
            </w:r>
          </w:p>
        </w:tc>
      </w:tr>
    </w:tbl>
    <w:p>
      <w:pPr>
        <w:pStyle w:val="Heading1"/>
        <w:pBdr>
          <w:bottom w:val="single" w:color="2E74B5" w:sz="8" w:space="6"/>
        </w:pBdr>
        <w:spacing w:after="240" w:before="480"/>
      </w:pPr>
      <w:r>
        <w:rPr>
          <w:rFonts w:ascii="Calibri" w:cs="Calibri" w:eastAsia="Calibri" w:hAnsi="Calibri"/>
          <w:b/>
          <w:bCs/>
          <w:color w:val="2E74B5"/>
        </w:rPr>
        <w:t xml:space="preserve">3  </w:t>
      </w:r>
      <w:r>
        <w:rPr>
          <w:rFonts w:ascii="Calibri" w:cs="Calibri" w:eastAsia="Calibri" w:hAnsi="Calibri"/>
          <w:b/>
          <w:bCs/>
          <w:color w:val="1F3864"/>
        </w:rPr>
        <w:t xml:space="preserve">Technology Stack</w:t>
      </w:r>
    </w:p>
    <w:p>
      <w:pPr>
        <w:spacing w:after="160" w:line="276"/>
        <w:jc w:val="both"/>
      </w:pPr>
      <w:r>
        <w:rPr>
          <w:rFonts w:ascii="Calibri" w:cs="Calibri" w:eastAsia="Calibri" w:hAnsi="Calibri"/>
          <w:b w:val="false"/>
          <w:bCs w:val="false"/>
          <w:i w:val="false"/>
          <w:iCs w:val="false"/>
          <w:color w:val="404040"/>
          <w:sz w:val="22"/>
          <w:szCs w:val="22"/>
        </w:rPr>
        <w:t xml:space="preserve">The stack was chosen for a team of developers building in parallel with heavy AI coding assistance — each layer is widely documented (so AI-generated code is reliable) and the pieces integrate cleanly without exotic glue code.</w:t>
      </w:r>
    </w:p>
    <w:p>
      <w:pPr>
        <w:pStyle w:val="Heading2"/>
        <w:spacing w:after="160" w:before="320"/>
      </w:pPr>
      <w:r>
        <w:rPr>
          <w:rFonts w:ascii="Calibri" w:cs="Calibri" w:eastAsia="Calibri" w:hAnsi="Calibri"/>
          <w:b/>
          <w:bCs/>
          <w:color w:val="13233F"/>
        </w:rPr>
        <w:t xml:space="preserve">3.1 Frontend</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6600"/>
      </w:tblGrid>
      <w:tr>
        <w:trPr>
          <w:tblHeader/>
        </w:trPr>
        <w:tc>
          <w:tcPr>
            <w:tcW w:type="dxa" w:w="24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Technology</w:t>
            </w:r>
          </w:p>
        </w:tc>
        <w:tc>
          <w:tcPr>
            <w:tcW w:type="dxa" w:w="66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Role in the Project</w:t>
            </w:r>
          </w:p>
        </w:tc>
      </w:tr>
      <w:tr>
        <w:tc>
          <w:tcPr>
            <w:tcW w:type="dxa" w:w="24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Next.js</w:t>
            </w:r>
          </w:p>
        </w:tc>
        <w:tc>
          <w:tcPr>
            <w:tcW w:type="dxa" w:w="66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The application framework — routing (App Router), server/client component split, and the overall project structure every module's screens live in</w:t>
            </w:r>
          </w:p>
        </w:tc>
      </w:tr>
      <w:tr>
        <w:tc>
          <w:tcPr>
            <w:tcW w:type="dxa" w:w="24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React.js</w:t>
            </w:r>
          </w:p>
        </w:tc>
        <w:tc>
          <w:tcPr>
            <w:tcW w:type="dxa" w:w="66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The UI library Next.js is built on — components, hooks, state</w:t>
            </w:r>
          </w:p>
        </w:tc>
      </w:tr>
      <w:tr>
        <w:tc>
          <w:tcPr>
            <w:tcW w:type="dxa" w:w="24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Tailwind CSS</w:t>
            </w:r>
          </w:p>
        </w:tc>
        <w:tc>
          <w:tcPr>
            <w:tcW w:type="dxa" w:w="66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Styling — every screen across all 13 modules uses one shared Tailwind theme (colors, typography, spacing) defined once in Module 2, so the finished product looks like one designed system, not 13 different styles</w:t>
            </w:r>
          </w:p>
        </w:tc>
      </w:tr>
    </w:tbl>
    <w:p>
      <w:pPr>
        <w:pStyle w:val="Heading2"/>
        <w:spacing w:after="160" w:before="320"/>
      </w:pPr>
      <w:r>
        <w:rPr>
          <w:rFonts w:ascii="Calibri" w:cs="Calibri" w:eastAsia="Calibri" w:hAnsi="Calibri"/>
          <w:b/>
          <w:bCs/>
          <w:color w:val="13233F"/>
        </w:rPr>
        <w:t xml:space="preserve">3.2 Backend</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6600"/>
      </w:tblGrid>
      <w:tr>
        <w:trPr>
          <w:tblHeader/>
        </w:trPr>
        <w:tc>
          <w:tcPr>
            <w:tcW w:type="dxa" w:w="24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Technology</w:t>
            </w:r>
          </w:p>
        </w:tc>
        <w:tc>
          <w:tcPr>
            <w:tcW w:type="dxa" w:w="66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Role in the Project</w:t>
            </w:r>
          </w:p>
        </w:tc>
      </w:tr>
      <w:tr>
        <w:tc>
          <w:tcPr>
            <w:tcW w:type="dxa" w:w="24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Python</w:t>
            </w:r>
          </w:p>
        </w:tc>
        <w:tc>
          <w:tcPr>
            <w:tcW w:type="dxa" w:w="66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The backend implementation language across all 13 modules</w:t>
            </w:r>
          </w:p>
        </w:tc>
      </w:tr>
      <w:tr>
        <w:tc>
          <w:tcPr>
            <w:tcW w:type="dxa" w:w="24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Flask</w:t>
            </w:r>
          </w:p>
        </w:tc>
        <w:tc>
          <w:tcPr>
            <w:tcW w:type="dxa" w:w="66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The web framework — each module is a Flask blueprint exposing its own REST API endpoints under a shared app</w:t>
            </w:r>
          </w:p>
        </w:tc>
      </w:tr>
      <w:tr>
        <w:tc>
          <w:tcPr>
            <w:tcW w:type="dxa" w:w="24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Flask-JWT-Extended</w:t>
            </w:r>
          </w:p>
        </w:tc>
        <w:tc>
          <w:tcPr>
            <w:tcW w:type="dxa" w:w="66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Authentication — JSON Web Tokens for session handling, issued and verified by Module 1, used by every other module's protected endpoints</w:t>
            </w:r>
          </w:p>
        </w:tc>
      </w:tr>
    </w:tbl>
    <w:p>
      <w:pPr>
        <w:pStyle w:val="Heading2"/>
        <w:spacing w:after="160" w:before="320"/>
      </w:pPr>
      <w:r>
        <w:rPr>
          <w:rFonts w:ascii="Calibri" w:cs="Calibri" w:eastAsia="Calibri" w:hAnsi="Calibri"/>
          <w:b/>
          <w:bCs/>
          <w:color w:val="13233F"/>
        </w:rPr>
        <w:t xml:space="preserve">3.3 Database &amp; Storage</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6600"/>
      </w:tblGrid>
      <w:tr>
        <w:trPr>
          <w:tblHeader/>
        </w:trPr>
        <w:tc>
          <w:tcPr>
            <w:tcW w:type="dxa" w:w="24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Technology</w:t>
            </w:r>
          </w:p>
        </w:tc>
        <w:tc>
          <w:tcPr>
            <w:tcW w:type="dxa" w:w="66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Role in the Project</w:t>
            </w:r>
          </w:p>
        </w:tc>
      </w:tr>
      <w:tr>
        <w:tc>
          <w:tcPr>
            <w:tcW w:type="dxa" w:w="24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MongoDB Atlas</w:t>
            </w:r>
          </w:p>
        </w:tc>
        <w:tc>
          <w:tcPr>
            <w:tcW w:type="dxa" w:w="66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The single database for the entire system — a managed, cloud-hosted MongoDB cluster. Every module's data lives here as its own set of collections, referencing other modules' documents by ObjectId rather than duplicating data</w:t>
            </w:r>
          </w:p>
        </w:tc>
      </w:tr>
      <w:tr>
        <w:tc>
          <w:tcPr>
            <w:tcW w:type="dxa" w:w="24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Cloudinary</w:t>
            </w:r>
          </w:p>
        </w:tc>
        <w:tc>
          <w:tcPr>
            <w:tcW w:type="dxa" w:w="66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File storage for everything that isn't structured data — profile photos, assignment submission files, study materials, certificates. Files upload directly from the browser to Cloudinary via signed uploads, never passing through the Flask server</w:t>
            </w:r>
          </w:p>
        </w:tc>
      </w:tr>
    </w:tbl>
    <w:p>
      <w:pPr>
        <w:pStyle w:val="Heading2"/>
        <w:spacing w:after="160" w:before="320"/>
      </w:pPr>
      <w:r>
        <w:rPr>
          <w:rFonts w:ascii="Calibri" w:cs="Calibri" w:eastAsia="Calibri" w:hAnsi="Calibri"/>
          <w:b/>
          <w:bCs/>
          <w:color w:val="13233F"/>
        </w:rPr>
        <w:t xml:space="preserve">3.4 Why MongoDB (Not a Relational Database)</w:t>
      </w:r>
    </w:p>
    <w:p>
      <w:pPr>
        <w:spacing w:after="160" w:line="276"/>
        <w:jc w:val="both"/>
      </w:pPr>
      <w:r>
        <w:rPr>
          <w:rFonts w:ascii="Calibri" w:cs="Calibri" w:eastAsia="Calibri" w:hAnsi="Calibri"/>
          <w:b w:val="false"/>
          <w:bCs w:val="false"/>
          <w:i w:val="false"/>
          <w:iCs w:val="false"/>
          <w:color w:val="404040"/>
          <w:sz w:val="22"/>
          <w:szCs w:val="22"/>
        </w:rPr>
        <w:t xml:space="preserve">The system is built around role-scoped documents (a Student's record, an Attendance summary, a Result) that map naturally to MongoDB's document model, and the team's AI-assisted, parallel-module build process benefits from each module owning its own collections without requiring a single, centrally-coordinated relational schema migration for every change. Relational integrity between modules (e.g. a Subject referencing a Department) is maintained through disciplined use of ObjectId references and validation at the application layer, documented per-module in each Module Brief's data model section.</w:t>
      </w:r>
    </w:p>
    <w:p>
      <w:pPr>
        <w:pStyle w:val="Heading1"/>
        <w:pBdr>
          <w:bottom w:val="single" w:color="2E74B5" w:sz="8" w:space="6"/>
        </w:pBdr>
        <w:spacing w:after="240" w:before="480"/>
      </w:pPr>
      <w:r>
        <w:rPr>
          <w:rFonts w:ascii="Calibri" w:cs="Calibri" w:eastAsia="Calibri" w:hAnsi="Calibri"/>
          <w:b/>
          <w:bCs/>
          <w:color w:val="2E74B5"/>
        </w:rPr>
        <w:t xml:space="preserve">4  </w:t>
      </w:r>
      <w:r>
        <w:rPr>
          <w:rFonts w:ascii="Calibri" w:cs="Calibri" w:eastAsia="Calibri" w:hAnsi="Calibri"/>
          <w:b/>
          <w:bCs/>
          <w:color w:val="1F3864"/>
        </w:rPr>
        <w:t xml:space="preserve">System Architecture</w:t>
      </w:r>
    </w:p>
    <w:p>
      <w:pPr>
        <w:spacing w:after="160" w:line="276"/>
        <w:jc w:val="both"/>
      </w:pPr>
      <w:r>
        <w:rPr>
          <w:rFonts w:ascii="Calibri" w:cs="Calibri" w:eastAsia="Calibri" w:hAnsi="Calibri"/>
          <w:b w:val="false"/>
          <w:bCs w:val="false"/>
          <w:i w:val="false"/>
          <w:iCs w:val="false"/>
          <w:color w:val="404040"/>
          <w:sz w:val="22"/>
          <w:szCs w:val="22"/>
        </w:rPr>
        <w:t xml:space="preserve">The system is organized into four conceptual layers. Every one of the 13 feature modules touches all four layers for its own slice of functionality — this is not a team split by layer (one team for frontend, one for backend); it's a split by feature, with each developer building their module's full stack.</w:t>
      </w:r>
    </w:p>
    <w:p>
      <w:pPr>
        <w:pStyle w:val="Heading2"/>
        <w:spacing w:after="160" w:before="320"/>
      </w:pPr>
      <w:r>
        <w:rPr>
          <w:rFonts w:ascii="Calibri" w:cs="Calibri" w:eastAsia="Calibri" w:hAnsi="Calibri"/>
          <w:b/>
          <w:bCs/>
          <w:color w:val="13233F"/>
        </w:rPr>
        <w:t xml:space="preserve">4.1 The Four Layers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3200"/>
        <w:gridCol w:w="6800"/>
      </w:tblGrid>
      <w:tr>
        <w:trPr>
          <w:tblHeader/>
        </w:trPr>
        <w:tc>
          <w:tcPr>
            <w:tcW w:type="dxa" w:w="32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Layer</w:t>
            </w:r>
          </w:p>
        </w:tc>
        <w:tc>
          <w:tcPr>
            <w:tcW w:type="dxa" w:w="68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What It Does</w:t>
            </w:r>
          </w:p>
        </w:tc>
      </w:tr>
      <w:tr>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Presentation (Next.js/React/Tailwind)</w:t>
            </w:r>
          </w:p>
        </w:tc>
        <w:tc>
          <w:tcPr>
            <w:tcW w:type="dxa" w:w="68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Role-aware screens; renders data, calls the backend API, enforces UI-level access as a first line of defense (never the only line)</w:t>
            </w:r>
          </w:p>
        </w:tc>
      </w:tr>
      <w:tr>
        <w:tc>
          <w:tcPr>
            <w:tcW w:type="dxa" w:w="32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API &amp; Auth (Flask + JWT)</w:t>
            </w:r>
          </w:p>
        </w:tc>
        <w:tc>
          <w:tcPr>
            <w:tcW w:type="dxa" w:w="68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Request validation, authentication, per-operation authorization, consistent error responses</w:t>
            </w:r>
          </w:p>
        </w:tc>
      </w:tr>
      <w:tr>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Business Logic (Flask, Python)</w:t>
            </w:r>
          </w:p>
        </w:tc>
        <w:tc>
          <w:tcPr>
            <w:tcW w:type="dxa" w:w="68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All calculations and workflow rules — attendance %, GPA/CGPA, conflict detection, eligibility checks. Owns correctness</w:t>
            </w:r>
          </w:p>
        </w:tc>
      </w:tr>
      <w:tr>
        <w:tc>
          <w:tcPr>
            <w:tcW w:type="dxa" w:w="32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Data (MongoDB Atlas + Cloudinary)</w:t>
            </w:r>
          </w:p>
        </w:tc>
        <w:tc>
          <w:tcPr>
            <w:tcW w:type="dxa" w:w="68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Persistent storage — structured data in MongoDB, files in Cloudinary</w:t>
            </w:r>
          </w:p>
        </w:tc>
      </w:tr>
    </w:tbl>
    <w:p>
      <w:pPr>
        <w:pStyle w:val="Heading2"/>
        <w:spacing w:after="160" w:before="320"/>
      </w:pPr>
      <w:r>
        <w:rPr>
          <w:rFonts w:ascii="Calibri" w:cs="Calibri" w:eastAsia="Calibri" w:hAnsi="Calibri"/>
          <w:b/>
          <w:bCs/>
          <w:color w:val="13233F"/>
        </w:rPr>
        <w:t xml:space="preserve">4.2 A Request's Journey — Worked Example</w:t>
      </w:r>
    </w:p>
    <w:p>
      <w:pPr>
        <w:spacing w:after="160" w:line="276"/>
        <w:jc w:val="both"/>
      </w:pPr>
      <w:r>
        <w:rPr>
          <w:rFonts w:ascii="Calibri" w:cs="Calibri" w:eastAsia="Calibri" w:hAnsi="Calibri"/>
          <w:b w:val="false"/>
          <w:bCs w:val="false"/>
          <w:i w:val="false"/>
          <w:iCs w:val="false"/>
          <w:color w:val="404040"/>
          <w:sz w:val="22"/>
          <w:szCs w:val="22"/>
        </w:rPr>
        <w:t xml:space="preserve">To make the architecture concrete: when a Faculty member marks a class as attended, here's what actually happens across the stack:</w:t>
      </w:r>
    </w:p>
    <w:p>
      <w:pPr>
        <w:pStyle w:val="ListParagraph"/>
        <w:numPr>
          <w:ilvl w:val="0"/>
          <w:numId w:val="3"/>
        </w:numPr>
        <w:spacing w:after="90" w:line="264"/>
      </w:pPr>
      <w:r>
        <w:rPr>
          <w:rFonts w:ascii="Calibri" w:cs="Calibri" w:eastAsia="Calibri" w:hAnsi="Calibri"/>
          <w:color w:val="404040"/>
          <w:sz w:val="22"/>
          <w:szCs w:val="22"/>
        </w:rPr>
        <w:t xml:space="preserve">Faculty opens the Attendance screen (Next.js) inside the shared app shell</w:t>
      </w:r>
    </w:p>
    <w:p>
      <w:pPr>
        <w:pStyle w:val="ListParagraph"/>
        <w:numPr>
          <w:ilvl w:val="0"/>
          <w:numId w:val="3"/>
        </w:numPr>
        <w:spacing w:after="90" w:line="264"/>
      </w:pPr>
      <w:r>
        <w:rPr>
          <w:rFonts w:ascii="Calibri" w:cs="Calibri" w:eastAsia="Calibri" w:hAnsi="Calibri"/>
          <w:color w:val="404040"/>
          <w:sz w:val="22"/>
          <w:szCs w:val="22"/>
        </w:rPr>
        <w:t xml:space="preserve">The screen calls the attendance-marking Flask endpoint, which validates the request and confirms via JWT that this Faculty member is authorized to mark this specific section</w:t>
      </w:r>
    </w:p>
    <w:p>
      <w:pPr>
        <w:pStyle w:val="ListParagraph"/>
        <w:numPr>
          <w:ilvl w:val="0"/>
          <w:numId w:val="3"/>
        </w:numPr>
        <w:spacing w:after="90" w:line="264"/>
      </w:pPr>
      <w:r>
        <w:rPr>
          <w:rFonts w:ascii="Calibri" w:cs="Calibri" w:eastAsia="Calibri" w:hAnsi="Calibri"/>
          <w:color w:val="404040"/>
          <w:sz w:val="22"/>
          <w:szCs w:val="22"/>
        </w:rPr>
        <w:t xml:space="preserve">The backend writes the register entries to MongoDB, preventing duplicate entries via a unique index</w:t>
      </w:r>
    </w:p>
    <w:p>
      <w:pPr>
        <w:pStyle w:val="ListParagraph"/>
        <w:numPr>
          <w:ilvl w:val="0"/>
          <w:numId w:val="3"/>
        </w:numPr>
        <w:spacing w:after="90" w:line="264"/>
      </w:pPr>
      <w:r>
        <w:rPr>
          <w:rFonts w:ascii="Calibri" w:cs="Calibri" w:eastAsia="Calibri" w:hAnsi="Calibri"/>
          <w:color w:val="404040"/>
          <w:sz w:val="22"/>
          <w:szCs w:val="22"/>
        </w:rPr>
        <w:t xml:space="preserve">The backend recalculates the affected students' attendance percentages using the centralized calculation logic, and if any student now falls below the shortage threshold, creates a notification record</w:t>
      </w:r>
    </w:p>
    <w:p>
      <w:pPr>
        <w:pStyle w:val="ListParagraph"/>
        <w:numPr>
          <w:ilvl w:val="0"/>
          <w:numId w:val="3"/>
        </w:numPr>
        <w:spacing w:after="90" w:line="264"/>
      </w:pPr>
      <w:r>
        <w:rPr>
          <w:rFonts w:ascii="Calibri" w:cs="Calibri" w:eastAsia="Calibri" w:hAnsi="Calibri"/>
          <w:color w:val="404040"/>
          <w:sz w:val="22"/>
          <w:szCs w:val="22"/>
        </w:rPr>
        <w:t xml:space="preserve">The notification module queues an email for delivery — asynchronously, without making the Faculty member wait for it</w:t>
      </w:r>
    </w:p>
    <w:p>
      <w:pPr>
        <w:pStyle w:val="ListParagraph"/>
        <w:numPr>
          <w:ilvl w:val="0"/>
          <w:numId w:val="3"/>
        </w:numPr>
        <w:spacing w:after="90" w:line="264"/>
      </w:pPr>
      <w:r>
        <w:rPr>
          <w:rFonts w:ascii="Calibri" w:cs="Calibri" w:eastAsia="Calibri" w:hAnsi="Calibri"/>
          <w:color w:val="404040"/>
          <w:sz w:val="22"/>
          <w:szCs w:val="22"/>
        </w:rPr>
        <w:t xml:space="preserve">The frontend receives a success response and updates the screen — the displayed number always comes from the server, never recalculated in the browser</w:t>
      </w:r>
    </w:p>
    <w:p>
      <w:pPr>
        <w:pStyle w:val="Heading1"/>
        <w:pBdr>
          <w:bottom w:val="single" w:color="2E74B5" w:sz="8" w:space="6"/>
        </w:pBdr>
        <w:spacing w:after="240" w:before="480"/>
      </w:pPr>
      <w:r>
        <w:rPr>
          <w:rFonts w:ascii="Calibri" w:cs="Calibri" w:eastAsia="Calibri" w:hAnsi="Calibri"/>
          <w:b/>
          <w:bCs/>
          <w:color w:val="2E74B5"/>
        </w:rPr>
        <w:t xml:space="preserve">5  </w:t>
      </w:r>
      <w:r>
        <w:rPr>
          <w:rFonts w:ascii="Calibri" w:cs="Calibri" w:eastAsia="Calibri" w:hAnsi="Calibri"/>
          <w:b/>
          <w:bCs/>
          <w:color w:val="1F3864"/>
        </w:rPr>
        <w:t xml:space="preserve">The 13 Feature Modules</w:t>
      </w:r>
    </w:p>
    <w:p>
      <w:pPr>
        <w:spacing w:after="160" w:line="276"/>
        <w:jc w:val="both"/>
      </w:pPr>
      <w:r>
        <w:rPr>
          <w:rFonts w:ascii="Calibri" w:cs="Calibri" w:eastAsia="Calibri" w:hAnsi="Calibri"/>
          <w:b w:val="false"/>
          <w:bCs w:val="false"/>
          <w:i w:val="false"/>
          <w:iCs w:val="false"/>
          <w:color w:val="404040"/>
          <w:sz w:val="22"/>
          <w:szCs w:val="22"/>
        </w:rPr>
        <w:t xml:space="preserve">The full feature set is organized into 13 self-contained, full-stack modules — each with its own MongoDB collections, Flask API, and Next.js screens, built by one developer per module. This is a feature/domain split, not a layer split: Module 4 (Attendance) owns its database design, its backend logic, and its screens, rather than three different people owning "all databases", "all backends", and "all frontends".</w:t>
      </w:r>
    </w:p>
    <w:p>
      <w:pPr>
        <w:pStyle w:val="Heading2"/>
        <w:spacing w:after="160" w:before="320"/>
      </w:pPr>
      <w:r>
        <w:rPr>
          <w:rFonts w:ascii="Calibri" w:cs="Calibri" w:eastAsia="Calibri" w:hAnsi="Calibri"/>
          <w:b/>
          <w:bCs/>
          <w:color w:val="13233F"/>
        </w:rPr>
        <w:t xml:space="preserve">5.1 Full Module Index</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500"/>
        <w:gridCol w:w="2800"/>
        <w:gridCol w:w="5700"/>
      </w:tblGrid>
      <w:tr>
        <w:trPr>
          <w:tblHeader/>
        </w:trPr>
        <w:tc>
          <w:tcPr>
            <w:tcW w:type="dxa" w:w="5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w:t>
            </w:r>
          </w:p>
        </w:tc>
        <w:tc>
          <w:tcPr>
            <w:tcW w:type="dxa" w:w="28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Module</w:t>
            </w:r>
          </w:p>
        </w:tc>
        <w:tc>
          <w:tcPr>
            <w:tcW w:type="dxa" w:w="57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What It Covers</w:t>
            </w:r>
          </w:p>
        </w:tc>
      </w:tr>
      <w:tr>
        <w:tc>
          <w:tcPr>
            <w:tcW w:type="dxa" w:w="5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1</w:t>
            </w:r>
          </w:p>
        </w:tc>
        <w:tc>
          <w:tcPr>
            <w:tcW w:type="dxa" w:w="28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Auth &amp; Core Users</w:t>
            </w:r>
          </w:p>
        </w:tc>
        <w:tc>
          <w:tcPr>
            <w:tcW w:type="dxa" w:w="57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Login, sessions (JWT), the core user model for all 5 roles, profile management, password reset</w:t>
            </w:r>
          </w:p>
        </w:tc>
      </w:tr>
      <w:tr>
        <w:tc>
          <w:tcPr>
            <w:tcW w:type="dxa" w:w="5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2</w:t>
            </w:r>
          </w:p>
        </w:tc>
        <w:tc>
          <w:tcPr>
            <w:tcW w:type="dxa" w:w="28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App Shell, Navigation &amp; Design System</w:t>
            </w:r>
          </w:p>
        </w:tc>
        <w:tc>
          <w:tcPr>
            <w:tcW w:type="dxa" w:w="57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The persistent sidebar/header, role-aware navigation, the 5 dashboards, and the shared Tailwind design system + component library every other module uses</w:t>
            </w:r>
          </w:p>
        </w:tc>
      </w:tr>
      <w:tr>
        <w:tc>
          <w:tcPr>
            <w:tcW w:type="dxa" w:w="5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3</w:t>
            </w:r>
          </w:p>
        </w:tc>
        <w:tc>
          <w:tcPr>
            <w:tcW w:type="dxa" w:w="28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People Directory &amp; Institutional Structure</w:t>
            </w:r>
          </w:p>
        </w:tc>
        <w:tc>
          <w:tcPr>
            <w:tcW w:type="dxa" w:w="57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Department/Course/Semester/Section/Subject management, Faculty-to-subject allocation, the searchable people directory</w:t>
            </w:r>
          </w:p>
        </w:tc>
      </w:tr>
      <w:tr>
        <w:tc>
          <w:tcPr>
            <w:tcW w:type="dxa" w:w="5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4</w:t>
            </w:r>
          </w:p>
        </w:tc>
        <w:tc>
          <w:tcPr>
            <w:tcW w:type="dxa" w:w="28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Attendance</w:t>
            </w:r>
          </w:p>
        </w:tc>
        <w:tc>
          <w:tcPr>
            <w:tcW w:type="dxa" w:w="57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Marking, the attendance percentage calculation (correctness-critical), shortage alerts, trend views</w:t>
            </w:r>
          </w:p>
        </w:tc>
      </w:tr>
      <w:tr>
        <w:tc>
          <w:tcPr>
            <w:tcW w:type="dxa" w:w="5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5</w:t>
            </w:r>
          </w:p>
        </w:tc>
        <w:tc>
          <w:tcPr>
            <w:tcW w:type="dxa" w:w="28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Timetable</w:t>
            </w:r>
          </w:p>
        </w:tc>
        <w:tc>
          <w:tcPr>
            <w:tcW w:type="dxa" w:w="57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Weekly schedule entries, double-booking conflict detection, personal and combined views</w:t>
            </w:r>
          </w:p>
        </w:tc>
      </w:tr>
      <w:tr>
        <w:tc>
          <w:tcPr>
            <w:tcW w:type="dxa" w:w="5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6</w:t>
            </w:r>
          </w:p>
        </w:tc>
        <w:tc>
          <w:tcPr>
            <w:tcW w:type="dxa" w:w="28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Academics &amp; Assignments</w:t>
            </w:r>
          </w:p>
        </w:tc>
        <w:tc>
          <w:tcPr>
            <w:tcW w:type="dxa" w:w="57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Subject listing, assignment creation, submission (via Cloudinary), grading</w:t>
            </w:r>
          </w:p>
        </w:tc>
      </w:tr>
      <w:tr>
        <w:tc>
          <w:tcPr>
            <w:tcW w:type="dxa" w:w="5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7</w:t>
            </w:r>
          </w:p>
        </w:tc>
        <w:tc>
          <w:tcPr>
            <w:tcW w:type="dxa" w:w="28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Study Materials</w:t>
            </w:r>
          </w:p>
        </w:tc>
        <w:tc>
          <w:tcPr>
            <w:tcW w:type="dxa" w:w="57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Faculty upload and Student browsing/download of notes, slides, and videos (via Cloudinary)</w:t>
            </w:r>
          </w:p>
        </w:tc>
      </w:tr>
      <w:tr>
        <w:tc>
          <w:tcPr>
            <w:tcW w:type="dxa" w:w="5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8</w:t>
            </w:r>
          </w:p>
        </w:tc>
        <w:tc>
          <w:tcPr>
            <w:tcW w:type="dxa" w:w="28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Examinations &amp; Grading</w:t>
            </w:r>
          </w:p>
        </w:tc>
        <w:tc>
          <w:tcPr>
            <w:tcW w:type="dxa" w:w="57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Exam scheduling and hall/seat allocation, marks entry, the GPA/CGPA grading pipeline (correctness-critical), arrears tracking</w:t>
            </w:r>
          </w:p>
        </w:tc>
      </w:tr>
      <w:tr>
        <w:tc>
          <w:tcPr>
            <w:tcW w:type="dxa" w:w="5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9</w:t>
            </w:r>
          </w:p>
        </w:tc>
        <w:tc>
          <w:tcPr>
            <w:tcW w:type="dxa" w:w="28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Fees</w:t>
            </w:r>
          </w:p>
        </w:tc>
        <w:tc>
          <w:tcPr>
            <w:tcW w:type="dxa" w:w="57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Fee structure management, Student/Parent fee status, Admin reconciliation, immutable payment records</w:t>
            </w:r>
          </w:p>
        </w:tc>
      </w:tr>
      <w:tr>
        <w:tc>
          <w:tcPr>
            <w:tcW w:type="dxa" w:w="5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10</w:t>
            </w:r>
          </w:p>
        </w:tc>
        <w:tc>
          <w:tcPr>
            <w:tcW w:type="dxa" w:w="28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Leave Workflow</w:t>
            </w:r>
          </w:p>
        </w:tc>
        <w:tc>
          <w:tcPr>
            <w:tcW w:type="dxa" w:w="57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Leave submission, Faculty/HOD approval, and the cascade that adjusts Module 4's attendance data on approval</w:t>
            </w:r>
          </w:p>
        </w:tc>
      </w:tr>
      <w:tr>
        <w:tc>
          <w:tcPr>
            <w:tcW w:type="dxa" w:w="5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11</w:t>
            </w:r>
          </w:p>
        </w:tc>
        <w:tc>
          <w:tcPr>
            <w:tcW w:type="dxa" w:w="28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Notifications &amp; Calendar</w:t>
            </w:r>
          </w:p>
        </w:tc>
        <w:tc>
          <w:tcPr>
            <w:tcW w:type="dxa" w:w="57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The unified in-app notification feed, broadcast announcements, external email delivery, the academic calendar</w:t>
            </w:r>
          </w:p>
        </w:tc>
      </w:tr>
      <w:tr>
        <w:tc>
          <w:tcPr>
            <w:tcW w:type="dxa" w:w="5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12</w:t>
            </w:r>
          </w:p>
        </w:tc>
        <w:tc>
          <w:tcPr>
            <w:tcW w:type="dxa" w:w="28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Placement &amp; Certificates</w:t>
            </w:r>
          </w:p>
        </w:tc>
        <w:tc>
          <w:tcPr>
            <w:tcW w:type="dxa" w:w="57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Placement drive listings, automatic eligibility checks against Module 8's results, registration, certificate requests</w:t>
            </w:r>
          </w:p>
        </w:tc>
      </w:tr>
      <w:tr>
        <w:tc>
          <w:tcPr>
            <w:tcW w:type="dxa" w:w="5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13</w:t>
            </w:r>
          </w:p>
        </w:tc>
        <w:tc>
          <w:tcPr>
            <w:tcW w:type="dxa" w:w="28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Reports &amp; Analytics</w:t>
            </w:r>
          </w:p>
        </w:tc>
        <w:tc>
          <w:tcPr>
            <w:tcW w:type="dxa" w:w="57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Read-only aggregated reporting for Faculty/HOD/Admin — built entirely on top of the other 12 modules' already-correct data</w:t>
            </w:r>
          </w:p>
        </w:tc>
      </w:tr>
    </w:tbl>
    <w:p>
      <w:pPr>
        <w:pStyle w:val="Heading2"/>
        <w:spacing w:after="160" w:before="320"/>
      </w:pPr>
      <w:r>
        <w:rPr>
          <w:rFonts w:ascii="Calibri" w:cs="Calibri" w:eastAsia="Calibri" w:hAnsi="Calibri"/>
          <w:b/>
          <w:bCs/>
          <w:color w:val="13233F"/>
        </w:rPr>
        <w:t xml:space="preserve">5.2 How the Modules Depend On Each Other</w:t>
      </w:r>
    </w:p>
    <w:p>
      <w:pPr>
        <w:spacing w:after="160" w:line="276"/>
        <w:jc w:val="both"/>
      </w:pPr>
      <w:r>
        <w:rPr>
          <w:rFonts w:ascii="Calibri" w:cs="Calibri" w:eastAsia="Calibri" w:hAnsi="Calibri"/>
          <w:b w:val="false"/>
          <w:bCs w:val="false"/>
          <w:i w:val="false"/>
          <w:iCs w:val="false"/>
          <w:color w:val="404040"/>
          <w:sz w:val="22"/>
          <w:szCs w:val="22"/>
        </w:rPr>
        <w:t xml:space="preserve">Modules 1, 2, and 3 are the foundation — nearly everything else references the user identity Module 1 creates, the shared design system Module 2 publishes, and the department/section/subject structure Module 3 defines. Modules 4 through 12 build the actual feature set on top of that foundation, largely in parallel. Module 13 is deliberately built last, since it reads from more other modules than any other piece of the system.</w:t>
      </w:r>
    </w:p>
    <w:tbl>
      <w:tblPr>
        <w:tblW w:type="pct" w:w="100%"/>
        <w:tblBorders>
          <w:top w:val="single" w:color="2E74B5" w:sz="4"/>
          <w:left w:val="single" w:color="2E74B5" w:sz="24"/>
          <w:bottom w:val="single" w:color="2E74B5" w:sz="4"/>
          <w:right w:val="single" w:color="2E74B5" w:sz="4"/>
          <w:insideH w:val="none" w:color="FFFFFF" w:sz="0"/>
          <w:insideV w:val="none" w:color="FFFFFF" w:sz="0"/>
        </w:tblBorders>
      </w:tblPr>
      <w:tblGrid>
        <w:gridCol w:w="100"/>
      </w:tblGrid>
      <w:tr>
        <w:tc>
          <w:tcPr>
            <w:shd w:fill="DCE6F1" w:val="clear"/>
            <w:tcMar>
              <w:top w:type="dxa" w:w="160"/>
              <w:left w:type="dxa" w:w="220"/>
              <w:bottom w:type="dxa" w:w="160"/>
              <w:right w:type="dxa" w:w="220"/>
            </w:tcMar>
          </w:tcPr>
          <w:p>
            <w:pPr>
              <w:spacing w:after="100"/>
            </w:pPr>
            <w:r>
              <w:rPr>
                <w:rFonts w:ascii="Calibri" w:cs="Calibri" w:eastAsia="Calibri" w:hAnsi="Calibri"/>
                <w:b/>
                <w:bCs/>
                <w:color w:val="13233F"/>
                <w:sz w:val="22"/>
                <w:szCs w:val="22"/>
              </w:rPr>
              <w:t xml:space="preserve">The two places where modules don't just depend on each other — they actively affect each other</w:t>
            </w:r>
          </w:p>
          <w:p>
            <w:pPr>
              <w:spacing w:after="60"/>
            </w:pPr>
            <w:r>
              <w:rPr>
                <w:rFonts w:ascii="Calibri" w:cs="Calibri" w:eastAsia="Calibri" w:hAnsi="Calibri"/>
                <w:color w:val="2E74B5"/>
                <w:sz w:val="20"/>
                <w:szCs w:val="20"/>
              </w:rPr>
              <w:t xml:space="preserve">•  </w:t>
            </w:r>
            <w:r>
              <w:rPr>
                <w:rFonts w:ascii="Calibri" w:cs="Calibri" w:eastAsia="Calibri" w:hAnsi="Calibri"/>
                <w:color w:val="404040"/>
                <w:sz w:val="20"/>
                <w:szCs w:val="20"/>
              </w:rPr>
              <w:t xml:space="preserve">Leave → Attendance (Modules 10 and 4): an approved Medical Leave must correctly and immediately adjust a student's attendance percentage.</w:t>
            </w:r>
          </w:p>
          <w:p>
            <w:pPr>
              <w:spacing w:after="60"/>
            </w:pPr>
            <w:r>
              <w:rPr>
                <w:rFonts w:ascii="Calibri" w:cs="Calibri" w:eastAsia="Calibri" w:hAnsi="Calibri"/>
                <w:color w:val="2E74B5"/>
                <w:sz w:val="20"/>
                <w:szCs w:val="20"/>
              </w:rPr>
              <w:t xml:space="preserve">•  </w:t>
            </w:r>
            <w:r>
              <w:rPr>
                <w:rFonts w:ascii="Calibri" w:cs="Calibri" w:eastAsia="Calibri" w:hAnsi="Calibri"/>
                <w:color w:val="404040"/>
                <w:sz w:val="20"/>
                <w:szCs w:val="20"/>
              </w:rPr>
              <w:t xml:space="preserve">Results → Placement Eligibility (Modules 8 and 12): a student's CGPA and arrears status directly gate whether they can register for a placement drive.</w:t>
            </w:r>
          </w:p>
          <w:p>
            <w:pPr>
              <w:spacing w:after="60"/>
            </w:pPr>
            <w:r>
              <w:rPr>
                <w:rFonts w:ascii="Calibri" w:cs="Calibri" w:eastAsia="Calibri" w:hAnsi="Calibri"/>
                <w:color w:val="2E74B5"/>
                <w:sz w:val="20"/>
                <w:szCs w:val="20"/>
              </w:rPr>
              <w:t xml:space="preserve">•  </w:t>
            </w:r>
            <w:r>
              <w:rPr>
                <w:rFonts w:ascii="Calibri" w:cs="Calibri" w:eastAsia="Calibri" w:hAnsi="Calibri"/>
                <w:color w:val="404040"/>
                <w:sz w:val="20"/>
                <w:szCs w:val="20"/>
              </w:rPr>
              <w:t xml:space="preserve">Both are named explicitly, with an exact required call sequence, in their respective Module Briefs — these are the two highest-risk integration points in the entire system.</w:t>
            </w:r>
          </w:p>
        </w:tc>
      </w:tr>
    </w:tbl>
    <w:p>
      <w:pPr>
        <w:pStyle w:val="Heading1"/>
        <w:pBdr>
          <w:bottom w:val="single" w:color="2E74B5" w:sz="8" w:space="6"/>
        </w:pBdr>
        <w:spacing w:after="240" w:before="480"/>
      </w:pPr>
      <w:r>
        <w:rPr>
          <w:rFonts w:ascii="Calibri" w:cs="Calibri" w:eastAsia="Calibri" w:hAnsi="Calibri"/>
          <w:b/>
          <w:bCs/>
          <w:color w:val="2E74B5"/>
        </w:rPr>
        <w:t xml:space="preserve">6  </w:t>
      </w:r>
      <w:r>
        <w:rPr>
          <w:rFonts w:ascii="Calibri" w:cs="Calibri" w:eastAsia="Calibri" w:hAnsi="Calibri"/>
          <w:b/>
          <w:bCs/>
          <w:color w:val="1F3864"/>
        </w:rPr>
        <w:t xml:space="preserve">Data Model At a Glance</w:t>
      </w:r>
    </w:p>
    <w:p>
      <w:pPr>
        <w:spacing w:after="160" w:line="276"/>
        <w:jc w:val="both"/>
      </w:pPr>
      <w:r>
        <w:rPr>
          <w:rFonts w:ascii="Calibri" w:cs="Calibri" w:eastAsia="Calibri" w:hAnsi="Calibri"/>
          <w:b w:val="false"/>
          <w:bCs w:val="false"/>
          <w:i w:val="false"/>
          <w:iCs w:val="false"/>
          <w:color w:val="404040"/>
          <w:sz w:val="22"/>
          <w:szCs w:val="22"/>
        </w:rPr>
        <w:t xml:space="preserve">Every module's MongoDB collections are detailed in that module's own brief. This is a system-wide summary of what's stored and where, useful for understanding the shape of the whole database at once.</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2000"/>
        <w:gridCol w:w="4800"/>
        <w:gridCol w:w="2200"/>
      </w:tblGrid>
      <w:tr>
        <w:trPr>
          <w:tblHeader/>
        </w:trPr>
        <w:tc>
          <w:tcPr>
            <w:tcW w:type="dxa" w:w="20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Domain</w:t>
            </w:r>
          </w:p>
        </w:tc>
        <w:tc>
          <w:tcPr>
            <w:tcW w:type="dxa" w:w="48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Key Collections</w:t>
            </w:r>
          </w:p>
        </w:tc>
        <w:tc>
          <w:tcPr>
            <w:tcW w:type="dxa" w:w="22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Owning Module</w:t>
            </w:r>
          </w:p>
        </w:tc>
      </w:tr>
      <w:tr>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Identity</w:t>
            </w:r>
          </w:p>
        </w:tc>
        <w:tc>
          <w:tcPr>
            <w:tcW w:type="dxa" w:w="48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users (all 5 roles, with role-specific sub-fields)</w:t>
            </w:r>
          </w:p>
        </w:tc>
        <w:tc>
          <w:tcPr>
            <w:tcW w:type="dxa" w:w="22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1</w:t>
            </w:r>
          </w:p>
        </w:tc>
      </w:tr>
      <w:tr>
        <w:tc>
          <w:tcPr>
            <w:tcW w:type="dxa" w:w="20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Institutional structure</w:t>
            </w:r>
          </w:p>
        </w:tc>
        <w:tc>
          <w:tcPr>
            <w:tcW w:type="dxa" w:w="48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departments, courses, semesters, sections, subjects</w:t>
            </w:r>
          </w:p>
        </w:tc>
        <w:tc>
          <w:tcPr>
            <w:tcW w:type="dxa" w:w="22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3</w:t>
            </w:r>
          </w:p>
        </w:tc>
      </w:tr>
      <w:tr>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Scheduling</w:t>
            </w:r>
          </w:p>
        </w:tc>
        <w:tc>
          <w:tcPr>
            <w:tcW w:type="dxa" w:w="48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timetable_entries, exams, exam_seats</w:t>
            </w:r>
          </w:p>
        </w:tc>
        <w:tc>
          <w:tcPr>
            <w:tcW w:type="dxa" w:w="22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5, 8</w:t>
            </w:r>
          </w:p>
        </w:tc>
      </w:tr>
      <w:tr>
        <w:tc>
          <w:tcPr>
            <w:tcW w:type="dxa" w:w="20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Attendance</w:t>
            </w:r>
          </w:p>
        </w:tc>
        <w:tc>
          <w:tcPr>
            <w:tcW w:type="dxa" w:w="48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attendance_records, attendance_summary</w:t>
            </w:r>
          </w:p>
        </w:tc>
        <w:tc>
          <w:tcPr>
            <w:tcW w:type="dxa" w:w="22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4</w:t>
            </w:r>
          </w:p>
        </w:tc>
      </w:tr>
      <w:tr>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Academic work</w:t>
            </w:r>
          </w:p>
        </w:tc>
        <w:tc>
          <w:tcPr>
            <w:tcW w:type="dxa" w:w="48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assignments, submissions, study_materials</w:t>
            </w:r>
          </w:p>
        </w:tc>
        <w:tc>
          <w:tcPr>
            <w:tcW w:type="dxa" w:w="22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6, 7</w:t>
            </w:r>
          </w:p>
        </w:tc>
      </w:tr>
      <w:tr>
        <w:tc>
          <w:tcPr>
            <w:tcW w:type="dxa" w:w="20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Results</w:t>
            </w:r>
          </w:p>
        </w:tc>
        <w:tc>
          <w:tcPr>
            <w:tcW w:type="dxa" w:w="48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subject_results, semester_results</w:t>
            </w:r>
          </w:p>
        </w:tc>
        <w:tc>
          <w:tcPr>
            <w:tcW w:type="dxa" w:w="22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8</w:t>
            </w:r>
          </w:p>
        </w:tc>
      </w:tr>
      <w:tr>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Financial</w:t>
            </w:r>
          </w:p>
        </w:tc>
        <w:tc>
          <w:tcPr>
            <w:tcW w:type="dxa" w:w="48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fee_structures, student_fee_records, payments (immutable)</w:t>
            </w:r>
          </w:p>
        </w:tc>
        <w:tc>
          <w:tcPr>
            <w:tcW w:type="dxa" w:w="22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9</w:t>
            </w:r>
          </w:p>
        </w:tc>
      </w:tr>
      <w:tr>
        <w:tc>
          <w:tcPr>
            <w:tcW w:type="dxa" w:w="20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Workflow</w:t>
            </w:r>
          </w:p>
        </w:tc>
        <w:tc>
          <w:tcPr>
            <w:tcW w:type="dxa" w:w="48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leave_requests, notifications, calendar_events</w:t>
            </w:r>
          </w:p>
        </w:tc>
        <w:tc>
          <w:tcPr>
            <w:tcW w:type="dxa" w:w="22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10, 11</w:t>
            </w:r>
          </w:p>
        </w:tc>
      </w:tr>
      <w:tr>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Career</w:t>
            </w:r>
          </w:p>
        </w:tc>
        <w:tc>
          <w:tcPr>
            <w:tcW w:type="dxa" w:w="48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placement_drives, placement_registrations, certificate_requests</w:t>
            </w:r>
          </w:p>
        </w:tc>
        <w:tc>
          <w:tcPr>
            <w:tcW w:type="dxa" w:w="22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12</w:t>
            </w:r>
          </w:p>
        </w:tc>
      </w:tr>
      <w:tr>
        <w:tc>
          <w:tcPr>
            <w:tcW w:type="dxa" w:w="20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Settings</w:t>
            </w:r>
          </w:p>
        </w:tc>
        <w:tc>
          <w:tcPr>
            <w:tcW w:type="dxa" w:w="48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settings (theme, notification preferences)</w:t>
            </w:r>
          </w:p>
        </w:tc>
        <w:tc>
          <w:tcPr>
            <w:tcW w:type="dxa" w:w="22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2</w:t>
            </w:r>
          </w:p>
        </w:tc>
      </w:tr>
    </w:tbl>
    <w:p>
      <w:pPr>
        <w:pStyle w:val="Heading1"/>
        <w:pBdr>
          <w:bottom w:val="single" w:color="2E74B5" w:sz="8" w:space="6"/>
        </w:pBdr>
        <w:spacing w:after="240" w:before="480"/>
      </w:pPr>
      <w:r>
        <w:rPr>
          <w:rFonts w:ascii="Calibri" w:cs="Calibri" w:eastAsia="Calibri" w:hAnsi="Calibri"/>
          <w:b/>
          <w:bCs/>
          <w:color w:val="2E74B5"/>
        </w:rPr>
        <w:t xml:space="preserve">7  </w:t>
      </w:r>
      <w:r>
        <w:rPr>
          <w:rFonts w:ascii="Calibri" w:cs="Calibri" w:eastAsia="Calibri" w:hAnsi="Calibri"/>
          <w:b/>
          <w:bCs/>
          <w:color w:val="1F3864"/>
        </w:rPr>
        <w:t xml:space="preserve">How the Team Is Building This</w:t>
      </w:r>
    </w:p>
    <w:p>
      <w:pPr>
        <w:pStyle w:val="Heading2"/>
        <w:spacing w:after="160" w:before="320"/>
      </w:pPr>
      <w:r>
        <w:rPr>
          <w:rFonts w:ascii="Calibri" w:cs="Calibri" w:eastAsia="Calibri" w:hAnsi="Calibri"/>
          <w:b/>
          <w:bCs/>
          <w:color w:val="13233F"/>
        </w:rPr>
        <w:t xml:space="preserve">7.1 Team Structure</w:t>
      </w:r>
    </w:p>
    <w:p>
      <w:pPr>
        <w:spacing w:after="160" w:line="276"/>
        <w:jc w:val="both"/>
      </w:pPr>
      <w:r>
        <w:rPr>
          <w:rFonts w:ascii="Calibri" w:cs="Calibri" w:eastAsia="Calibri" w:hAnsi="Calibri"/>
          <w:b w:val="false"/>
          <w:bCs w:val="false"/>
          <w:i w:val="false"/>
          <w:iCs w:val="false"/>
          <w:color w:val="404040"/>
          <w:sz w:val="22"/>
          <w:szCs w:val="22"/>
        </w:rPr>
        <w:t xml:space="preserve">13 developers, each owning one full module end-to-end — their own database design, backend API, and frontend screens — rather than being split into separate frontend/backend/database teams. This keeps each person's scope self-contained and independently testable, at the cost of requiring careful coordination at the specific integration points named throughout this document.</w:t>
      </w:r>
    </w:p>
    <w:p>
      <w:pPr>
        <w:pStyle w:val="Heading2"/>
        <w:spacing w:after="160" w:before="320"/>
      </w:pPr>
      <w:r>
        <w:rPr>
          <w:rFonts w:ascii="Calibri" w:cs="Calibri" w:eastAsia="Calibri" w:hAnsi="Calibri"/>
          <w:b/>
          <w:bCs/>
          <w:color w:val="13233F"/>
        </w:rPr>
        <w:t xml:space="preserve">7.2 AI-Assisted Development</w:t>
      </w:r>
    </w:p>
    <w:p>
      <w:pPr>
        <w:spacing w:after="160" w:line="276"/>
        <w:jc w:val="both"/>
      </w:pPr>
      <w:r>
        <w:rPr>
          <w:rFonts w:ascii="Calibri" w:cs="Calibri" w:eastAsia="Calibri" w:hAnsi="Calibri"/>
          <w:b w:val="false"/>
          <w:bCs w:val="false"/>
          <w:i w:val="false"/>
          <w:iCs w:val="false"/>
          <w:color w:val="404040"/>
          <w:sz w:val="22"/>
          <w:szCs w:val="22"/>
        </w:rPr>
        <w:t xml:space="preserve">Every developer builds using an AI coding assistant operated from the terminal or an agentic IDE — Antigravity or an equivalent CLI-driven tool — rather than a browser-based chat interface. This lets the assistant read and write project files directly and iterate quickly, but it still requires the developer to supply the right context (their Module Brief, the Master Architecture document's shared standards) so the AI doesn't invent its own conventions that drift from the rest of the system.</w:t>
      </w:r>
    </w:p>
    <w:p>
      <w:pPr>
        <w:pStyle w:val="ListParagraph"/>
        <w:numPr>
          <w:ilvl w:val="0"/>
          <w:numId w:val="2"/>
        </w:numPr>
        <w:spacing w:after="90" w:line="264"/>
      </w:pPr>
      <w:r>
        <w:rPr>
          <w:rFonts w:ascii="Calibri" w:cs="Calibri" w:eastAsia="Calibri" w:hAnsi="Calibri"/>
          <w:color w:val="404040"/>
          <w:sz w:val="22"/>
          <w:szCs w:val="22"/>
        </w:rPr>
        <w:t xml:space="preserve">Each Module Brief includes a suggested step-by-step prompting sequence tailored to that module's specific data model and endpoints</w:t>
      </w:r>
    </w:p>
    <w:p>
      <w:pPr>
        <w:pStyle w:val="ListParagraph"/>
        <w:numPr>
          <w:ilvl w:val="0"/>
          <w:numId w:val="2"/>
        </w:numPr>
        <w:spacing w:after="90" w:line="264"/>
      </w:pPr>
      <w:r>
        <w:rPr>
          <w:rFonts w:ascii="Calibri" w:cs="Calibri" w:eastAsia="Calibri" w:hAnsi="Calibri"/>
          <w:color w:val="404040"/>
          <w:sz w:val="22"/>
          <w:szCs w:val="22"/>
        </w:rPr>
        <w:t xml:space="preserve">Every developer remains fully responsible for reviewing, testing, and understanding what the AI generates — AI is a productivity tool, not a replacement for engineering judgment</w:t>
      </w:r>
    </w:p>
    <w:p>
      <w:pPr>
        <w:pStyle w:val="ListParagraph"/>
        <w:numPr>
          <w:ilvl w:val="0"/>
          <w:numId w:val="2"/>
        </w:numPr>
        <w:spacing w:after="90" w:line="264"/>
      </w:pPr>
      <w:r>
        <w:rPr>
          <w:rFonts w:ascii="Calibri" w:cs="Calibri" w:eastAsia="Calibri" w:hAnsi="Calibri"/>
          <w:color w:val="404040"/>
          <w:sz w:val="22"/>
          <w:szCs w:val="22"/>
        </w:rPr>
        <w:t xml:space="preserve">The two correctness-critical modules (4 and 8) carry an explicit requirement to manually verify AI-generated calculation logic against worked examples before accepting it</w:t>
      </w:r>
    </w:p>
    <w:p>
      <w:pPr>
        <w:pStyle w:val="Heading2"/>
        <w:spacing w:after="160" w:before="320"/>
      </w:pPr>
      <w:r>
        <w:rPr>
          <w:rFonts w:ascii="Calibri" w:cs="Calibri" w:eastAsia="Calibri" w:hAnsi="Calibri"/>
          <w:b/>
          <w:bCs/>
          <w:color w:val="13233F"/>
        </w:rPr>
        <w:t xml:space="preserve">7.3 Build Order</w:t>
      </w:r>
    </w:p>
    <w:p>
      <w:pPr>
        <w:pStyle w:val="ListParagraph"/>
        <w:numPr>
          <w:ilvl w:val="0"/>
          <w:numId w:val="4"/>
        </w:numPr>
        <w:spacing w:after="90" w:line="264"/>
      </w:pPr>
      <w:r>
        <w:rPr>
          <w:rFonts w:ascii="Calibri" w:cs="Calibri" w:eastAsia="Calibri" w:hAnsi="Calibri"/>
          <w:b/>
          <w:bCs/>
          <w:color w:val="13233F"/>
          <w:sz w:val="22"/>
          <w:szCs w:val="22"/>
        </w:rPr>
        <w:t xml:space="preserve">Foundation first: </w:t>
      </w:r>
      <w:r>
        <w:rPr>
          <w:rFonts w:ascii="Calibri" w:cs="Calibri" w:eastAsia="Calibri" w:hAnsi="Calibri"/>
          <w:color w:val="404040"/>
          <w:sz w:val="22"/>
          <w:szCs w:val="22"/>
        </w:rPr>
        <w:t xml:space="preserve">Modules 1, 2, and 3 are built and stabilized before the rest of the team relies on them.</w:t>
      </w:r>
    </w:p>
    <w:p>
      <w:pPr>
        <w:pStyle w:val="ListParagraph"/>
        <w:numPr>
          <w:ilvl w:val="0"/>
          <w:numId w:val="4"/>
        </w:numPr>
        <w:spacing w:after="90" w:line="264"/>
      </w:pPr>
      <w:r>
        <w:rPr>
          <w:rFonts w:ascii="Calibri" w:cs="Calibri" w:eastAsia="Calibri" w:hAnsi="Calibri"/>
          <w:b/>
          <w:bCs/>
          <w:color w:val="13233F"/>
          <w:sz w:val="22"/>
          <w:szCs w:val="22"/>
        </w:rPr>
        <w:t xml:space="preserve">Parallel feature build: </w:t>
      </w:r>
      <w:r>
        <w:rPr>
          <w:rFonts w:ascii="Calibri" w:cs="Calibri" w:eastAsia="Calibri" w:hAnsi="Calibri"/>
          <w:color w:val="404040"/>
          <w:sz w:val="22"/>
          <w:szCs w:val="22"/>
        </w:rPr>
        <w:t xml:space="preserve">Modules 4 through 12 proceed largely in parallel, with the two named cross-module pairs (4↔10, 8↔12) coordinating directly rather than working from assumptions.</w:t>
      </w:r>
    </w:p>
    <w:p>
      <w:pPr>
        <w:pStyle w:val="ListParagraph"/>
        <w:numPr>
          <w:ilvl w:val="0"/>
          <w:numId w:val="4"/>
        </w:numPr>
        <w:spacing w:after="90" w:line="264"/>
      </w:pPr>
      <w:r>
        <w:rPr>
          <w:rFonts w:ascii="Calibri" w:cs="Calibri" w:eastAsia="Calibri" w:hAnsi="Calibri"/>
          <w:b/>
          <w:bCs/>
          <w:color w:val="13233F"/>
          <w:sz w:val="22"/>
          <w:szCs w:val="22"/>
        </w:rPr>
        <w:t xml:space="preserve">Reporting last: </w:t>
      </w:r>
      <w:r>
        <w:rPr>
          <w:rFonts w:ascii="Calibri" w:cs="Calibri" w:eastAsia="Calibri" w:hAnsi="Calibri"/>
          <w:color w:val="404040"/>
          <w:sz w:val="22"/>
          <w:szCs w:val="22"/>
        </w:rPr>
        <w:t xml:space="preserve">Module 13 is built once the modules it reads from (4, 8, 9, 12 especially) are stable, since it depends on their published data.</w:t>
      </w:r>
    </w:p>
    <w:p>
      <w:pPr>
        <w:pStyle w:val="Heading2"/>
        <w:spacing w:after="160" w:before="320"/>
      </w:pPr>
      <w:r>
        <w:rPr>
          <w:rFonts w:ascii="Calibri" w:cs="Calibri" w:eastAsia="Calibri" w:hAnsi="Calibri"/>
          <w:b/>
          <w:bCs/>
          <w:color w:val="13233F"/>
        </w:rPr>
        <w:t xml:space="preserve">7.4 Shared Standards Every Module Follows</w:t>
      </w:r>
    </w:p>
    <w:p>
      <w:pPr>
        <w:pStyle w:val="ListParagraph"/>
        <w:numPr>
          <w:ilvl w:val="0"/>
          <w:numId w:val="2"/>
        </w:numPr>
        <w:spacing w:after="90" w:line="264"/>
      </w:pPr>
      <w:r>
        <w:rPr>
          <w:rFonts w:ascii="Calibri" w:cs="Calibri" w:eastAsia="Calibri" w:hAnsi="Calibri"/>
          <w:color w:val="404040"/>
          <w:sz w:val="22"/>
          <w:szCs w:val="22"/>
        </w:rPr>
        <w:t xml:space="preserve">One shared visual design system (Module 2) — every screen across all 13 modules looks like part of the same product</w:t>
      </w:r>
    </w:p>
    <w:p>
      <w:pPr>
        <w:pStyle w:val="ListParagraph"/>
        <w:numPr>
          <w:ilvl w:val="0"/>
          <w:numId w:val="2"/>
        </w:numPr>
        <w:spacing w:after="90" w:line="264"/>
      </w:pPr>
      <w:r>
        <w:rPr>
          <w:rFonts w:ascii="Calibri" w:cs="Calibri" w:eastAsia="Calibri" w:hAnsi="Calibri"/>
          <w:color w:val="404040"/>
          <w:sz w:val="22"/>
          <w:szCs w:val="22"/>
        </w:rPr>
        <w:t xml:space="preserve">One shared error response shape — { error: { code, message } } — used consistently across every module's API</w:t>
      </w:r>
    </w:p>
    <w:p>
      <w:pPr>
        <w:pStyle w:val="ListParagraph"/>
        <w:numPr>
          <w:ilvl w:val="0"/>
          <w:numId w:val="2"/>
        </w:numPr>
        <w:spacing w:after="90" w:line="264"/>
      </w:pPr>
      <w:r>
        <w:rPr>
          <w:rFonts w:ascii="Calibri" w:cs="Calibri" w:eastAsia="Calibri" w:hAnsi="Calibri"/>
          <w:color w:val="404040"/>
          <w:sz w:val="22"/>
          <w:szCs w:val="22"/>
        </w:rPr>
        <w:t xml:space="preserve">Server-side enforcement of every access rule, never a UI-only restriction — especially the Parent-ward rule and role-based screen access</w:t>
      </w:r>
    </w:p>
    <w:p>
      <w:pPr>
        <w:pStyle w:val="ListParagraph"/>
        <w:numPr>
          <w:ilvl w:val="0"/>
          <w:numId w:val="2"/>
        </w:numPr>
        <w:spacing w:after="90" w:line="264"/>
      </w:pPr>
      <w:r>
        <w:rPr>
          <w:rFonts w:ascii="Calibri" w:cs="Calibri" w:eastAsia="Calibri" w:hAnsi="Calibri"/>
          <w:color w:val="404040"/>
          <w:sz w:val="22"/>
          <w:szCs w:val="22"/>
        </w:rPr>
        <w:t xml:space="preserve">Every computed figure (attendance %, GPA, fee balance) is derived from stored data at request time — never a stale cached value</w:t>
      </w:r>
    </w:p>
    <w:p>
      <w:pPr>
        <w:pStyle w:val="ListParagraph"/>
        <w:numPr>
          <w:ilvl w:val="0"/>
          <w:numId w:val="2"/>
        </w:numPr>
        <w:spacing w:after="90" w:line="264"/>
      </w:pPr>
      <w:r>
        <w:rPr>
          <w:rFonts w:ascii="Calibri" w:cs="Calibri" w:eastAsia="Calibri" w:hAnsi="Calibri"/>
          <w:color w:val="404040"/>
          <w:sz w:val="22"/>
          <w:szCs w:val="22"/>
        </w:rPr>
        <w:t xml:space="preserve">Financial records are immutable once created — corrections are new records, never edits</w:t>
      </w:r>
    </w:p>
    <w:p>
      <w:pPr>
        <w:pStyle w:val="Heading1"/>
        <w:pBdr>
          <w:bottom w:val="single" w:color="2E74B5" w:sz="8" w:space="6"/>
        </w:pBdr>
        <w:spacing w:after="240" w:before="480"/>
      </w:pPr>
      <w:r>
        <w:rPr>
          <w:rFonts w:ascii="Calibri" w:cs="Calibri" w:eastAsia="Calibri" w:hAnsi="Calibri"/>
          <w:b/>
          <w:bCs/>
          <w:color w:val="2E74B5"/>
        </w:rPr>
        <w:t xml:space="preserve">8  </w:t>
      </w:r>
      <w:r>
        <w:rPr>
          <w:rFonts w:ascii="Calibri" w:cs="Calibri" w:eastAsia="Calibri" w:hAnsi="Calibri"/>
          <w:b/>
          <w:bCs/>
          <w:color w:val="1F3864"/>
        </w:rPr>
        <w:t xml:space="preserve">Project Documentation Map</w:t>
      </w:r>
    </w:p>
    <w:p>
      <w:pPr>
        <w:spacing w:after="160" w:line="276"/>
        <w:jc w:val="both"/>
      </w:pPr>
      <w:r>
        <w:rPr>
          <w:rFonts w:ascii="Calibri" w:cs="Calibri" w:eastAsia="Calibri" w:hAnsi="Calibri"/>
          <w:b w:val="false"/>
          <w:bCs w:val="false"/>
          <w:i w:val="false"/>
          <w:iCs w:val="false"/>
          <w:color w:val="404040"/>
          <w:sz w:val="22"/>
          <w:szCs w:val="22"/>
        </w:rPr>
        <w:t xml:space="preserve">This document is the entry point. Two other kinds of documents complete the full picture:</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2800"/>
        <w:gridCol w:w="4200"/>
        <w:gridCol w:w="2000"/>
      </w:tblGrid>
      <w:tr>
        <w:trPr>
          <w:tblHeader/>
        </w:trPr>
        <w:tc>
          <w:tcPr>
            <w:tcW w:type="dxa" w:w="28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Document</w:t>
            </w:r>
          </w:p>
        </w:tc>
        <w:tc>
          <w:tcPr>
            <w:tcW w:type="dxa" w:w="42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Purpose</w:t>
            </w:r>
          </w:p>
        </w:tc>
        <w:tc>
          <w:tcPr>
            <w:tcW w:type="dxa" w:w="20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Audience</w:t>
            </w:r>
          </w:p>
        </w:tc>
      </w:tr>
      <w:tr>
        <w:tc>
          <w:tcPr>
            <w:tcW w:type="dxa" w:w="28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This Document — Project Overview</w:t>
            </w:r>
          </w:p>
        </w:tc>
        <w:tc>
          <w:tcPr>
            <w:tcW w:type="dxa" w:w="42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The big picture: what the project is, the 5 roles, the tech stack, the 13-module map, and how the team works</w:t>
            </w:r>
          </w:p>
        </w:tc>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Everyone — read first</w:t>
            </w:r>
          </w:p>
        </w:tc>
      </w:tr>
      <w:tr>
        <w:tc>
          <w:tcPr>
            <w:tcW w:type="dxa" w:w="28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Master Architecture Document</w:t>
            </w:r>
          </w:p>
        </w:tc>
        <w:tc>
          <w:tcPr>
            <w:tcW w:type="dxa" w:w="42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The shared engineering standards, dependency map, build order, and system-wide rules every module must follow</w:t>
            </w:r>
          </w:p>
        </w:tc>
        <w:tc>
          <w:tcPr>
            <w:tcW w:type="dxa" w:w="20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Every developer — read second, in full</w:t>
            </w:r>
          </w:p>
        </w:tc>
      </w:tr>
      <w:tr>
        <w:tc>
          <w:tcPr>
            <w:tcW w:type="dxa" w:w="28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13 Module Briefs (Modules 1–13)</w:t>
            </w:r>
          </w:p>
        </w:tc>
        <w:tc>
          <w:tcPr>
            <w:tcW w:type="dxa" w:w="42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One per developer — the detailed backend (Flask/MongoDB) and frontend (Next.js) specification for their own module, with worked examples for the two correctness-critical calculations</w:t>
            </w:r>
          </w:p>
        </w:tc>
        <w:tc>
          <w:tcPr>
            <w:tcW w:type="dxa" w:w="2000"/>
            <w:tcMar>
              <w:top w:type="dxa" w:w="90"/>
              <w:left w:type="dxa" w:w="120"/>
              <w:bottom w:type="dxa" w:w="90"/>
              <w:right w:type="dxa" w:w="120"/>
            </w:tcMar>
            <w:vAlign w:val="center"/>
          </w:tcPr>
          <w:p>
            <w:pPr>
              <w:jc w:val="left"/>
            </w:pPr>
            <w:r>
              <w:rPr>
                <w:rFonts w:ascii="Calibri" w:cs="Calibri" w:eastAsia="Calibri" w:hAnsi="Calibri"/>
                <w:b w:val="false"/>
                <w:bCs w:val="false"/>
                <w:color w:val="404040"/>
                <w:sz w:val="20"/>
                <w:szCs w:val="20"/>
              </w:rPr>
              <w:t xml:space="preserve">Each module's owning developer — their primary day-to-day reference</w:t>
            </w:r>
          </w:p>
        </w:tc>
      </w:tr>
    </w:tbl>
    <w:p>
      <w:pPr>
        <w:pStyle w:val="Heading2"/>
        <w:spacing w:after="160" w:before="320"/>
      </w:pPr>
      <w:r>
        <w:rPr>
          <w:rFonts w:ascii="Calibri" w:cs="Calibri" w:eastAsia="Calibri" w:hAnsi="Calibri"/>
          <w:b/>
          <w:bCs/>
          <w:color w:val="13233F"/>
        </w:rPr>
        <w:t xml:space="preserve">8.1 Where to Go Next</w:t>
      </w:r>
    </w:p>
    <w:p>
      <w:pPr>
        <w:pStyle w:val="ListParagraph"/>
        <w:numPr>
          <w:ilvl w:val="0"/>
          <w:numId w:val="2"/>
        </w:numPr>
        <w:spacing w:after="90" w:line="264"/>
      </w:pPr>
      <w:r>
        <w:rPr>
          <w:rFonts w:ascii="Calibri" w:cs="Calibri" w:eastAsia="Calibri" w:hAnsi="Calibri"/>
          <w:color w:val="404040"/>
          <w:sz w:val="22"/>
          <w:szCs w:val="22"/>
        </w:rPr>
        <w:t xml:space="preserve">New to the project? Read this document in full, then the Master Architecture document</w:t>
      </w:r>
    </w:p>
    <w:p>
      <w:pPr>
        <w:pStyle w:val="ListParagraph"/>
        <w:numPr>
          <w:ilvl w:val="0"/>
          <w:numId w:val="2"/>
        </w:numPr>
        <w:spacing w:after="90" w:line="264"/>
      </w:pPr>
      <w:r>
        <w:rPr>
          <w:rFonts w:ascii="Calibri" w:cs="Calibri" w:eastAsia="Calibri" w:hAnsi="Calibri"/>
          <w:color w:val="404040"/>
          <w:sz w:val="22"/>
          <w:szCs w:val="22"/>
        </w:rPr>
        <w:t xml:space="preserve">Building a specific module? Read this document once, then live in your own Module Brief</w:t>
      </w:r>
    </w:p>
    <w:p>
      <w:pPr>
        <w:pStyle w:val="ListParagraph"/>
        <w:numPr>
          <w:ilvl w:val="0"/>
          <w:numId w:val="2"/>
        </w:numPr>
        <w:spacing w:after="90" w:line="264"/>
      </w:pPr>
      <w:r>
        <w:rPr>
          <w:rFonts w:ascii="Calibri" w:cs="Calibri" w:eastAsia="Calibri" w:hAnsi="Calibri"/>
          <w:color w:val="404040"/>
          <w:sz w:val="22"/>
          <w:szCs w:val="22"/>
        </w:rPr>
        <w:t xml:space="preserve">Reviewing an integration between two modules? Check the "Integration Contract" section in both modules' briefs — they're written to mirror each other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026"/>
      </w:tabs>
    </w:pPr>
    <w:r>
      <w:rPr>
        <w:rFonts w:ascii="Calibri" w:cs="Calibri" w:eastAsia="Calibri" w:hAnsi="Calibri"/>
        <w:color w:val="808080"/>
        <w:sz w:val="16"/>
        <w:szCs w:val="16"/>
      </w:rPr>
      <w:t xml:space="preserve">DMI Campus Connect — Project Overview</w:t>
    </w:r>
    <w:r>
      <w:rPr>
        <w:rFonts w:ascii="Calibri" w:cs="Calibri" w:eastAsia="Calibri" w:hAnsi="Calibri"/>
        <w:color w:val="808080"/>
        <w:sz w:val="16"/>
        <w:szCs w:val="16"/>
      </w:rPr>
      <w:t xml:space="preserve">	Confidential — Internal Project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lvl w:ilvl="1" w15:tentative="1">
      <w:start w:val="1"/>
      <w:numFmt w:val="bullet"/>
      <w:lvlText w:val="◦"/>
      <w:lvlJc w:val="left"/>
      <w:pPr>
        <w:ind w:left="1008" w:hanging="259"/>
      </w:pPr>
    </w:lvl>
  </w:abstractNum>
  <w:abstractNum w:abstractNumId="3" w15:restartNumberingAfterBreak="0">
    <w:multiLevelType w:val="hybridMultilevel"/>
    <w:lvl w:ilvl="0" w15:tentative="1">
      <w:start w:val="1"/>
      <w:numFmt w:val="decimal"/>
      <w:lvlText w:val="%1."/>
      <w:lvlJc w:val="left"/>
      <w:pPr>
        <w:ind w:left="576" w:hanging="360"/>
      </w:pPr>
    </w:lvl>
  </w:abstractNum>
  <w:abstractNum w:abstractNumId="4" w15:restartNumberingAfterBreak="0">
    <w:multiLevelType w:val="hybridMultilevel"/>
    <w:lvl w:ilvl="0" w15:tentative="1">
      <w:start w:val="1"/>
      <w:numFmt w:val="decimal"/>
      <w:lvlText w:val="%1."/>
      <w:lvlJc w:val="left"/>
      <w:pPr>
        <w:ind w:left="576" w:hanging="360"/>
      </w:pPr>
    </w:lvl>
  </w:abstractNum>
  <w:abstractNum w:abstractNumId="5"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320"/>
      <w:outlineLvl w:val="1"/>
    </w:pPr>
    <w:rPr>
      <w:rFonts w:ascii="Calibri" w:cs="Calibri" w:eastAsia="Calibri" w:hAnsi="Calibri"/>
      <w:b/>
      <w:bCs/>
      <w:color w:val="13233F"/>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DMI Campus Connect — Project Overview &amp; Detailed Specification</dc:title>
  <dc:creator>DMI Campus Connect Project Team</dc:creator>
  <cp:lastModifiedBy>Un-named</cp:lastModifiedBy>
  <cp:revision>1</cp:revision>
  <dcterms:created xsi:type="dcterms:W3CDTF">2026-08-18T07:18:05.069Z</dcterms:created>
  <dcterms:modified xsi:type="dcterms:W3CDTF">2026-08-18T07:18:05.069Z</dcterms:modified>
</cp:coreProperties>
</file>

<file path=docProps/custom.xml><?xml version="1.0" encoding="utf-8"?>
<Properties xmlns="http://schemas.openxmlformats.org/officeDocument/2006/custom-properties" xmlns:vt="http://schemas.openxmlformats.org/officeDocument/2006/docPropsVTypes"/>
</file>