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8"/>
          <w:szCs w:val="28"/>
        </w:rPr>
        <w:t>Detecting Genes Responsible for Cancer Development</w:t>
      </w:r>
    </w:p>
    <w:p>
      <w:pPr>
        <w:pStyle w:val="Normal"/>
        <w:spacing w:before="0" w:after="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pPr>
      <w:r>
        <w:rPr>
          <w:rFonts w:cs="Times New Roman" w:ascii="Times New Roman" w:hAnsi="Times New Roman"/>
          <w:b/>
          <w:sz w:val="24"/>
          <w:szCs w:val="24"/>
        </w:rPr>
        <w:t xml:space="preserve">1  </w:t>
      </w:r>
      <w:bookmarkStart w:id="0" w:name="_GoBack"/>
      <w:bookmarkEnd w:id="0"/>
      <w:r>
        <w:rPr>
          <w:rFonts w:cs="Times New Roman" w:ascii="Times New Roman" w:hAnsi="Times New Roman"/>
          <w:b/>
          <w:sz w:val="24"/>
          <w:szCs w:val="24"/>
        </w:rPr>
        <w:t>Problem Statement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pPr>
      <w:r>
        <w:rPr>
          <w:rFonts w:cs="Times New Roman" w:ascii="Times New Roman" w:hAnsi="Times New Roman"/>
          <w:sz w:val="24"/>
          <w:szCs w:val="24"/>
        </w:rPr>
        <w:t>Due to the advancement of micro-array and RNA-sequencing technology, it is possible to measure expression profiles of thousands of genes across a set of samples during disease progression, cellular development. Computational analysis of such transcriptome datasets has been found to be useful in understanding mechanisms underlying disease progression and  identifying key drivers which trigger disease progression [</w:t>
      </w:r>
      <w:r>
        <w:rPr>
          <w:rFonts w:cs="Times New Roman" w:ascii="Times New Roman" w:hAnsi="Times New Roman"/>
          <w:sz w:val="24"/>
          <w:szCs w:val="24"/>
        </w:rPr>
        <w:t>1, 2, 3</w:t>
      </w:r>
      <w:r>
        <w:rPr>
          <w:rFonts w:cs="Times New Roman" w:ascii="Times New Roman" w:hAnsi="Times New Roman"/>
          <w:sz w:val="24"/>
          <w:szCs w:val="24"/>
        </w:rPr>
        <w:t>]. Although a lot of effort have been made to analyze gene expression data in order to distinguish normal cells from abnormal cells over the last two decades, it is a challenging task due to the high dimensionality and complexity of these data. Moreover, the presence of a large number of genes and typically a small number of samples lead to the phenomena called curse of dimensionality. Hence, there remains a critical need to improve accuracy and identify genes which play instrumental roles during cancer progression.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w w:val="99"/>
          <w:sz w:val="24"/>
          <w:szCs w:val="24"/>
        </w:rPr>
        <w:t>2 Background Work</w:t>
      </w:r>
    </w:p>
    <w:p>
      <w:pPr>
        <w:pStyle w:val="Normal"/>
        <w:jc w:val="both"/>
        <w:rPr/>
      </w:pPr>
      <w:r>
        <w:rPr>
          <w:rFonts w:cs="Times New Roman" w:ascii="Times New Roman" w:hAnsi="Times New Roman"/>
          <w:color w:val="000000"/>
          <w:sz w:val="24"/>
          <w:szCs w:val="24"/>
          <w:shd w:fill="FFFFFF" w:val="clear"/>
        </w:rPr>
        <w:t>Many approaches have been proposed for the classification of cancer cells and healthy cells using gene expression profiles [</w:t>
      </w:r>
      <w:r>
        <w:rPr>
          <w:rFonts w:cs="Times New Roman" w:ascii="Times New Roman" w:hAnsi="Times New Roman"/>
          <w:color w:val="000000"/>
          <w:sz w:val="24"/>
          <w:szCs w:val="24"/>
          <w:shd w:fill="FFFFFF" w:val="clear"/>
        </w:rPr>
        <w:t>3, 4, 5, 6</w:t>
      </w:r>
      <w:r>
        <w:rPr>
          <w:rFonts w:cs="Times New Roman" w:ascii="Times New Roman" w:hAnsi="Times New Roman"/>
          <w:color w:val="000000"/>
          <w:sz w:val="24"/>
          <w:szCs w:val="24"/>
          <w:shd w:fill="FFFFFF" w:val="clear"/>
        </w:rPr>
        <w:t xml:space="preserve">]. For instance, the self-organizing map (SOM) was used to analyze leukemia cancer dataset. A support vector machine (SVM) with a dot product kernel has been applied to the diagnosis of ovarian, leukemia, and colon cancer. SVMs with nonlinear kernels (polynomial and Gaussian) were also used for the classification of breast cancer tissues from microarray gene expression data. Due to the large number of genes, high amount of noise in the gene expression data and the complexity of biological networks, there is a need to deeply analyze the transcriptome data for identifying the genes which play key roles during cancer progression. To deal with some of the aforementioned challenges, principal component analysis (PCA) has been proposed for dimensionality reduction of expression profiles. However, PCA reduces the dimensionality of the data linearly and it may not extract some nonlinear relationships in the data, whereas other approaches such as Kernel PCA (KPCA) may be capable of uncovering these nonlinear relationships. K-nearest neighbors (KNN) unsupervised learning also has been applied to breast cancer data. Recently, researchers have applied PCA with a combination of autoencoder to capture non-linear relationships in data. But using a single autoencoder may not extract all the useful representations from the noisy, complex, and high-dimensional expression data. One way to deal with this challenge is reducing the dimensionality incrementally which can be achieved by the multi-layered architecture of an </w:t>
      </w:r>
      <w:r>
        <w:rPr>
          <w:rFonts w:cs="Times New Roman" w:ascii="Times New Roman" w:hAnsi="Times New Roman"/>
          <w:color w:val="000000"/>
          <w:sz w:val="24"/>
          <w:szCs w:val="24"/>
          <w:shd w:fill="FFFFFF" w:val="clear"/>
        </w:rPr>
        <w:t>stacked denoising auto-encoder (SDAE)</w:t>
      </w: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[7]</w:t>
      </w:r>
      <w:r>
        <w:rPr>
          <w:rFonts w:cs="Times New Roman" w:ascii="Times New Roman" w:hAnsi="Times New Roman"/>
          <w:color w:val="000000"/>
          <w:sz w:val="24"/>
          <w:szCs w:val="24"/>
          <w:shd w:fill="FFFFFF" w:val="clear"/>
        </w:rPr>
        <w:t xml:space="preserve"> with reduced loss of information.</w:t>
      </w:r>
    </w:p>
    <w:p>
      <w:pPr>
        <w:pStyle w:val="Normal"/>
        <w:rPr/>
      </w:pPr>
      <w:r>
        <w:rPr>
          <w:rFonts w:cs="Times New Roman" w:ascii="Times New Roman" w:hAnsi="Times New Roman"/>
          <w:b/>
          <w:sz w:val="24"/>
          <w:szCs w:val="24"/>
        </w:rPr>
        <w:t>3  Materials and Methods</w:t>
      </w:r>
    </w:p>
    <w:p>
      <w:pPr>
        <w:pStyle w:val="Normal"/>
        <w:jc w:val="both"/>
        <w:rPr/>
      </w:pPr>
      <w:r>
        <w:rPr>
          <w:rFonts w:cs="Times New Roman" w:ascii="Times New Roman" w:hAnsi="Times New Roman"/>
          <w:b/>
          <w:sz w:val="24"/>
          <w:szCs w:val="24"/>
        </w:rPr>
        <w:t xml:space="preserve">3.1 </w:t>
      </w:r>
      <w:r>
        <w:rPr>
          <w:rFonts w:cs="Times New Roman" w:ascii="Times New Roman" w:hAnsi="Times New Roman"/>
          <w:b/>
          <w:sz w:val="24"/>
          <w:szCs w:val="24"/>
        </w:rPr>
        <w:t>Dataset</w:t>
      </w:r>
    </w:p>
    <w:p>
      <w:pPr>
        <w:pStyle w:val="Normal"/>
        <w:jc w:val="both"/>
        <w:rPr/>
      </w:pPr>
      <w:r>
        <w:rPr>
          <w:rFonts w:cs="Times New Roman" w:ascii="Times New Roman" w:hAnsi="Times New Roman"/>
          <w:b w:val="false"/>
          <w:bCs w:val="false"/>
          <w:sz w:val="24"/>
          <w:szCs w:val="24"/>
        </w:rPr>
        <w:t xml:space="preserve">RNA-seq expression data can be obtained from The Cancer Genome Atlas (TCGA) database </w:t>
      </w:r>
      <w:r>
        <w:rPr>
          <w:rFonts w:cs="Times New Roman" w:ascii="Times New Roman" w:hAnsi="Times New Roman"/>
          <w:b w:val="false"/>
          <w:bCs w:val="false"/>
          <w:sz w:val="24"/>
          <w:szCs w:val="24"/>
        </w:rPr>
        <w:t>[8]</w:t>
      </w:r>
      <w:r>
        <w:rPr>
          <w:rFonts w:cs="Times New Roman" w:ascii="Times New Roman" w:hAnsi="Times New Roman"/>
          <w:b w:val="false"/>
          <w:bCs w:val="false"/>
          <w:sz w:val="24"/>
          <w:szCs w:val="24"/>
        </w:rPr>
        <w:t xml:space="preserve"> for both healthy and cancer cells.</w:t>
      </w:r>
    </w:p>
    <w:p>
      <w:pPr>
        <w:pStyle w:val="ListParagraph"/>
        <w:numPr>
          <w:ilvl w:val="0"/>
          <w:numId w:val="0"/>
        </w:numPr>
        <w:ind w:hanging="0"/>
        <w:jc w:val="both"/>
        <w:rPr/>
      </w:pPr>
      <w:r>
        <w:rPr>
          <w:rFonts w:cs="Times New Roman" w:ascii="Times New Roman" w:hAnsi="Times New Roman"/>
          <w:b/>
          <w:sz w:val="24"/>
          <w:szCs w:val="24"/>
        </w:rPr>
        <w:t>3.2 Methods</w:t>
      </w:r>
    </w:p>
    <w:p>
      <w:pPr>
        <w:pStyle w:val="ListParagraph"/>
        <w:numPr>
          <w:ilvl w:val="0"/>
          <w:numId w:val="0"/>
        </w:numPr>
        <w:ind w:hanging="0"/>
        <w:jc w:val="both"/>
        <w:rPr/>
      </w:pPr>
      <w:r>
        <w:rPr>
          <w:rFonts w:cs="Times New Roman" w:ascii="Times New Roman" w:hAnsi="Times New Roman"/>
          <w:b w:val="false"/>
          <w:bCs w:val="false"/>
          <w:color w:val="000000"/>
          <w:sz w:val="24"/>
          <w:szCs w:val="24"/>
          <w:shd w:fill="FFFFFF" w:val="clear"/>
        </w:rPr>
        <w:t>Figure 1 shows the general framework which can be used to analyze transcriptome data.</w:t>
      </w:r>
    </w:p>
    <w:p>
      <w:pPr>
        <w:pStyle w:val="ListParagraph"/>
        <w:numPr>
          <w:ilvl w:val="0"/>
          <w:numId w:val="0"/>
        </w:numPr>
        <w:ind w:left="720" w:hanging="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ListParagraph"/>
        <w:numPr>
          <w:ilvl w:val="0"/>
          <w:numId w:val="0"/>
        </w:numPr>
        <w:ind w:hanging="0"/>
        <w:jc w:val="both"/>
        <w:rPr/>
      </w:pPr>
      <w:r>
        <w:rPr>
          <w:rFonts w:cs="Times New Roman" w:ascii="Times New Roman" w:hAnsi="Times New Roman"/>
          <w:b/>
          <w:sz w:val="24"/>
          <w:szCs w:val="24"/>
        </w:rPr>
        <w:t>3.2.</w:t>
      </w:r>
      <w:r>
        <w:rPr>
          <w:rFonts w:cs="Times New Roman" w:ascii="Times New Roman" w:hAnsi="Times New Roman"/>
          <w:b/>
          <w:sz w:val="24"/>
          <w:szCs w:val="24"/>
        </w:rPr>
        <w:t>1</w:t>
      </w:r>
      <w:r>
        <w:rPr>
          <w:rFonts w:cs="Times New Roman" w:ascii="Times New Roman" w:hAnsi="Times New Roman"/>
          <w:b/>
          <w:sz w:val="24"/>
          <w:szCs w:val="24"/>
        </w:rPr>
        <w:t xml:space="preserve"> Data preprocessing: </w:t>
      </w:r>
      <w:r>
        <w:rPr>
          <w:rFonts w:cs="Times New Roman" w:ascii="Times New Roman" w:hAnsi="Times New Roman"/>
          <w:b w:val="false"/>
          <w:bCs w:val="false"/>
          <w:sz w:val="24"/>
          <w:szCs w:val="24"/>
        </w:rPr>
        <w:t xml:space="preserve">After obtaining the raw dataset, quality assessment can be performed. This step includes removal of the low-quality sequences, exclusion of the poor-quality reads with more than a certain number of unknown bases and trimming the sequencing adapters and primers </w:t>
      </w:r>
      <w:r>
        <w:rPr>
          <w:rFonts w:cs="Times New Roman" w:ascii="Times New Roman" w:hAnsi="Times New Roman"/>
          <w:b w:val="false"/>
          <w:bCs w:val="false"/>
          <w:sz w:val="24"/>
          <w:szCs w:val="24"/>
        </w:rPr>
        <w:t>[6]</w:t>
      </w:r>
      <w:r>
        <w:rPr>
          <w:rFonts w:cs="Times New Roman" w:ascii="Times New Roman" w:hAnsi="Times New Roman"/>
          <w:b w:val="false"/>
          <w:bCs w:val="false"/>
          <w:sz w:val="24"/>
          <w:szCs w:val="24"/>
        </w:rPr>
        <w:t>.</w:t>
      </w:r>
      <w:r>
        <w:rPr>
          <w:rFonts w:cs="Times New Roman" w:ascii="Times New Roman" w:hAnsi="Times New Roman"/>
          <w:b/>
          <w:sz w:val="24"/>
          <w:szCs w:val="24"/>
        </w:rPr>
        <w:t xml:space="preserve"> </w:t>
      </w:r>
      <w:r>
        <w:rPr>
          <w:rFonts w:cs="Times New Roman" w:ascii="Times New Roman" w:hAnsi="Times New Roman"/>
          <w:b w:val="false"/>
          <w:bCs w:val="false"/>
          <w:sz w:val="24"/>
          <w:szCs w:val="24"/>
        </w:rPr>
        <w:t>Once we obtain the preprocessed data, we can get the feature count matrix by mapping to the reference genome.</w:t>
      </w:r>
      <w:r>
        <w:rPr>
          <w:rFonts w:cs="Times New Roman" w:ascii="Times New Roman" w:hAnsi="Times New Roman"/>
          <w:b/>
          <w:sz w:val="24"/>
          <w:szCs w:val="24"/>
        </w:rPr>
        <w:t xml:space="preserve"> </w:t>
      </w:r>
      <w:r>
        <w:rPr>
          <w:rFonts w:cs="Times New Roman" w:ascii="Times New Roman" w:hAnsi="Times New Roman"/>
          <w:b w:val="false"/>
          <w:bCs w:val="false"/>
          <w:sz w:val="24"/>
          <w:szCs w:val="24"/>
        </w:rPr>
        <w:t>Subsequently, Fragments-Per Kilobase of transcript per Million mapped reads (FPKM) or Reads-Per Kilobase of transcript per Million mapped reads (RPKM) normalization methods can be used to normalize the expression data. Afterwards, S</w:t>
      </w:r>
      <w:r>
        <w:rPr>
          <w:rFonts w:cs="Times New Roman" w:ascii="Times New Roman" w:hAnsi="Times New Roman"/>
          <w:sz w:val="24"/>
          <w:szCs w:val="24"/>
        </w:rPr>
        <w:t xml:space="preserve">ynthetic Minority over-sampling TEchnique (SMOTE) </w:t>
      </w:r>
      <w:r>
        <w:rPr>
          <w:rFonts w:cs="Times New Roman" w:ascii="Times New Roman" w:hAnsi="Times New Roman"/>
          <w:sz w:val="24"/>
          <w:szCs w:val="24"/>
        </w:rPr>
        <w:t>[9]</w:t>
      </w:r>
      <w:r>
        <w:rPr>
          <w:rFonts w:cs="Times New Roman" w:ascii="Times New Roman" w:hAnsi="Times New Roman"/>
          <w:sz w:val="24"/>
          <w:szCs w:val="24"/>
        </w:rPr>
        <w:t xml:space="preserve"> can be used to transform data into a more balanced representation.</w:t>
      </w:r>
    </w:p>
    <w:p>
      <w:pPr>
        <w:pStyle w:val="ListParagraph"/>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hanging="0"/>
        <w:jc w:val="both"/>
        <w:rPr/>
      </w:pPr>
      <w:r>
        <w:rPr>
          <w:rFonts w:cs="Times New Roman" w:ascii="Times New Roman" w:hAnsi="Times New Roman"/>
          <w:b/>
          <w:sz w:val="24"/>
          <w:szCs w:val="24"/>
        </w:rPr>
        <w:t>3.2.</w:t>
      </w:r>
      <w:r>
        <w:rPr>
          <w:rFonts w:cs="Times New Roman" w:ascii="Times New Roman" w:hAnsi="Times New Roman"/>
          <w:b/>
          <w:sz w:val="24"/>
          <w:szCs w:val="24"/>
        </w:rPr>
        <w:t>2</w:t>
      </w:r>
      <w:r>
        <w:rPr>
          <w:rFonts w:cs="Times New Roman" w:ascii="Times New Roman" w:hAnsi="Times New Roman"/>
          <w:b/>
          <w:sz w:val="24"/>
          <w:szCs w:val="24"/>
        </w:rPr>
        <w:t xml:space="preserve"> Training &amp; Testing: </w:t>
      </w:r>
      <w:r>
        <w:rPr>
          <w:rFonts w:cs="Times New Roman" w:ascii="Times New Roman" w:hAnsi="Times New Roman"/>
          <w:b w:val="false"/>
          <w:bCs w:val="false"/>
          <w:sz w:val="24"/>
          <w:szCs w:val="24"/>
        </w:rPr>
        <w:t xml:space="preserve">This is the most important step in classification in which </w:t>
      </w:r>
      <w:r>
        <w:rPr>
          <w:rFonts w:cs="Times New Roman" w:ascii="Times New Roman" w:hAnsi="Times New Roman"/>
          <w:sz w:val="24"/>
          <w:szCs w:val="24"/>
        </w:rPr>
        <w:t xml:space="preserve">of the SDAE </w:t>
      </w:r>
      <w:r>
        <w:rPr>
          <w:rFonts w:cs="Times New Roman" w:ascii="Times New Roman" w:hAnsi="Times New Roman"/>
          <w:sz w:val="24"/>
          <w:szCs w:val="24"/>
        </w:rPr>
        <w:t>[7]</w:t>
      </w:r>
      <w:r>
        <w:rPr>
          <w:rFonts w:cs="Times New Roman" w:ascii="Times New Roman" w:hAnsi="Times New Roman"/>
          <w:sz w:val="24"/>
          <w:szCs w:val="24"/>
        </w:rPr>
        <w:t>, a dropout regularization factor can be used in order to randomly exclude fractions of hidden units in the training procedure by setting them to zero. This method prevents nodes overfitting from co-adapting too much and consequently avoids overfitting.</w:t>
      </w:r>
    </w:p>
    <w:p>
      <w:pPr>
        <w:pStyle w:val="Normal"/>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2">
            <wp:simplePos x="0" y="0"/>
            <wp:positionH relativeFrom="column">
              <wp:posOffset>1638300</wp:posOffset>
            </wp:positionH>
            <wp:positionV relativeFrom="paragraph">
              <wp:posOffset>-92075</wp:posOffset>
            </wp:positionV>
            <wp:extent cx="2770505" cy="3477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0505" cy="3477260"/>
                    </a:xfrm>
                    <a:prstGeom prst="rect">
                      <a:avLst/>
                    </a:prstGeom>
                  </pic:spPr>
                </pic:pic>
              </a:graphicData>
            </a:graphic>
          </wp:anchor>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8415"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8220" w:leader="none"/>
        </w:tabs>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24"/>
          <w:szCs w:val="24"/>
        </w:rPr>
        <w:t>Figure 1: Framework of gene detection system during  cancer progression</w:t>
      </w:r>
    </w:p>
    <w:p>
      <w:pPr>
        <w:pStyle w:val="Normal"/>
        <w:jc w:val="both"/>
        <w:rPr/>
      </w:pPr>
      <w:r>
        <w:rPr>
          <w:rFonts w:cs="Times New Roman" w:ascii="Times New Roman" w:hAnsi="Times New Roman"/>
          <w:b/>
          <w:sz w:val="24"/>
          <w:szCs w:val="24"/>
        </w:rPr>
        <w:t>3.2.</w:t>
      </w:r>
      <w:r>
        <w:rPr>
          <w:rFonts w:cs="Times New Roman" w:ascii="Times New Roman" w:hAnsi="Times New Roman"/>
          <w:b/>
          <w:sz w:val="24"/>
          <w:szCs w:val="24"/>
        </w:rPr>
        <w:t>3</w:t>
      </w:r>
      <w:r>
        <w:rPr>
          <w:rFonts w:cs="Times New Roman" w:ascii="Times New Roman" w:hAnsi="Times New Roman"/>
          <w:b/>
          <w:sz w:val="24"/>
          <w:szCs w:val="24"/>
        </w:rPr>
        <w:t xml:space="preserve"> Evaluation Measures</w:t>
      </w:r>
      <w:r>
        <w:rPr>
          <w:rFonts w:cs="Times New Roman" w:ascii="Times New Roman" w:hAnsi="Times New Roman"/>
          <w:sz w:val="24"/>
          <w:szCs w:val="24"/>
        </w:rPr>
        <w:t xml:space="preserve">: </w:t>
      </w:r>
      <w:r>
        <w:rPr>
          <w:rFonts w:cs="Times New Roman" w:ascii="Times New Roman" w:hAnsi="Times New Roman"/>
          <w:sz w:val="24"/>
          <w:szCs w:val="24"/>
        </w:rPr>
        <w:t>A</w:t>
      </w:r>
      <w:r>
        <w:rPr>
          <w:rFonts w:cs="Times New Roman" w:ascii="Times New Roman" w:hAnsi="Times New Roman"/>
          <w:sz w:val="24"/>
          <w:szCs w:val="24"/>
        </w:rPr>
        <w:t xml:space="preserve">ccuracy, sensitivity, specificity, precision and F-measure can be </w:t>
      </w:r>
      <w:r>
        <w:rPr>
          <w:rFonts w:cs="Times New Roman" w:ascii="Times New Roman" w:hAnsi="Times New Roman"/>
          <w:color w:val="000000" w:themeColor="text1"/>
          <w:sz w:val="24"/>
          <w:szCs w:val="24"/>
          <w:shd w:fill="FFFFFF" w:val="clear"/>
        </w:rPr>
        <w:t>used to evaluate the performance of the classifier</w:t>
      </w:r>
      <w:r>
        <w:rPr>
          <w:rFonts w:cs="Times New Roman" w:ascii="Times New Roman" w:hAnsi="Times New Roman"/>
          <w:color w:val="3E3D40"/>
          <w:sz w:val="24"/>
          <w:szCs w:val="24"/>
          <w:shd w:fill="FFFFFF" w:val="clear"/>
        </w:rPr>
        <w:t>.</w:t>
      </w:r>
    </w:p>
    <w:p>
      <w:pPr>
        <w:pStyle w:val="Normal"/>
        <w:rPr/>
      </w:pPr>
      <w:r>
        <w:rPr>
          <w:rFonts w:cs="Times New Roman" w:ascii="Times New Roman" w:hAnsi="Times New Roman"/>
          <w:b/>
          <w:sz w:val="24"/>
          <w:szCs w:val="24"/>
        </w:rPr>
        <w:t xml:space="preserve">3.3 Experimental Design </w:t>
      </w:r>
    </w:p>
    <w:p>
      <w:pPr>
        <w:pStyle w:val="Normal"/>
        <w:spacing w:before="0" w:after="160"/>
        <w:jc w:val="both"/>
        <w:rPr/>
      </w:pPr>
      <w:r>
        <w:rPr>
          <w:rFonts w:cs="Times New Roman" w:ascii="Times New Roman" w:hAnsi="Times New Roman"/>
          <w:b/>
          <w:sz w:val="24"/>
          <w:szCs w:val="24"/>
        </w:rPr>
        <w:t>3.3.1 Software and Hardware Requirements</w:t>
      </w:r>
      <w:r>
        <w:rPr>
          <w:rFonts w:cs="Times New Roman" w:ascii="Times New Roman" w:hAnsi="Times New Roman"/>
          <w:sz w:val="24"/>
          <w:szCs w:val="24"/>
        </w:rPr>
        <w:t>: For this implementation, GPU can be used with Keras library with Theano backend running on an Nvidia Tesla K80.</w:t>
      </w:r>
    </w:p>
    <w:p>
      <w:pPr>
        <w:pStyle w:val="Normal"/>
        <w:spacing w:before="0" w:after="160"/>
        <w:jc w:val="both"/>
        <w:rPr>
          <w:b/>
          <w:b/>
          <w:bCs/>
        </w:rPr>
      </w:pPr>
      <w:r>
        <w:rPr>
          <w:rFonts w:cs="Times New Roman" w:ascii="Times New Roman" w:hAnsi="Times New Roman"/>
          <w:b/>
          <w:bCs/>
          <w:sz w:val="24"/>
          <w:szCs w:val="24"/>
        </w:rPr>
        <w:t>References</w:t>
      </w:r>
    </w:p>
    <w:p>
      <w:pPr>
        <w:pStyle w:val="Normal"/>
        <w:spacing w:before="0" w:after="160"/>
        <w:jc w:val="both"/>
        <w:rPr/>
      </w:pPr>
      <w:r>
        <w:rPr>
          <w:rFonts w:cs="Times New Roman" w:ascii="Times New Roman" w:hAnsi="Times New Roman"/>
          <w:b/>
          <w:bCs/>
          <w:sz w:val="24"/>
          <w:szCs w:val="24"/>
        </w:rPr>
        <w:t>1.</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Gov, E et al.. “Differential co-expression analysis reveals a novel prognostic gene module in ovarian cancer”. Scientific Reports. 7(1): 4996. 2017.</w:t>
      </w:r>
    </w:p>
    <w:p>
      <w:pPr>
        <w:pStyle w:val="Normal"/>
        <w:spacing w:before="0" w:after="160"/>
        <w:jc w:val="both"/>
        <w:rPr/>
      </w:pPr>
      <w:r>
        <w:rPr>
          <w:rFonts w:cs="Times New Roman" w:ascii="Times New Roman" w:hAnsi="Times New Roman"/>
          <w:b w:val="false"/>
          <w:bCs w:val="false"/>
          <w:sz w:val="24"/>
          <w:szCs w:val="24"/>
        </w:rPr>
        <w:t>2. Filteau, M et al. “</w:t>
      </w:r>
      <w:r>
        <w:rPr>
          <w:rFonts w:cs="Times New Roman" w:ascii="Times New Roman" w:hAnsi="Times New Roman"/>
          <w:b w:val="false"/>
          <w:bCs w:val="false"/>
          <w:sz w:val="24"/>
          <w:szCs w:val="24"/>
        </w:rPr>
        <w:t>Gene coexpression networks reveal key drivers of phenotypic divergence in lake whitefish</w:t>
      </w:r>
      <w:r>
        <w:rPr>
          <w:rFonts w:cs="Times New Roman" w:ascii="Times New Roman" w:hAnsi="Times New Roman"/>
          <w:b w:val="false"/>
          <w:bCs w:val="false"/>
          <w:sz w:val="24"/>
          <w:szCs w:val="24"/>
        </w:rPr>
        <w:t>”. Molecular Biology and Evaluation. 30(6): 1384-96. 2013.</w:t>
      </w:r>
    </w:p>
    <w:p>
      <w:pPr>
        <w:pStyle w:val="Normal"/>
        <w:spacing w:before="0" w:after="160"/>
        <w:jc w:val="both"/>
        <w:rPr/>
      </w:pPr>
      <w:r>
        <w:rPr>
          <w:rFonts w:cs="Times New Roman" w:ascii="Times New Roman" w:hAnsi="Times New Roman"/>
          <w:b w:val="false"/>
          <w:bCs w:val="false"/>
          <w:sz w:val="24"/>
          <w:szCs w:val="24"/>
        </w:rPr>
        <w:t>3. Kim, BJ et al.. “</w:t>
      </w:r>
      <w:bookmarkStart w:id="1" w:name="page-title"/>
      <w:bookmarkEnd w:id="1"/>
      <w:r>
        <w:rPr>
          <w:rFonts w:cs="Times New Roman" w:ascii="Times New Roman" w:hAnsi="Times New Roman"/>
          <w:b w:val="false"/>
          <w:bCs w:val="false"/>
          <w:sz w:val="24"/>
          <w:szCs w:val="24"/>
        </w:rPr>
        <w:t>Prediction of inherited genomic susceptibility to 20 common cancer types by a supervised machine-learning method</w:t>
      </w:r>
      <w:r>
        <w:rPr>
          <w:rFonts w:cs="Times New Roman" w:ascii="Times New Roman" w:hAnsi="Times New Roman"/>
          <w:b w:val="false"/>
          <w:bCs w:val="false"/>
          <w:sz w:val="24"/>
          <w:szCs w:val="24"/>
        </w:rPr>
        <w:t>”.  Proceedings of the National Academy of Sciences of the Inited States of America. 115(6): 1322-1327, 2018.</w:t>
      </w:r>
    </w:p>
    <w:p>
      <w:pPr>
        <w:pStyle w:val="Normal"/>
        <w:spacing w:before="0" w:after="160"/>
        <w:jc w:val="both"/>
        <w:rPr/>
      </w:pPr>
      <w:r>
        <w:rPr>
          <w:rFonts w:cs="Times New Roman" w:ascii="Times New Roman" w:hAnsi="Times New Roman"/>
          <w:b w:val="false"/>
          <w:bCs w:val="false"/>
          <w:sz w:val="24"/>
          <w:szCs w:val="24"/>
        </w:rPr>
        <w:t xml:space="preserve">4. </w:t>
      </w:r>
      <w:r>
        <w:rPr>
          <w:rFonts w:cs="Times New Roman" w:ascii="Times New Roman" w:hAnsi="Times New Roman"/>
          <w:b w:val="false"/>
          <w:bCs w:val="false"/>
          <w:sz w:val="24"/>
          <w:szCs w:val="24"/>
        </w:rPr>
        <w:t>Danaee, P et al..”A deep learning approach for cancer detection and relevant gene identification”. Pacific Symposium on Biocomputing. 22: 219-229. 2017.</w:t>
      </w:r>
    </w:p>
    <w:p>
      <w:pPr>
        <w:pStyle w:val="Normal"/>
        <w:spacing w:before="0" w:after="160"/>
        <w:jc w:val="both"/>
        <w:rPr/>
      </w:pPr>
      <w:r>
        <w:rPr>
          <w:rFonts w:cs="Times New Roman" w:ascii="Times New Roman" w:hAnsi="Times New Roman"/>
          <w:b w:val="false"/>
          <w:bCs w:val="false"/>
          <w:sz w:val="24"/>
          <w:szCs w:val="24"/>
        </w:rPr>
        <w:t>5. Zhou, Y et al..”</w:t>
      </w:r>
      <w:r>
        <w:rPr>
          <w:rFonts w:cs="Times New Roman" w:ascii="Times New Roman" w:hAnsi="Times New Roman"/>
          <w:b w:val="false"/>
          <w:bCs w:val="false"/>
          <w:sz w:val="24"/>
          <w:szCs w:val="24"/>
        </w:rPr>
        <w:t>An artificial neural network method for combining gene prediction based on equitable weights</w:t>
      </w:r>
      <w:r>
        <w:rPr>
          <w:rFonts w:cs="Times New Roman" w:ascii="Times New Roman" w:hAnsi="Times New Roman"/>
          <w:b w:val="false"/>
          <w:bCs w:val="false"/>
          <w:sz w:val="24"/>
          <w:szCs w:val="24"/>
        </w:rPr>
        <w:t>”. Neurocomputing. 71(4-6): 538-543, 2008.</w:t>
      </w:r>
    </w:p>
    <w:p>
      <w:pPr>
        <w:pStyle w:val="Normal"/>
        <w:spacing w:before="0" w:after="160"/>
        <w:jc w:val="both"/>
        <w:rPr/>
      </w:pPr>
      <w:r>
        <w:rPr>
          <w:rFonts w:cs="Times New Roman" w:ascii="Times New Roman" w:hAnsi="Times New Roman"/>
          <w:b w:val="false"/>
          <w:bCs w:val="false"/>
          <w:sz w:val="24"/>
          <w:szCs w:val="24"/>
        </w:rPr>
        <w:t>6. Zaraslz, G et al. “</w:t>
      </w:r>
      <w:r>
        <w:rPr>
          <w:rFonts w:cs="Times New Roman" w:ascii="Times New Roman" w:hAnsi="Times New Roman"/>
          <w:b w:val="false"/>
          <w:bCs w:val="false"/>
          <w:sz w:val="24"/>
          <w:szCs w:val="24"/>
        </w:rPr>
        <w:t>A comprehensive simulation study on classification of RNA-Seq data</w:t>
      </w:r>
      <w:r>
        <w:rPr>
          <w:rFonts w:cs="Times New Roman" w:ascii="Times New Roman" w:hAnsi="Times New Roman"/>
          <w:b w:val="false"/>
          <w:bCs w:val="false"/>
          <w:sz w:val="24"/>
          <w:szCs w:val="24"/>
        </w:rPr>
        <w:t>”. PloS One. 12(8): e0182507, 2017.</w:t>
      </w:r>
    </w:p>
    <w:p>
      <w:pPr>
        <w:pStyle w:val="Normal"/>
        <w:spacing w:before="0" w:after="160"/>
        <w:jc w:val="both"/>
        <w:rPr/>
      </w:pPr>
      <w:r>
        <w:rPr>
          <w:rFonts w:cs="Times New Roman" w:ascii="Times New Roman" w:hAnsi="Times New Roman"/>
          <w:b w:val="false"/>
          <w:bCs w:val="false"/>
          <w:sz w:val="24"/>
          <w:szCs w:val="24"/>
        </w:rPr>
        <w:t>7. Vincent, P et al.. “</w:t>
      </w:r>
      <w:r>
        <w:rPr>
          <w:rFonts w:cs="Times New Roman" w:ascii="Times New Roman" w:hAnsi="Times New Roman"/>
          <w:b w:val="false"/>
          <w:bCs w:val="false"/>
          <w:sz w:val="24"/>
          <w:szCs w:val="24"/>
        </w:rPr>
        <w:t>Stacked Denoising Autoencoders: Learning Useful Representations in a Deep Network with a local denoising criterion”. Journal of Machine Learning Researc. 11 (2010) 3371-3408. 2010.</w:t>
      </w:r>
    </w:p>
    <w:p>
      <w:pPr>
        <w:pStyle w:val="Normal"/>
        <w:spacing w:before="0" w:after="160"/>
        <w:jc w:val="both"/>
        <w:rPr/>
      </w:pPr>
      <w:r>
        <w:rPr>
          <w:rFonts w:cs="Times New Roman" w:ascii="Times New Roman" w:hAnsi="Times New Roman"/>
          <w:b w:val="false"/>
          <w:bCs w:val="false"/>
          <w:sz w:val="24"/>
          <w:szCs w:val="24"/>
        </w:rPr>
        <w:t>8. Saleem, M et al.. “Linked cancer genome atlas database”. I-SEMANTICS '13 - Proceedings of the 9th International Conference on Semantic Systems: 04-06 September 2013 – Graz.  2013</w:t>
      </w:r>
      <w:r>
        <w:rPr>
          <w:rFonts w:cs="Times New Roman" w:ascii="Times New Roman" w:hAnsi="Times New Roman"/>
          <w:b w:val="false"/>
          <w:bCs w:val="false"/>
          <w:sz w:val="24"/>
          <w:szCs w:val="24"/>
        </w:rPr>
        <w:t>.</w:t>
      </w:r>
    </w:p>
    <w:p>
      <w:pPr>
        <w:pStyle w:val="Normal"/>
        <w:spacing w:before="0" w:after="160"/>
        <w:jc w:val="both"/>
        <w:rPr/>
      </w:pPr>
      <w:r>
        <w:rPr>
          <w:rFonts w:cs="Times New Roman" w:ascii="Times New Roman" w:hAnsi="Times New Roman"/>
          <w:b w:val="false"/>
          <w:bCs w:val="false"/>
          <w:sz w:val="24"/>
          <w:szCs w:val="24"/>
        </w:rPr>
        <w:t>9</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Chawla, NV. </w:t>
      </w:r>
      <w:r>
        <w:rPr>
          <w:rFonts w:cs="Times New Roman" w:ascii="Times New Roman" w:hAnsi="Times New Roman"/>
          <w:b w:val="false"/>
          <w:bCs w:val="false"/>
          <w:sz w:val="24"/>
          <w:szCs w:val="24"/>
        </w:rPr>
        <w:t xml:space="preserve">“SMOTE: Synthetic Minority Over-sampling Technique”. </w:t>
      </w:r>
      <w:r>
        <w:rPr>
          <w:rFonts w:cs="Times New Roman" w:ascii="Times New Roman" w:hAnsi="Times New Roman"/>
          <w:b w:val="false"/>
          <w:bCs w:val="false"/>
          <w:sz w:val="24"/>
          <w:szCs w:val="24"/>
        </w:rPr>
        <w:t>Journal of Artificial Intelligence Research. 16 (2002), 321 – 357.</w:t>
      </w:r>
    </w:p>
    <w:p>
      <w:pPr>
        <w:pStyle w:val="Normal"/>
        <w:spacing w:before="0" w:after="160"/>
        <w:jc w:val="both"/>
        <w:rPr>
          <w:rFonts w:ascii="Times New Roman" w:hAnsi="Times New Roman" w:cs="Times New Roman"/>
          <w:b w:val="false"/>
          <w:b w:val="false"/>
          <w:bCs w:val="false"/>
          <w:sz w:val="24"/>
          <w:szCs w:val="24"/>
        </w:rPr>
      </w:pPr>
      <w:r>
        <w:rPr/>
      </w:r>
    </w:p>
    <w:p>
      <w:pPr>
        <w:pStyle w:val="Normal"/>
        <w:spacing w:before="0" w:after="160"/>
        <w:jc w:val="both"/>
        <w:rPr>
          <w:rFonts w:ascii="Times New Roman" w:hAnsi="Times New Roman" w:cs="Times New Roman"/>
          <w:b w:val="false"/>
          <w:b w:val="false"/>
          <w:bCs w:val="false"/>
          <w:sz w:val="24"/>
          <w:szCs w:val="24"/>
        </w:rPr>
      </w:pPr>
      <w:r>
        <w:rPr/>
      </w:r>
    </w:p>
    <w:p>
      <w:pPr>
        <w:pStyle w:val="Heading1"/>
        <w:rPr>
          <w:sz w:val="38"/>
        </w:rPr>
      </w:pPr>
      <w:r>
        <w:rPr>
          <w:sz w:val="38"/>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03a5"/>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Heading"/>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82908"/>
    <w:rPr>
      <w:color w:val="0000FF"/>
      <w:u w:val="single"/>
    </w:rPr>
  </w:style>
  <w:style w:type="character" w:styleId="Emphasis">
    <w:name w:val="Emphasis"/>
    <w:basedOn w:val="DefaultParagraphFont"/>
    <w:uiPriority w:val="20"/>
    <w:qFormat/>
    <w:rsid w:val="00d35c9c"/>
    <w:rPr>
      <w:i/>
      <w:iCs/>
    </w:rPr>
  </w:style>
  <w:style w:type="character" w:styleId="BalloonTextChar" w:customStyle="1">
    <w:name w:val="Balloon Text Char"/>
    <w:basedOn w:val="DefaultParagraphFont"/>
    <w:link w:val="BalloonText"/>
    <w:uiPriority w:val="99"/>
    <w:semiHidden/>
    <w:qFormat/>
    <w:rsid w:val="0055149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b4e4c"/>
    <w:pPr>
      <w:spacing w:lineRule="auto" w:line="252" w:before="0" w:after="160"/>
      <w:ind w:left="720" w:hanging="0"/>
      <w:contextualSpacing/>
    </w:pPr>
    <w:rPr/>
  </w:style>
  <w:style w:type="paragraph" w:styleId="BalloonText">
    <w:name w:val="Balloon Text"/>
    <w:basedOn w:val="Normal"/>
    <w:link w:val="BalloonTextChar"/>
    <w:uiPriority w:val="99"/>
    <w:semiHidden/>
    <w:unhideWhenUsed/>
    <w:qFormat/>
    <w:rsid w:val="0055149a"/>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Application>LibreOffice/5.4.6.2$Linux_X86_64 LibreOffice_project/40m0$Build-2</Application>
  <Pages>3</Pages>
  <Words>898</Words>
  <Characters>5158</Characters>
  <CharactersWithSpaces>6040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2018-05-02T04:27:00Z</dcterms:created>
  <dc:creator>na6742@bennett.edu.in</dc:creator>
  <dc:description/>
  <dc:language>en-IN</dc:language>
  <cp:lastModifiedBy>Anirban Bhar</cp:lastModifiedBy>
  <dcterms:modified xsi:type="dcterms:W3CDTF">2018-05-16T11:57:23Z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