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6ab63f444173fc565b5466f9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Flow Designer automation setup for automatic ticket classification, category mapping, routing and status updates.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Project-specific accuracy percentage not provided in the source; validate using approved ticket classification test cases.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Confidence Score (Only Yolo Projects)</w:t>
            </w:r>
          </w:p>
        </w:tc>
        <w:tc>
          <w:tcPr/>
          <w:p>
            <w:r>
              <w:rPr>
                <w:sz w:val="18"/>
              </w:rPr>
              <w:t>Not applicable — this project uses Flow Designer classification/routing logic, not a YOLO object-detection model.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b/>
          <w:sz w:val="24"/>
        </w:rPr>
        <w:t>Project-Specific Functional Requirements and DFD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Ticket Submission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Accept incoming support ticket details.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Automatic Classification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Classify tickets using configured classification logic/rules.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Trigger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Trigger the configured Flow Designer automation when applicable.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Routing / Assignment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Route classified tickets to the appropriate category/support group.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Update and retain ticket status for workflow monitoring.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Flag unclear or unclassified tickets for manual review.</w:t>
            </w:r>
          </w:p>
        </w:tc>
      </w:tr>
    </w:tbl>
    <w:p>
      <w:r>
        <w:t>DFD Information: External Entity (User / Support Agent) → Submit Ticket → Ticket Records → Flow Designer Trigger → Automatic Ticket Classification → Classification / Routing Rules → Assignment &amp; Status Update → Support Team / Administrator. Unclassified or unclear tickets proceed to manual review.</w:t>
      </w:r>
    </w:p>
    <w:sectPr>
      <w:headerReference w:type="default" r:id="rId10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