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1EC6" w:rsidRPr="00141EC6" w:rsidRDefault="00141EC6" w:rsidP="0014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EC6">
        <w:rPr>
          <w:rFonts w:ascii="Times New Roman" w:eastAsia="Times New Roman" w:hAnsi="Times New Roman" w:cs="Times New Roman"/>
          <w:b/>
          <w:bCs/>
          <w:sz w:val="28"/>
          <w:szCs w:val="28"/>
        </w:rPr>
        <w:t>Retail Sales Margin Erosion Analysis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</w:t>
      </w:r>
      <w:r w:rsidRPr="00141EC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1EC6">
        <w:rPr>
          <w:rFonts w:ascii="Times New Roman" w:eastAsia="Times New Roman" w:hAnsi="Times New Roman" w:cs="Times New Roman"/>
          <w:i/>
          <w:iCs/>
          <w:sz w:val="24"/>
          <w:szCs w:val="24"/>
        </w:rPr>
        <w:t>Executive Summary</w:t>
      </w:r>
    </w:p>
    <w:p w:rsidR="00141EC6" w:rsidRPr="00141EC6" w:rsidRDefault="00141EC6" w:rsidP="0014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EC6">
        <w:rPr>
          <w:rFonts w:ascii="Times New Roman" w:eastAsia="Times New Roman" w:hAnsi="Times New Roman" w:cs="Times New Roman"/>
          <w:b/>
          <w:bCs/>
          <w:sz w:val="24"/>
          <w:szCs w:val="24"/>
        </w:rPr>
        <w:t>Situation</w:t>
      </w:r>
      <w:r w:rsidRPr="00141EC6">
        <w:rPr>
          <w:rFonts w:ascii="Times New Roman" w:eastAsia="Times New Roman" w:hAnsi="Times New Roman" w:cs="Times New Roman"/>
          <w:sz w:val="24"/>
          <w:szCs w:val="24"/>
        </w:rPr>
        <w:t xml:space="preserve"> A multi-region US retail business generating $2.3M revenue across 4 regions and 17 sub-categories.</w:t>
      </w:r>
    </w:p>
    <w:p w:rsidR="00141EC6" w:rsidRPr="00141EC6" w:rsidRDefault="00141EC6" w:rsidP="0014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EC6">
        <w:rPr>
          <w:rFonts w:ascii="Times New Roman" w:eastAsia="Times New Roman" w:hAnsi="Times New Roman" w:cs="Times New Roman"/>
          <w:b/>
          <w:bCs/>
          <w:sz w:val="24"/>
          <w:szCs w:val="24"/>
        </w:rPr>
        <w:t>Problem</w:t>
      </w:r>
      <w:r w:rsidRPr="00141EC6">
        <w:rPr>
          <w:rFonts w:ascii="Times New Roman" w:eastAsia="Times New Roman" w:hAnsi="Times New Roman" w:cs="Times New Roman"/>
          <w:sz w:val="24"/>
          <w:szCs w:val="24"/>
        </w:rPr>
        <w:t xml:space="preserve"> Despite a 12.47% overall margin, 3 sub-categories — Tables (-8.56%), Bookcases (-3.02%), and Supplies (-2.55%) — are producing negative margins, representing $133K in </w:t>
      </w:r>
      <w:proofErr w:type="spellStart"/>
      <w:r w:rsidRPr="00141EC6">
        <w:rPr>
          <w:rFonts w:ascii="Times New Roman" w:eastAsia="Times New Roman" w:hAnsi="Times New Roman" w:cs="Times New Roman"/>
          <w:sz w:val="24"/>
          <w:szCs w:val="24"/>
        </w:rPr>
        <w:t>unrealised</w:t>
      </w:r>
      <w:proofErr w:type="spellEnd"/>
      <w:r w:rsidRPr="00141EC6">
        <w:rPr>
          <w:rFonts w:ascii="Times New Roman" w:eastAsia="Times New Roman" w:hAnsi="Times New Roman" w:cs="Times New Roman"/>
          <w:sz w:val="24"/>
          <w:szCs w:val="24"/>
        </w:rPr>
        <w:t xml:space="preserve"> profit annually.</w:t>
      </w:r>
    </w:p>
    <w:p w:rsidR="00141EC6" w:rsidRPr="00141EC6" w:rsidRDefault="00141EC6" w:rsidP="0014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EC6">
        <w:rPr>
          <w:rFonts w:ascii="Times New Roman" w:eastAsia="Times New Roman" w:hAnsi="Times New Roman" w:cs="Times New Roman"/>
          <w:b/>
          <w:bCs/>
          <w:sz w:val="24"/>
          <w:szCs w:val="24"/>
        </w:rPr>
        <w:t>Analysis</w:t>
      </w:r>
      <w:r w:rsidRPr="00141EC6">
        <w:rPr>
          <w:rFonts w:ascii="Times New Roman" w:eastAsia="Times New Roman" w:hAnsi="Times New Roman" w:cs="Times New Roman"/>
          <w:sz w:val="24"/>
          <w:szCs w:val="24"/>
        </w:rPr>
        <w:t xml:space="preserve"> SQL analysis of 9,994 orders across 2014–2017 identified uncontrolled discounting as the root cause. Sub-categories with average discounts above 20% consistently produce negative margins. Order quantity (</w:t>
      </w:r>
      <w:proofErr w:type="spellStart"/>
      <w:r w:rsidRPr="00141EC6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141EC6">
        <w:rPr>
          <w:rFonts w:ascii="Times New Roman" w:eastAsia="Times New Roman" w:hAnsi="Times New Roman" w:cs="Times New Roman"/>
          <w:sz w:val="24"/>
          <w:szCs w:val="24"/>
        </w:rPr>
        <w:t xml:space="preserve"> 3.4–4.2 units) and return rates are identical across loss-making and profitable sub-categories — ruling both out as causes.</w:t>
      </w:r>
    </w:p>
    <w:p w:rsidR="00141EC6" w:rsidRPr="00141EC6" w:rsidRDefault="00141EC6" w:rsidP="0014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EC6">
        <w:rPr>
          <w:rFonts w:ascii="Times New Roman" w:eastAsia="Times New Roman" w:hAnsi="Times New Roman" w:cs="Times New Roman"/>
          <w:b/>
          <w:bCs/>
          <w:sz w:val="24"/>
          <w:szCs w:val="24"/>
        </w:rPr>
        <w:t>Finding</w:t>
      </w:r>
      <w:r w:rsidRPr="00141EC6">
        <w:rPr>
          <w:rFonts w:ascii="Times New Roman" w:eastAsia="Times New Roman" w:hAnsi="Times New Roman" w:cs="Times New Roman"/>
          <w:sz w:val="24"/>
          <w:szCs w:val="24"/>
        </w:rPr>
        <w:t xml:space="preserve"> The pattern is structural, not seasonal — consistent across all 4 years. Worst combination: Central region Appliances at 44.9% average discount producing -125% margin across 123 orders — losing ₹125 for every ₹100 sold.</w:t>
      </w:r>
    </w:p>
    <w:p w:rsidR="00141EC6" w:rsidRPr="00141EC6" w:rsidRDefault="00141EC6" w:rsidP="00141E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EC6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</w:t>
      </w:r>
      <w:r w:rsidRPr="00141EC6">
        <w:rPr>
          <w:rFonts w:ascii="Times New Roman" w:eastAsia="Times New Roman" w:hAnsi="Times New Roman" w:cs="Times New Roman"/>
          <w:sz w:val="24"/>
          <w:szCs w:val="24"/>
        </w:rPr>
        <w:t xml:space="preserve"> Cap discounts at 20% on loss-making sub-categories. Require regional director approval above that threshold. Priority intervention: Central region under Kelly Williams. Estimated profit recovery: $133K annually if enforced.</w:t>
      </w:r>
    </w:p>
    <w:p w:rsidR="00141EC6" w:rsidRPr="00141EC6" w:rsidRDefault="00141EC6" w:rsidP="00141EC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1EC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41EC6" w:rsidRPr="00141EC6" w:rsidRDefault="00141EC6" w:rsidP="00141EC6">
      <w:pPr>
        <w:rPr>
          <w:b/>
          <w:sz w:val="44"/>
          <w:szCs w:val="44"/>
        </w:rPr>
      </w:pPr>
    </w:p>
    <w:sectPr w:rsidR="00141EC6" w:rsidRPr="00141E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EC6"/>
    <w:rsid w:val="00141EC6"/>
    <w:rsid w:val="00C9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6F66AE-B94D-4F8C-BCB4-E069570A2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41E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1EC6"/>
    <w:rPr>
      <w:b/>
      <w:bCs/>
    </w:rPr>
  </w:style>
  <w:style w:type="character" w:styleId="Emphasis">
    <w:name w:val="Emphasis"/>
    <w:basedOn w:val="DefaultParagraphFont"/>
    <w:uiPriority w:val="20"/>
    <w:qFormat/>
    <w:rsid w:val="00141EC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59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2026-06-01T09:32:00Z</dcterms:created>
  <dcterms:modified xsi:type="dcterms:W3CDTF">2026-06-01T09:38:00Z</dcterms:modified>
</cp:coreProperties>
</file>