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QuickBite Discount Impact &amp; Profitability Analysis</w:t>
      </w:r>
    </w:p>
    <w:p>
      <w:pPr>
        <w:spacing w:before="0" w:after="360"/>
      </w:pPr>
      <w:r>
        <w:rPr>
          <w:rFonts w:ascii="Calibri" w:hAnsi="Calibri"/>
          <w:color w:val="2B6CB0"/>
          <w:sz w:val="24"/>
        </w:rPr>
        <w:t>Evaluating Basket Size Dynamics, Margin Erosion, Threshold Economics, and Sustainable Promotional Strategies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1. Project Overview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The objective of this project is to perform an end-to-end empirical evaluation of Discount Impact and Profitability for the QuickBite food delivery platform using Python, Pandas, Matplotlib, and Seaborn. In competitive on-demand delivery ecosystems, promotional discounts are frequently deployed as blunt customer acquisition and basket-inflation instruments. However, uncalibrated discounting often leads to severe margin erosion, subsidizing organic demand without stimulating incremental order volume or basket expansion.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This study investigates whether higher discount thresholds drive larger basket sizes or merely diminish realized unit economics. The project was executed in two systematic phases: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Phase 1 - Data Ingestion, Cleansing &amp; Integrity Verification: </w:t>
      </w:r>
      <w:r>
        <w:rPr>
          <w:rFonts w:ascii="Calibri" w:hAnsi="Calibri"/>
          <w:color w:val="2D3748"/>
          <w:sz w:val="21"/>
        </w:rPr>
        <w:t>Transactional records from the Orders dataset were merged with demographic attributes from the Customers dataset, deriving order-level financial metrics including Net Realized Revenue (Order Amount - Discount), Effective Discount Rate (%), and Gross Margin Contribution.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Phase 2 - Behavioral Cohort &amp; Threshold Modeling: </w:t>
      </w:r>
      <w:r>
        <w:rPr>
          <w:rFonts w:ascii="Calibri" w:hAnsi="Calibri"/>
          <w:color w:val="2D3748"/>
          <w:sz w:val="21"/>
        </w:rPr>
        <w:t>Orders were segmented into discrete discount brackets (₹0, ₹1–₹25, ₹26–₹50, ₹51–₹75, and ₹75+) and evaluated against customer tiers (Premium, Regular, New, Unknown) and geographic markets to formulate data-driven, sustainable discounting strategies.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2. Data Cleaning &amp; Preprocessing Summary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The foundational data comprises 25 registered customer accounts across 5 demographic attributes (customer_id, customer_name, city, signup_date, customer_segment) and 50 order records across 7 transactional parameters (order_id, restaurant_id, order_date, order_status, delivery_minutes, order_amount, discount).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Missing Segment Imputation: </w:t>
      </w:r>
      <w:r>
        <w:rPr>
          <w:rFonts w:ascii="Calibri" w:hAnsi="Calibri"/>
          <w:color w:val="2D3748"/>
          <w:sz w:val="21"/>
        </w:rPr>
        <w:t>A single missing value in customer_segment for Customer ID 25 (Om Prakash, Delhi) was imputed with 'Unknown' to preserve transactional traceability.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Operational Incompleteness Audit: </w:t>
      </w:r>
      <w:r>
        <w:rPr>
          <w:rFonts w:ascii="Calibri" w:hAnsi="Calibri"/>
          <w:color w:val="2D3748"/>
          <w:sz w:val="21"/>
        </w:rPr>
        <w:t>In the Orders dataset, 6 null values in delivery_minutes corresponded exclusively to Cancelled orders; these were imputed with 0.0.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Standardization &amp; Datetime Parsing: </w:t>
      </w:r>
      <w:r>
        <w:rPr>
          <w:rFonts w:ascii="Calibri" w:hAnsi="Calibri"/>
          <w:color w:val="2D3748"/>
          <w:sz w:val="21"/>
        </w:rPr>
        <w:t>Both signup_date and order_date were standardized to ISO 8601 datetimes. Text strings across customer names, cities, and statuses were stripped of leading/trailing whitespace.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Derived Profitability Metrics: </w:t>
      </w:r>
      <w:r>
        <w:rPr>
          <w:rFonts w:ascii="Calibri" w:hAnsi="Calibri"/>
          <w:color w:val="2D3748"/>
          <w:sz w:val="21"/>
        </w:rPr>
        <w:t>Net Revenue was computed as (Order Amount - Discount). Effective Discount Percentage was calculated as (Discount / Order Amount) * 100.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Fulfillment Disaggregation: </w:t>
      </w:r>
      <w:r>
        <w:rPr>
          <w:rFonts w:ascii="Calibri" w:hAnsi="Calibri"/>
          <w:color w:val="2D3748"/>
          <w:sz w:val="21"/>
        </w:rPr>
        <w:t>Gross transactions were partitioned by delivery settlement (Delivered, Cancelled, Pending) to separate nominal demand from realized cash-settled gross receipts.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3. Overall Promotional &amp; Profitability KPIs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QuickBite captured ₹47,839.73 in total gross order demand and realized ₹32,834.79 in net delivered revenue across 50 completed orders from 22 unique active customers. Total promotional subsidies amounted to ₹1,575.00, representing a platform-wide discount-to-gross GMV ratio of 3.29%. However, operational fulfillment friction and uncalibrated discounting created significant realization leakage.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A365D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Promotional &amp; Profitability Indicator (KPI)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Observed Metric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Strategic Context / Benchmark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Total Orders Analyzed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50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100.00% Order Demand Sample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Active Purchasing Customers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22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88.00% Account Activation Rate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Gross Platform Demand (GMV)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₹47,839.73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Gross Checkout Merchandise Value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Total Promotional Discounts Given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₹1,575.00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Total Customer Subsidy Expense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Realized Net Delivered Revenue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₹32,834.79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68.63% Realized Cash Inflow Rate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Platform Average Order Value (AOV)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₹956.79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Average Basket Spend per Order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Mean Net Realized Revenue / Order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₹925.29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Gross AOV minus Mean Discount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Average Discount per Order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₹31.50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Across All 50 Orders Placed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Average Discount on Discounted Orders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₹47.73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Across Orders with Discount &gt; ₹0 (33 orders)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Discount Penetration Rate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66.00%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33 of 50 orders received promotional discounts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Discounts Absorbed by Non-Delivered Orders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₹435.00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27.62% of Subsidies Wasted on Cancelled/Pending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Correlation (Discount vs. Gross Basket Size)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-0.082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Near-zero/negative: Higher discounts do not drive larger baskets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3182C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A365D"/>
                <w:sz w:val="22"/>
              </w:rPr>
              <w:t>Executive KPI Takeaway:</w:t>
              <w:br/>
            </w:r>
            <w:r>
              <w:rPr>
                <w:rFonts w:ascii="Calibri" w:hAnsi="Calibri"/>
                <w:color w:val="2D3748"/>
                <w:sz w:val="20"/>
              </w:rPr>
              <w:t>QuickBite's promotional strategy currently functions as an unearned margin deduction rather than a growth catalyst. With an empirical correlation of -0.082 between discount value and basket size, higher discounts do NOT expand basket value. Furthermore, 27.62% of all promotional expenditure (₹435.00) was wasted on cancelled or pending orders, directly eroding operating margin without delivering retention benefits.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4. Discount Tier &amp; Basket Dynamics Analysis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To determine whether higher discount thresholds motivate customers to expand cart values or merely erode transaction margins, all 50 orders were categorized into five discrete discount brackets: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A365D"/>
          <w:right w:val="none"/>
          <w:insideH w:val="single" w:sz="4" w:space="0" w:color="D3D3D3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016"/>
            <w:tcMar>
              <w:top w:w="70" w:type="dxa"/>
              <w:bottom w:w="70" w:type="dxa"/>
              <w:left w:w="60" w:type="dxa"/>
              <w:right w:w="6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Discount Tier (INR)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Orders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Delivered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Share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Gross AOV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Net Rev/Order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Total Discount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Realization Rate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₹0 (No Discount)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17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13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34.00%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₹974.12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₹974.12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₹0.00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100.00%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 – ₹25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7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6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14.00%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₹846.16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₹821.16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₹175.00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97.05%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₹26 – ₹50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18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13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36.00%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₹981.45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₹931.45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₹900.00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94.91%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₹51 – ₹75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8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6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16.00%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₹912.80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₹837.80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₹600.00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91.78%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Total / Platform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50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38</w:t>
            </w:r>
          </w:p>
        </w:tc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100.00%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₹956.79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₹925.29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₹1,575.00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96.71%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The Basket Inflation Fallacy: </w:t>
      </w:r>
      <w:r>
        <w:rPr>
          <w:rFonts w:ascii="Calibri" w:hAnsi="Calibri"/>
          <w:color w:val="2D3748"/>
          <w:sz w:val="21"/>
        </w:rPr>
        <w:t>Orders receiving zero discount registered a higher average basket size (₹974.12) than orders receiving the maximum discount tier of ₹51–₹75 (₹912.80). This demonstrates that organic demand is naturally high-ticket, and heavy discounting does not incentivize customers to add more items.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Direct Margin Compression: </w:t>
      </w:r>
      <w:r>
        <w:rPr>
          <w:rFonts w:ascii="Calibri" w:hAnsi="Calibri"/>
          <w:color w:val="2D3748"/>
          <w:sz w:val="21"/>
        </w:rPr>
        <w:t>In the ₹51–₹75 discount tier, realized revenue fell sharply to ₹837.80 per order, representing an immediate 8.22% margin sacrifice with zero compensating increase in basket size.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Subsidy Concentration in Flat Mid-Tiers: </w:t>
      </w:r>
      <w:r>
        <w:rPr>
          <w:rFonts w:ascii="Calibri" w:hAnsi="Calibri"/>
          <w:color w:val="2D3748"/>
          <w:sz w:val="21"/>
        </w:rPr>
        <w:t>The ₹26–₹50 bracket absorbed ₹900.00 (57.14%) of all promotional spend across 18 orders, operating primarily as flat ₹50 checkout deductions on orders that were already above ₹900.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5. Customer Segment Discount Sensitivity &amp; Profitability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Analyzing promotional uptake across customer segments reveals fundamental differences in price sensitivity, fulfillment reliability, and profitability: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A365D"/>
          <w:right w:val="none"/>
          <w:insideH w:val="single" w:sz="4" w:space="0" w:color="D3D3D3"/>
          <w:insideV w:val="non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Users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Orders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Delivered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Gross Rev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Realized Net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AOV (INR)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Avg Disc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Disc/GMV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Premium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8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19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16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₹19,734.59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₹14,472.79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₹1,038.66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₹28.42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2.74%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Regular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24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16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₹22,938.44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₹13,694.77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₹955.77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₹37.92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3.97%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New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₹4,230.79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₹3,751.32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₹846.16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₹25.00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2.95%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Unknown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₹935.91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₹915.91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₹467.96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₹10.00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2.14%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Platform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22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50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38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₹47,839.73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₹32,834.79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₹956.79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₹31.50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3.29%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Premium Segment (Profit Engine &amp; Inelastic): </w:t>
      </w:r>
      <w:r>
        <w:rPr>
          <w:rFonts w:ascii="Calibri" w:hAnsi="Calibri"/>
          <w:color w:val="2D3748"/>
          <w:sz w:val="21"/>
        </w:rPr>
        <w:t>Premium customers drive the highest realized net revenue (₹14,472.79) and top basket size (₹1,038.66) while receiving the lowest average discount (₹28.42, 2.74% of GMV). They exhibit high brand loyalty and strong checkout completion (84.21%), meaning price discounts given to this cohort represent pure deadweight loss.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Regular Segment (High Subsidy Burn &amp; High Friction): </w:t>
      </w:r>
      <w:r>
        <w:rPr>
          <w:rFonts w:ascii="Calibri" w:hAnsi="Calibri"/>
          <w:color w:val="2D3748"/>
          <w:sz w:val="21"/>
        </w:rPr>
        <w:t>Regular users generated ₹22,938.44 in gross demand across 24 orders, consuming ₹910.00 (57.78% of all discounts) at an average of ₹37.92 per order. However, a 33.33% cancellation/pending rate led to ₹300.00 of discounts being wasted on unfulfilled orders.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New Customers (Low-Hanging Onboarding Potential): </w:t>
      </w:r>
      <w:r>
        <w:rPr>
          <w:rFonts w:ascii="Calibri" w:hAnsi="Calibri"/>
          <w:color w:val="2D3748"/>
          <w:sz w:val="21"/>
        </w:rPr>
        <w:t>New signups accounted for 5 orders from 4 users (1.25 frequency) with an AOV of ₹846.16 and ₹3,751.32 in realized revenue. While trial discounts worked, the lack of a structured second-order incentive stalled cohort retention.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6. Geographic / City-Wise Discount Utilization &amp; Margin Realization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Regional performance demonstrates stark contrasts in promotional efficiency and delivery reliability across QuickBite's 8 operating cities: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A365D"/>
          <w:right w:val="none"/>
          <w:insideH w:val="single" w:sz="4" w:space="0" w:color="D3D3D3"/>
          <w:insideV w:val="non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City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Orders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Delivered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Gross GMV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Realized Net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AOV (INR)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Avg Disc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Total Disc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Realization 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Bengaluru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7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7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₹6,260.14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₹6,160.14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₹894.31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₹14.29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₹100.00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98.40%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Mumbai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₹6,150.73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₹5,905.73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₹1,230.15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₹49.00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₹245.00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96.02%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Delhi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₹7,861.27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₹5,919.00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₹786.13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₹36.00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₹360.00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75.29%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Chennai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₹5,443.67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₹5,223.67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₹1,088.73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₹44.00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₹220.00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95.96%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Ahmedabad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3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₹5,697.43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₹3,507.69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₹1,139.49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₹15.00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₹75.00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61.57%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Pune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9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₹7,199.50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₹3,033.71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₹799.94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₹38.33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₹345.00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42.14%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Kolkata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7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3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₹8,240.89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₹2,503.22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₹1,177.27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₹28.57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₹200.00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30.38%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Hyderabad</w:t>
            </w:r>
          </w:p>
        </w:tc>
        <w:tc>
          <w:tcPr>
            <w:tcW w:type="dxa" w:w="72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type="dxa" w:w="864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₹986.10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₹581.63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₹493.05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₹25.00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₹50.00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50" w:type="dxa"/>
              <w:right w:w="50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8"/>
              </w:rPr>
              <w:t>58.98%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Bengaluru &amp; Mumbai (High Realization Benchmarks): </w:t>
      </w:r>
      <w:r>
        <w:rPr>
          <w:rFonts w:ascii="Calibri" w:hAnsi="Calibri"/>
          <w:color w:val="2D3748"/>
          <w:sz w:val="21"/>
        </w:rPr>
        <w:t>Bengaluru achieved an exceptional 98.40% revenue realization with an unblemished 100% fulfillment rate and a lean average discount of ₹14.29. Mumbai demonstrated the highest AOV (₹1,230.15) and 96.02% realization, confirming that affluent urban hubs prioritize delivery speed and selection over discounts.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Pune &amp; Kolkata (Promotional Bleed via Operational Bottlenecks): </w:t>
      </w:r>
      <w:r>
        <w:rPr>
          <w:rFonts w:ascii="Calibri" w:hAnsi="Calibri"/>
          <w:color w:val="2D3748"/>
          <w:sz w:val="21"/>
        </w:rPr>
        <w:t>Pune and Kolkata absorbed substantial subsidies (₹345.00 and ₹200.00), yet their net realization plummeted to 42.14% and 30.38% due to severe delivery cancellations and pending orders. In these cities, promotional discounting failed to overcome logistics deficiencies.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7. Customer Subsidy vs. Profitability Matrix (Top 10 Spenders)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Examining customer-level accounts demonstrates that platform revenue is heavily concentrated, with the top 10 spenders generating ₹30,344.44 (63.43% of platform GMV):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A365D"/>
          <w:right w:val="none"/>
          <w:insideH w:val="single" w:sz="4" w:space="0" w:color="D3D3D3"/>
          <w:insideV w:val="none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Customer Name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Orders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Delivered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Gross Spend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Realized Net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Discount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1A365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Subsidy 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15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Karan Malhotra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Bengaluru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Premium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₹4,030.84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₹3,930.84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₹100.00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2.48%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7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Kabir Nair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Chennai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Regular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₹3,937.47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₹3,792.47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₹145.00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3.68%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18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Tanya Sinha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Delhi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Premium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₹5,033.76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₹3,381.49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₹150.00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2.98%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Yash Agarwal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Mumbai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Premium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₹3,339.50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₹3,219.50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₹120.00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3.59%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19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Manish Kulkarni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Pune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Regular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5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₹3,807.85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₹2,774.74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₹215.00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5.65%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17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Siddharth Jain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Ahmedabad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Regular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₹2,934.38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₹2,106.94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₹45.00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1.53%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22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Maya Sen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Kolkata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Regular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₹2,670.81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₹1,724.42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₹100.00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3.74%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Ananya Rao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Bengaluru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New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₹1,702.39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₹1,702.39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₹0.00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0.00%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12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Pooja Shah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Mumbai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New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₹1,542.30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₹1,467.30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₹75.00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4.86%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13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Aditya Menon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Chennai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Premium</w:t>
            </w:r>
          </w:p>
        </w:tc>
        <w:tc>
          <w:tcPr>
            <w:tcW w:type="dxa" w:w="720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₹1,506.20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₹1,431.20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₹75.00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45" w:type="dxa"/>
              <w:right w:w="45" w:type="dxa"/>
            </w:tcMar>
            <w:shd w:fill="F7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D3748"/>
                <w:sz w:val="17"/>
              </w:rPr>
              <w:t>4.98%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8. Core Analytical Insights on Discount Economics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Insight 1 - Discounts Erode Margin Rather Than Driving Basket Size: </w:t>
      </w:r>
      <w:r>
        <w:rPr>
          <w:rFonts w:ascii="Calibri" w:hAnsi="Calibri"/>
          <w:color w:val="2D3748"/>
          <w:sz w:val="21"/>
        </w:rPr>
        <w:t>The statistical correlation between discount amount and order value is -0.082. Undiscounted orders average ₹974.12, whereas orders receiving ₹51–₹75 discounts average ₹912.80. Discounts are functioning as unearned price concessions on organic demand rather than basket-inflation mechanisms.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Insight 2 - Heavy Subsidy Waste on Cancelled &amp; In-Flight Orders: </w:t>
      </w:r>
      <w:r>
        <w:rPr>
          <w:rFonts w:ascii="Calibri" w:hAnsi="Calibri"/>
          <w:color w:val="2D3748"/>
          <w:sz w:val="21"/>
        </w:rPr>
        <w:t>Of the ₹1,575.00 in platform discounts, ₹435.00 (27.62%) was allocated to orders that were cancelled (₹175.00) or pending (₹260.00). Providing instant cart-level discounts before delivery confirmation exposes QuickBite to severe operational leakage.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Insight 3 - Price Inelasticity in Premium Customer Cohorts: </w:t>
      </w:r>
      <w:r>
        <w:rPr>
          <w:rFonts w:ascii="Calibri" w:hAnsi="Calibri"/>
          <w:color w:val="2D3748"/>
          <w:sz w:val="21"/>
        </w:rPr>
        <w:t>Premium cohorts in Bengaluru, Delhi, and Mumbai order consistently with high AOVs (&gt;₹1,000) despite lower average discounts (₹28.42). Subsidizing these cohorts does not expand volume; rather, it forfeits net platform revenue.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Insight 4 - Flawed Flat Discount Mechanics: </w:t>
      </w:r>
      <w:r>
        <w:rPr>
          <w:rFonts w:ascii="Calibri" w:hAnsi="Calibri"/>
          <w:color w:val="2D3748"/>
          <w:sz w:val="21"/>
        </w:rPr>
        <w:t>Flat ₹50 and ₹75 coupons create severe distortion: on a ₹466 basket, a ₹75 discount represents a 16.08% margin loss, whereas on a ₹1,156 basket, it is negligible to the consumer yet costly to the platform.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9. Data-Driven Strategic Recommendations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To eliminate margin erosion, protect net realized revenue, and build a sustainable promotional framework, QuickBite should deploy the following strategies: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1. Implement Minimum Order Value (MOV) Thresholds: </w:t>
      </w:r>
      <w:r>
        <w:rPr>
          <w:rFonts w:ascii="Calibri" w:hAnsi="Calibri"/>
          <w:color w:val="2D3748"/>
          <w:sz w:val="21"/>
        </w:rPr>
        <w:t>Discontinue flat checkout discounts. Introduce tiered discount hurdles requiring cart expansion: ₹50 off on orders above ₹1,100 (forcing spend past the ₹956 platform mean), and ₹100 off on orders above ₹1,500 for family/combo dining.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2. Shift from Instant Cart Discounts to Post-Delivery Wallet Cashback: </w:t>
      </w:r>
      <w:r>
        <w:rPr>
          <w:rFonts w:ascii="Calibri" w:hAnsi="Calibri"/>
          <w:color w:val="2D3748"/>
          <w:sz w:val="21"/>
        </w:rPr>
        <w:t>To recover the ₹435 lost on unfulfilled orders, convert promotional subsidies into QuickBite Wallet credits issued only upon successful delivery confirmation. This protects gross cash receipts and locks in repeat ordering.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3. Transition Premium Users from Discounts to VIP Loyalty Services: </w:t>
      </w:r>
      <w:r>
        <w:rPr>
          <w:rFonts w:ascii="Calibri" w:hAnsi="Calibri"/>
          <w:color w:val="2D3748"/>
          <w:sz w:val="21"/>
        </w:rPr>
        <w:t>Replace cash coupons for Premium users with 'QuickBite Select': free priority delivery, dedicated customer care, and complimentary appetizers from partner restaurants. Premium users have demonstrated high willingness to pay full menu price.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4. Milestone-Based Frequency Rewards for Regular Users: </w:t>
      </w:r>
      <w:r>
        <w:rPr>
          <w:rFonts w:ascii="Calibri" w:hAnsi="Calibri"/>
          <w:color w:val="2D3748"/>
          <w:sz w:val="21"/>
        </w:rPr>
        <w:t>Replace flat vouchers with progressive frequency challenges (e.g., 'Place 3 orders this month, unlock ₹150 off your 4th order'). This drives order velocity while reducing discount burn on one-off cancelled orders.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5. Geographically Differentiated Promotional Budgets: </w:t>
      </w:r>
      <w:r>
        <w:rPr>
          <w:rFonts w:ascii="Calibri" w:hAnsi="Calibri"/>
          <w:color w:val="2D3748"/>
          <w:sz w:val="21"/>
        </w:rPr>
        <w:t>Maintain minimal discounting in Bengaluru, Mumbai, and Chennai where fulfillment is 100%. In Pune and Kolkata, redirect promotional funds into logistics fleet incentives until fulfillment rates exceed 85%.</w:t>
      </w:r>
    </w:p>
    <w:p>
      <w:pPr>
        <w:pStyle w:val="ListBullet"/>
        <w:spacing w:before="20" w:after="80" w:line="276" w:lineRule="auto"/>
      </w:pPr>
      <w:r>
        <w:rPr>
          <w:rFonts w:ascii="Calibri" w:hAnsi="Calibri"/>
          <w:b/>
          <w:color w:val="1A365D"/>
          <w:sz w:val="21"/>
        </w:rPr>
        <w:t xml:space="preserve">6. Automated Day-3 and Day-7 Re-Engagement for New Users: </w:t>
      </w:r>
      <w:r>
        <w:rPr>
          <w:rFonts w:ascii="Calibri" w:hAnsi="Calibri"/>
          <w:color w:val="2D3748"/>
          <w:sz w:val="21"/>
        </w:rPr>
        <w:t>Provide new customers with a structured 7-day second-order voucher (e.g., 20% off up to ₹75 on orders above ₹600) to bridge the transition from first-time trial to habitual Regular status.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10. Conclusion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The QuickBite Discount Impact and Profitability Analysis demonstrates that promotional discounts in their current form fail to drive basket expansion and instead compress net margins. While total platform demand reached ₹47,839.73, the lack of spending thresholds and a 27.62% promotional leakage on unfulfilled orders severely diluted profitability.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By pivoting from unconditional flat discounts to threshold-based Minimum Order Values, adopting post-delivery wallet cashbacks, replacing Premium price cuts with value-added VIP perks, and aligning regional spend with operational capacity, QuickBite can transform discounting from an operational expense into a profitable, sustainable growth engine.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