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30"/>
      </w:pPr>
      <w:r>
        <w:rPr>
          <w:color w:val="333333"/>
          <w:sz w:val="23"/>
          <w:szCs w:val="23"/>
        </w:rPr>
        <w:t>Personal-Loan Default Risk</w:t>
      </w:r>
    </w:p>
    <w:p>
      <w:pPr>
        <w:spacing w:after="200"/>
      </w:pPr>
      <w:r>
        <w:rPr>
          <w:color w:val="595959"/>
          <w:sz w:val="20"/>
          <w:szCs w:val="20"/>
        </w:rPr>
        <w:t>Time: one week from receipt   ·   Submission: see Section 9</w:t>
      </w:r>
    </w:p>
    <w:p>
      <w:pPr>
        <w:pStyle w:val="2"/>
        <w:pBdr>
          <w:bottom w:val="single" w:color="2E75B6" w:sz="6" w:space="3"/>
        </w:pBdr>
      </w:pPr>
      <w:r>
        <w:t>1.  Context</w:t>
      </w:r>
    </w:p>
    <w:p>
      <w:pPr>
        <w:spacing w:after="110"/>
      </w:pPr>
      <w:r>
        <w:t>You will work with a data extract from a fictional UAE installment lender’s personal-loan business. The data is synthetic and assembled from several of that lender’s operational systems — an application system, a customer master, a credit-bureau feed, an installment-level repayment ledger, a servicing and collections summary, and product and branch reference tables. It is built to mirror the shape and the messiness of a real consumer-lending environment. None of this is Finance House data, and the task is not our live problem; it is a self-contained exercise.</w:t>
      </w:r>
    </w:p>
    <w:p>
      <w:pPr>
        <w:pStyle w:val="2"/>
        <w:pBdr>
          <w:bottom w:val="single" w:color="2E75B6" w:sz="6" w:space="3"/>
        </w:pBdr>
      </w:pPr>
      <w:r>
        <w:t>2.  Your objective</w:t>
      </w:r>
    </w:p>
    <w:p>
      <w:pPr>
        <w:spacing w:after="110"/>
      </w:pPr>
      <w:r>
        <w:t>Build a model that ranks new personal-loan applicants by their risk of default, using only information that would be available at the point of the lending decision.</w:t>
      </w:r>
    </w:p>
    <w:p>
      <w:pPr>
        <w:spacing w:after="110"/>
      </w:pPr>
      <w:r>
        <w:rPr>
          <w:b/>
          <w:bCs/>
        </w:rPr>
        <w:t xml:space="preserve">We have deliberately not handed you a pre-computed label. </w:t>
      </w:r>
      <w:r>
        <w:t>The data contains everything required to define a default outcome. Decide what target you will model, state its definition precisely, justify why you chose it, and note the alternatives you considered and set aside. How you frame the problem is part of what we are assessing.</w:t>
      </w:r>
    </w:p>
    <w:p>
      <w:pPr>
        <w:pStyle w:val="2"/>
        <w:pBdr>
          <w:bottom w:val="single" w:color="2E75B6" w:sz="6" w:space="3"/>
        </w:pBdr>
      </w:pPr>
      <w:r>
        <w:t>3.  The data</w:t>
      </w:r>
    </w:p>
    <w:p>
      <w:pPr>
        <w:spacing w:after="110"/>
      </w:pPr>
      <w:r>
        <w:t>Seven data files and a data dictionary accompany this brief; read DATA_DICTIONARY.md first. The files come from different systems, were exported at different times, and carry the format and convention differences that implies. Turning them into one clean, model-ready dataset is part of the task — there is no single flat table waiting for you, and the join is not always clean.</w:t>
      </w:r>
    </w:p>
    <w:p>
      <w:pPr>
        <w:pStyle w:val="2"/>
        <w:pBdr>
          <w:bottom w:val="single" w:color="2E75B6" w:sz="6" w:space="3"/>
        </w:pBdr>
      </w:pPr>
      <w:r>
        <w:t>4.  What to deliver</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5300"/>
        <w:gridCol w:w="1560"/>
      </w:tblGrid>
      <w:tr>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DCE6F1"/>
            <w:tcMar>
              <w:top w:w="55" w:type="dxa"/>
              <w:left w:w="100" w:type="dxa"/>
              <w:bottom w:w="55" w:type="dxa"/>
              <w:right w:w="100" w:type="dxa"/>
            </w:tcMar>
            <w:vAlign w:val="center"/>
          </w:tcPr>
          <w:p>
            <w:pPr>
              <w:spacing w:after="0"/>
            </w:pPr>
            <w:r>
              <w:rPr>
                <w:b/>
                <w:bCs/>
                <w:sz w:val="20"/>
                <w:szCs w:val="20"/>
              </w:rPr>
              <w:t>Deliverable</w:t>
            </w:r>
          </w:p>
        </w:tc>
        <w:tc>
          <w:tcPr>
            <w:tcW w:w="5300" w:type="dxa"/>
            <w:tcBorders>
              <w:top w:val="single" w:color="CCCCCC" w:sz="0" w:space="0"/>
              <w:left w:val="single" w:color="CCCCCC" w:sz="0" w:space="0"/>
              <w:bottom w:val="single" w:color="CCCCCC" w:sz="0" w:space="0"/>
              <w:right w:val="single" w:color="CCCCCC" w:sz="0" w:space="0"/>
            </w:tcBorders>
            <w:shd w:val="clear" w:color="auto" w:fill="DCE6F1"/>
            <w:tcMar>
              <w:top w:w="55" w:type="dxa"/>
              <w:left w:w="100" w:type="dxa"/>
              <w:bottom w:w="55" w:type="dxa"/>
              <w:right w:w="100" w:type="dxa"/>
            </w:tcMar>
            <w:vAlign w:val="center"/>
          </w:tcPr>
          <w:p>
            <w:pPr>
              <w:spacing w:after="0"/>
            </w:pPr>
            <w:r>
              <w:rPr>
                <w:b/>
                <w:bCs/>
                <w:sz w:val="20"/>
                <w:szCs w:val="20"/>
              </w:rPr>
              <w:t>What we expect</w:t>
            </w:r>
          </w:p>
        </w:tc>
        <w:tc>
          <w:tcPr>
            <w:tcW w:w="1560" w:type="dxa"/>
            <w:tcBorders>
              <w:top w:val="single" w:color="CCCCCC" w:sz="0" w:space="0"/>
              <w:left w:val="single" w:color="CCCCCC" w:sz="0" w:space="0"/>
              <w:bottom w:val="single" w:color="CCCCCC" w:sz="0" w:space="0"/>
              <w:right w:val="single" w:color="CCCCCC" w:sz="0" w:space="0"/>
            </w:tcBorders>
            <w:shd w:val="clear" w:color="auto" w:fill="DCE6F1"/>
            <w:tcMar>
              <w:top w:w="55" w:type="dxa"/>
              <w:left w:w="100" w:type="dxa"/>
              <w:bottom w:w="55" w:type="dxa"/>
              <w:right w:w="100" w:type="dxa"/>
            </w:tcMar>
            <w:vAlign w:val="center"/>
          </w:tcPr>
          <w:p>
            <w:pPr>
              <w:spacing w:after="0"/>
              <w:jc w:val="center"/>
            </w:pPr>
            <w:r>
              <w:rPr>
                <w:b/>
                <w:bCs/>
                <w:sz w:val="20"/>
                <w:szCs w:val="20"/>
              </w:rPr>
              <w:t>Weight</w:t>
            </w:r>
          </w:p>
        </w:tc>
      </w:tr>
      <w:tr>
        <w:tc>
          <w:tcPr>
            <w:tcW w:w="2500" w:type="dxa"/>
            <w:tcBorders>
              <w:top w:val="single" w:color="CCCCCC" w:sz="0" w:space="0"/>
              <w:left w:val="single" w:color="CCCCCC" w:sz="0" w:space="0"/>
              <w:bottom w:val="single" w:color="CCCCCC" w:sz="0" w:space="0"/>
              <w:right w:val="single" w:color="CCCCCC" w:sz="0" w:space="0"/>
            </w:tcBorders>
            <w:tcMar>
              <w:top w:w="55" w:type="dxa"/>
              <w:left w:w="100" w:type="dxa"/>
              <w:bottom w:w="55" w:type="dxa"/>
              <w:right w:w="100" w:type="dxa"/>
            </w:tcMar>
            <w:vAlign w:val="center"/>
          </w:tcPr>
          <w:p>
            <w:pPr>
              <w:spacing w:after="0"/>
            </w:pPr>
            <w:r>
              <w:rPr>
                <w:sz w:val="20"/>
                <w:szCs w:val="20"/>
              </w:rPr>
              <w:t>Code / repository</w:t>
            </w:r>
          </w:p>
        </w:tc>
        <w:tc>
          <w:tcPr>
            <w:tcW w:w="5300" w:type="dxa"/>
            <w:tcBorders>
              <w:top w:val="single" w:color="CCCCCC" w:sz="0" w:space="0"/>
              <w:left w:val="single" w:color="CCCCCC" w:sz="0" w:space="0"/>
              <w:bottom w:val="single" w:color="CCCCCC" w:sz="0" w:space="0"/>
              <w:right w:val="single" w:color="CCCCCC" w:sz="0" w:space="0"/>
            </w:tcBorders>
            <w:tcMar>
              <w:top w:w="55" w:type="dxa"/>
              <w:left w:w="100" w:type="dxa"/>
              <w:bottom w:w="55" w:type="dxa"/>
              <w:right w:w="100" w:type="dxa"/>
            </w:tcMar>
            <w:vAlign w:val="center"/>
          </w:tcPr>
          <w:p>
            <w:pPr>
              <w:spacing w:after="0"/>
            </w:pPr>
            <w:r>
              <w:rPr>
                <w:sz w:val="20"/>
                <w:szCs w:val="20"/>
              </w:rPr>
              <w:t>Runs end-to-end and reproduces your results, with a README and a pinned environment. We should be able to re-run it.</w:t>
            </w:r>
          </w:p>
        </w:tc>
        <w:tc>
          <w:tcPr>
            <w:tcW w:w="1560" w:type="dxa"/>
            <w:tcBorders>
              <w:top w:val="single" w:color="CCCCCC" w:sz="0" w:space="0"/>
              <w:left w:val="single" w:color="CCCCCC" w:sz="0" w:space="0"/>
              <w:bottom w:val="single" w:color="CCCCCC" w:sz="0" w:space="0"/>
              <w:right w:val="single" w:color="CCCCCC" w:sz="0" w:space="0"/>
            </w:tcBorders>
            <w:tcMar>
              <w:top w:w="55" w:type="dxa"/>
              <w:left w:w="100" w:type="dxa"/>
              <w:bottom w:w="55" w:type="dxa"/>
              <w:right w:w="100" w:type="dxa"/>
            </w:tcMar>
            <w:vAlign w:val="center"/>
          </w:tcPr>
          <w:p>
            <w:pPr>
              <w:spacing w:after="0"/>
              <w:jc w:val="center"/>
            </w:pPr>
            <w:r>
              <w:rPr>
                <w:sz w:val="20"/>
                <w:szCs w:val="20"/>
              </w:rPr>
              <w:t>Supporting</w:t>
            </w:r>
          </w:p>
        </w:tc>
      </w:tr>
      <w:tr>
        <w:tc>
          <w:tcPr>
            <w:tcW w:w="2500" w:type="dxa"/>
            <w:tcBorders>
              <w:top w:val="single" w:color="CCCCCC" w:sz="0" w:space="0"/>
              <w:left w:val="single" w:color="CCCCCC" w:sz="0" w:space="0"/>
              <w:bottom w:val="single" w:color="CCCCCC" w:sz="0" w:space="0"/>
              <w:right w:val="single" w:color="CCCCCC" w:sz="0" w:space="0"/>
            </w:tcBorders>
            <w:tcMar>
              <w:top w:w="55" w:type="dxa"/>
              <w:left w:w="100" w:type="dxa"/>
              <w:bottom w:w="55" w:type="dxa"/>
              <w:right w:w="100" w:type="dxa"/>
            </w:tcMar>
            <w:vAlign w:val="center"/>
          </w:tcPr>
          <w:p>
            <w:pPr>
              <w:spacing w:after="0"/>
            </w:pPr>
            <w:r>
              <w:rPr>
                <w:b/>
                <w:bCs/>
              </w:rPr>
              <w:t>Decision log</w:t>
            </w:r>
          </w:p>
        </w:tc>
        <w:tc>
          <w:tcPr>
            <w:tcW w:w="5300" w:type="dxa"/>
            <w:tcBorders>
              <w:top w:val="single" w:color="CCCCCC" w:sz="0" w:space="0"/>
              <w:left w:val="single" w:color="CCCCCC" w:sz="0" w:space="0"/>
              <w:bottom w:val="single" w:color="CCCCCC" w:sz="0" w:space="0"/>
              <w:right w:val="single" w:color="CCCCCC" w:sz="0" w:space="0"/>
            </w:tcBorders>
            <w:tcMar>
              <w:top w:w="55" w:type="dxa"/>
              <w:left w:w="100" w:type="dxa"/>
              <w:bottom w:w="55" w:type="dxa"/>
              <w:right w:w="100" w:type="dxa"/>
            </w:tcMar>
            <w:vAlign w:val="center"/>
          </w:tcPr>
          <w:p>
            <w:pPr>
              <w:spacing w:after="0"/>
            </w:pPr>
            <w:r>
              <w:rPr>
                <w:b/>
                <w:bCs/>
              </w:rPr>
              <w:t xml:space="preserve">The most important deliverable. </w:t>
            </w:r>
            <w:r>
              <w:t>For every non-trivial choice — target, cleaning calls, features, encodings, validation split, metric, model, hyperparameters, threshold — record what you decided, the alternatives, and why.</w:t>
            </w:r>
          </w:p>
        </w:tc>
        <w:tc>
          <w:tcPr>
            <w:tcW w:w="1560" w:type="dxa"/>
            <w:tcBorders>
              <w:top w:val="single" w:color="CCCCCC" w:sz="0" w:space="0"/>
              <w:left w:val="single" w:color="CCCCCC" w:sz="0" w:space="0"/>
              <w:bottom w:val="single" w:color="CCCCCC" w:sz="0" w:space="0"/>
              <w:right w:val="single" w:color="CCCCCC" w:sz="0" w:space="0"/>
            </w:tcBorders>
            <w:tcMar>
              <w:top w:w="55" w:type="dxa"/>
              <w:left w:w="100" w:type="dxa"/>
              <w:bottom w:w="55" w:type="dxa"/>
              <w:right w:w="100" w:type="dxa"/>
            </w:tcMar>
            <w:vAlign w:val="center"/>
          </w:tcPr>
          <w:p>
            <w:pPr>
              <w:spacing w:after="0"/>
              <w:jc w:val="center"/>
            </w:pPr>
            <w:r>
              <w:rPr>
                <w:b/>
                <w:bCs/>
                <w:color w:val="C0392B"/>
              </w:rPr>
              <w:t>High</w:t>
            </w:r>
          </w:p>
        </w:tc>
      </w:tr>
      <w:tr>
        <w:tc>
          <w:tcPr>
            <w:tcW w:w="2500" w:type="dxa"/>
            <w:tcBorders>
              <w:top w:val="single" w:color="CCCCCC" w:sz="0" w:space="0"/>
              <w:left w:val="single" w:color="CCCCCC" w:sz="0" w:space="0"/>
              <w:bottom w:val="single" w:color="CCCCCC" w:sz="0" w:space="0"/>
              <w:right w:val="single" w:color="CCCCCC" w:sz="0" w:space="0"/>
            </w:tcBorders>
            <w:tcMar>
              <w:top w:w="55" w:type="dxa"/>
              <w:left w:w="100" w:type="dxa"/>
              <w:bottom w:w="55" w:type="dxa"/>
              <w:right w:w="100" w:type="dxa"/>
            </w:tcMar>
            <w:vAlign w:val="center"/>
          </w:tcPr>
          <w:p>
            <w:pPr>
              <w:spacing w:after="0"/>
            </w:pPr>
            <w:r>
              <w:rPr>
                <w:sz w:val="20"/>
                <w:szCs w:val="20"/>
              </w:rPr>
              <w:t>Data-quality report</w:t>
            </w:r>
          </w:p>
        </w:tc>
        <w:tc>
          <w:tcPr>
            <w:tcW w:w="5300" w:type="dxa"/>
            <w:tcBorders>
              <w:top w:val="single" w:color="CCCCCC" w:sz="0" w:space="0"/>
              <w:left w:val="single" w:color="CCCCCC" w:sz="0" w:space="0"/>
              <w:bottom w:val="single" w:color="CCCCCC" w:sz="0" w:space="0"/>
              <w:right w:val="single" w:color="CCCCCC" w:sz="0" w:space="0"/>
            </w:tcBorders>
            <w:tcMar>
              <w:top w:w="55" w:type="dxa"/>
              <w:left w:w="100" w:type="dxa"/>
              <w:bottom w:w="55" w:type="dxa"/>
              <w:right w:w="100" w:type="dxa"/>
            </w:tcMar>
            <w:vAlign w:val="center"/>
          </w:tcPr>
          <w:p>
            <w:pPr>
              <w:spacing w:after="0"/>
            </w:pPr>
            <w:r>
              <w:rPr>
                <w:sz w:val="20"/>
                <w:szCs w:val="20"/>
              </w:rPr>
              <w:t>A short account of what was wrong with the data, how you detected each issue, and what you did about it.</w:t>
            </w:r>
          </w:p>
        </w:tc>
        <w:tc>
          <w:tcPr>
            <w:tcW w:w="1560" w:type="dxa"/>
            <w:tcBorders>
              <w:top w:val="single" w:color="CCCCCC" w:sz="0" w:space="0"/>
              <w:left w:val="single" w:color="CCCCCC" w:sz="0" w:space="0"/>
              <w:bottom w:val="single" w:color="CCCCCC" w:sz="0" w:space="0"/>
              <w:right w:val="single" w:color="CCCCCC" w:sz="0" w:space="0"/>
            </w:tcBorders>
            <w:tcMar>
              <w:top w:w="55" w:type="dxa"/>
              <w:left w:w="100" w:type="dxa"/>
              <w:bottom w:w="55" w:type="dxa"/>
              <w:right w:w="100" w:type="dxa"/>
            </w:tcMar>
            <w:vAlign w:val="center"/>
          </w:tcPr>
          <w:p>
            <w:pPr>
              <w:spacing w:after="0"/>
              <w:jc w:val="center"/>
            </w:pPr>
            <w:r>
              <w:rPr>
                <w:b/>
                <w:bCs/>
                <w:color w:val="C0392B"/>
              </w:rPr>
              <w:t>High</w:t>
            </w:r>
          </w:p>
        </w:tc>
      </w:tr>
      <w:tr>
        <w:tc>
          <w:tcPr>
            <w:tcW w:w="2500" w:type="dxa"/>
            <w:tcBorders>
              <w:top w:val="single" w:color="CCCCCC" w:sz="0" w:space="0"/>
              <w:left w:val="single" w:color="CCCCCC" w:sz="0" w:space="0"/>
              <w:bottom w:val="single" w:color="CCCCCC" w:sz="0" w:space="0"/>
              <w:right w:val="single" w:color="CCCCCC" w:sz="0" w:space="0"/>
            </w:tcBorders>
            <w:tcMar>
              <w:top w:w="55" w:type="dxa"/>
              <w:left w:w="100" w:type="dxa"/>
              <w:bottom w:w="55" w:type="dxa"/>
              <w:right w:w="100" w:type="dxa"/>
            </w:tcMar>
            <w:vAlign w:val="center"/>
          </w:tcPr>
          <w:p>
            <w:pPr>
              <w:spacing w:after="0"/>
            </w:pPr>
            <w:r>
              <w:rPr>
                <w:sz w:val="20"/>
                <w:szCs w:val="20"/>
              </w:rPr>
              <w:t>Prediction service + design note</w:t>
            </w:r>
          </w:p>
        </w:tc>
        <w:tc>
          <w:tcPr>
            <w:tcW w:w="5300" w:type="dxa"/>
            <w:tcBorders>
              <w:top w:val="single" w:color="CCCCCC" w:sz="0" w:space="0"/>
              <w:left w:val="single" w:color="CCCCCC" w:sz="0" w:space="0"/>
              <w:bottom w:val="single" w:color="CCCCCC" w:sz="0" w:space="0"/>
              <w:right w:val="single" w:color="CCCCCC" w:sz="0" w:space="0"/>
            </w:tcBorders>
            <w:tcMar>
              <w:top w:w="55" w:type="dxa"/>
              <w:left w:w="100" w:type="dxa"/>
              <w:bottom w:w="55" w:type="dxa"/>
              <w:right w:w="100" w:type="dxa"/>
            </w:tcMar>
            <w:vAlign w:val="center"/>
          </w:tcPr>
          <w:p>
            <w:pPr>
              <w:spacing w:after="0"/>
            </w:pPr>
            <w:r>
              <w:rPr>
                <w:sz w:val="20"/>
                <w:szCs w:val="20"/>
              </w:rPr>
              <w:t>A minimal serving stub (a /predict endpoint or equivalent callable) that loads your model and scores a new applicant payload, plus a one-page note on the design and on how you would monitor the model in production.</w:t>
            </w:r>
          </w:p>
        </w:tc>
        <w:tc>
          <w:tcPr>
            <w:tcW w:w="1560" w:type="dxa"/>
            <w:tcBorders>
              <w:top w:val="single" w:color="CCCCCC" w:sz="0" w:space="0"/>
              <w:left w:val="single" w:color="CCCCCC" w:sz="0" w:space="0"/>
              <w:bottom w:val="single" w:color="CCCCCC" w:sz="0" w:space="0"/>
              <w:right w:val="single" w:color="CCCCCC" w:sz="0" w:space="0"/>
            </w:tcBorders>
            <w:tcMar>
              <w:top w:w="55" w:type="dxa"/>
              <w:left w:w="100" w:type="dxa"/>
              <w:bottom w:w="55" w:type="dxa"/>
              <w:right w:w="100" w:type="dxa"/>
            </w:tcMar>
            <w:vAlign w:val="center"/>
          </w:tcPr>
          <w:p>
            <w:pPr>
              <w:spacing w:after="0"/>
              <w:jc w:val="center"/>
            </w:pPr>
            <w:r>
              <w:rPr>
                <w:sz w:val="20"/>
                <w:szCs w:val="20"/>
              </w:rPr>
              <w:t>Design over infra</w:t>
            </w:r>
          </w:p>
        </w:tc>
      </w:tr>
    </w:tbl>
    <w:p>
      <w:pPr>
        <w:pStyle w:val="2"/>
        <w:pBdr>
          <w:bottom w:val="single" w:color="2E75B6" w:sz="6" w:space="3"/>
        </w:pBdr>
      </w:pPr>
      <w:r>
        <w:t>5.  The lifecycle we expect to see</w:t>
      </w:r>
    </w:p>
    <w:p>
      <w:pPr>
        <w:spacing w:after="110"/>
      </w:pPr>
      <w:r>
        <w:t>A complete submission moves through data-quality analysis, exploratory analysis, feature construction, model selection, hyperparameter tuning, and a deployment design with a working stub. You have a week, and we expect an end-to-end submission rather than a fragment. That said, we weight sound judgment and clear rationale above polished or exhaustive code — a defensible decision recorded plainly beats a clever one we cannot follow.</w:t>
      </w:r>
    </w:p>
    <w:p>
      <w:pPr>
        <w:pStyle w:val="2"/>
        <w:pBdr>
          <w:bottom w:val="single" w:color="2E75B6" w:sz="6" w:space="3"/>
        </w:pBdr>
      </w:pPr>
      <w:r>
        <w:t>6.  How we evaluate</w:t>
      </w:r>
    </w:p>
    <w:p>
      <w:pPr>
        <w:spacing w:after="110"/>
      </w:pPr>
      <w:r>
        <w:t>In rough order of weight: the quality of your judgment and the reasoning behind your decisions; your handling of the data, including integration, quality, leakage discipline, and the design of your validation; the soundness of your modelling, including target framing, metric choice, feature construction, tuning, and evaluation; and the production-readiness of your thinking — how features are produced at scoring time, and how you would monitor a model whose outcomes take many months to mature. We care more about whether your choices are correct and defensible for this data and this objective than about a headline performance number.</w:t>
      </w:r>
    </w:p>
    <w:p>
      <w:pPr>
        <w:pStyle w:val="2"/>
        <w:pBdr>
          <w:bottom w:val="single" w:color="2E75B6" w:sz="6" w:space="3"/>
        </w:pBdr>
      </w:pPr>
      <w:r>
        <w:t>7.  Use of AI tools</w:t>
      </w:r>
    </w:p>
    <w:p>
      <w:pPr>
        <w:spacing w:after="110"/>
      </w:pPr>
      <w:r>
        <w:rPr>
          <w:b/>
          <w:bCs/>
        </w:rPr>
        <w:t xml:space="preserve">Use any tools you like, including AI assistants — we expect a modern engineer to. </w:t>
      </w:r>
      <w:r>
        <w:t>The one rule: everything in your submission must reflect your own understanding. We will ask you about specific decisions, specific lines, and specific trade-offs, and your answers must stand on their own reasoning. “The tool produced it” is not an answer we will accept. Use AI to go faster and further; do not use it as a substitute for understanding what you have built.</w:t>
      </w:r>
    </w:p>
    <w:p>
      <w:pPr>
        <w:pStyle w:val="2"/>
        <w:pBdr>
          <w:bottom w:val="single" w:color="2E75B6" w:sz="6" w:space="3"/>
        </w:pBdr>
      </w:pPr>
      <w:r>
        <w:t>8.  The follow-up discussion</w:t>
      </w:r>
    </w:p>
    <w:p>
      <w:pPr>
        <w:spacing w:after="110"/>
      </w:pPr>
      <w:r>
        <w:t>After you submit, we will schedule a 30–40 minute technical discussion. We will walk through your decisions, ask why you made specific calls, and — expect this — change a constraint or two and ask you to reason about what would have to change. Come prepared to defend your work and to adapt your thinking on the spot. In your decision log, please also flag the parts you are least confident in or would revisit with more time; we read that as a strength, not a weakness.</w:t>
      </w:r>
    </w:p>
    <w:p>
      <w:pPr>
        <w:pStyle w:val="2"/>
        <w:pBdr>
          <w:bottom w:val="single" w:color="2E75B6" w:sz="6" w:space="3"/>
        </w:pBdr>
      </w:pPr>
      <w:r>
        <w:t>9.  Timeline &amp; submission</w:t>
      </w:r>
    </w:p>
    <w:p>
      <w:pPr>
        <w:spacing w:after="110"/>
      </w:pPr>
      <w:r>
        <w:t>You have one week from receipt. Submit a Git repository link or a zipped project containing your code, the decision log, the data-quality report, the serving stub, and the design note. If anything in this brief seems ambiguous, make a reasonable assumption, state it clearly, and proceed — surfacing and resolving ambiguity is part of the exercise. We are looking forward to seeing how you think.</w:t>
      </w:r>
    </w:p>
    <w:sectPr>
      <w:headerReference r:id="rId3" w:type="default"/>
      <w:footerReference r:id="rId4" w:type="default"/>
      <w:pgSz w:w="12240" w:h="15840"/>
      <w:pgMar w:top="1440" w:right="1440" w:bottom="1440" w:left="144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704020202020204"/>
    <w:charset w:val="86"/>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2E75B6" w:sz="4" w:space="6"/>
      </w:pBdr>
      <w:tabs>
        <w:tab w:val="right" w:pos="9360"/>
      </w:tabs>
    </w:pPr>
    <w:r>
      <w:rPr>
        <w:color w:val="595959"/>
        <w:sz w:val="16"/>
        <w:szCs w:val="16"/>
      </w:rPr>
      <w:tab/>
    </w:r>
    <w:bookmarkStart w:id="0" w:name="_GoBack"/>
    <w:bookmarkEnd w:id="0"/>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isplayBackgroundShape w:val="1"/>
  <w:documentProtection w:enforcement="0"/>
  <w:compat>
    <w:compatSetting w:name="compatibilityMode" w:uri="http://schemas.microsoft.com/office/word" w:val="15"/>
  </w:compat>
  <w:rsids>
    <w:rsidRoot w:val="00000000"/>
    <w:rsid w:val="BF7EF888"/>
    <w:rsid w:val="DFB773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240" w:after="130"/>
      <w:outlineLvl w:val="0"/>
    </w:pPr>
    <w:rPr>
      <w:rFonts w:ascii="Arial" w:hAnsi="Arial" w:eastAsia="Arial" w:cs="Arial"/>
      <w:b/>
      <w:bCs/>
      <w:color w:val="1F4E79"/>
      <w:sz w:val="29"/>
      <w:szCs w:val="29"/>
    </w:rPr>
  </w:style>
  <w:style w:type="paragraph" w:styleId="3">
    <w:name w:val="heading 2"/>
    <w:next w:val="1"/>
    <w:qFormat/>
    <w:uiPriority w:val="0"/>
    <w:pPr>
      <w:spacing w:before="190" w:after="60"/>
      <w:outlineLvl w:val="1"/>
    </w:pPr>
    <w:rPr>
      <w:rFonts w:ascii="Arial" w:hAnsi="Arial" w:eastAsia="Arial" w:cs="Arial"/>
      <w:b/>
      <w:bCs/>
      <w:color w:val="1F4E79"/>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6">
    <w:name w:val="Normal Table"/>
    <w:semiHidden/>
    <w:uiPriority w:val="0"/>
    <w:tblPr>
      <w:tblCellMar>
        <w:top w:w="0" w:type="dxa"/>
        <w:left w:w="108" w:type="dxa"/>
        <w:bottom w:w="0" w:type="dxa"/>
        <w:right w:w="108" w:type="dxa"/>
      </w:tblCellMar>
    </w:tblPr>
  </w:style>
  <w:style w:type="paragraph" w:styleId="8">
    <w:name w:val="endnote text"/>
    <w:link w:val="19"/>
    <w:unhideWhenUsed/>
    <w:uiPriority w:val="99"/>
    <w:pPr>
      <w:spacing w:after="0" w:line="240" w:lineRule="auto"/>
    </w:pPr>
    <w:rPr>
      <w:rFonts w:ascii="Arial" w:hAnsi="Arial" w:eastAsia="Arial" w:cs="Arial"/>
      <w:sz w:val="20"/>
      <w:szCs w:val="20"/>
    </w:rPr>
  </w:style>
  <w:style w:type="paragraph" w:styleId="9">
    <w:name w:val="footnote text"/>
    <w:link w:val="18"/>
    <w:unhideWhenUsed/>
    <w:uiPriority w:val="99"/>
    <w:pPr>
      <w:spacing w:after="0" w:line="240" w:lineRule="auto"/>
    </w:pPr>
    <w:rPr>
      <w:rFonts w:ascii="Arial" w:hAnsi="Arial" w:eastAsia="Arial" w:cs="Arial"/>
      <w:sz w:val="20"/>
      <w:szCs w:val="20"/>
    </w:rPr>
  </w:style>
  <w:style w:type="paragraph" w:styleId="10">
    <w:name w:val="header"/>
    <w:basedOn w:val="1"/>
    <w:uiPriority w:val="0"/>
    <w:pPr>
      <w:tabs>
        <w:tab w:val="center" w:pos="4153"/>
        <w:tab w:val="right" w:pos="8306"/>
      </w:tabs>
      <w:snapToGrid w:val="0"/>
    </w:pPr>
    <w:rPr>
      <w:sz w:val="18"/>
      <w:szCs w:val="18"/>
    </w:rPr>
  </w:style>
  <w:style w:type="paragraph" w:styleId="11">
    <w:name w:val="Title"/>
    <w:qFormat/>
    <w:uiPriority w:val="0"/>
    <w:rPr>
      <w:rFonts w:ascii="Arial" w:hAnsi="Arial" w:eastAsia="Arial" w:cs="Arial"/>
      <w:sz w:val="56"/>
      <w:szCs w:val="56"/>
    </w:rPr>
  </w:style>
  <w:style w:type="character" w:styleId="13">
    <w:name w:val="endnote reference"/>
    <w:unhideWhenUsed/>
    <w:uiPriority w:val="99"/>
    <w:rPr>
      <w:vertAlign w:val="superscript"/>
    </w:rPr>
  </w:style>
  <w:style w:type="character" w:styleId="14">
    <w:name w:val="footnote reference"/>
    <w:unhideWhenUsed/>
    <w:uiPriority w:val="99"/>
    <w:rPr>
      <w:vertAlign w:val="superscript"/>
    </w:rPr>
  </w:style>
  <w:style w:type="character" w:styleId="15">
    <w:name w:val="Hyperlink"/>
    <w:unhideWhenUsed/>
    <w:uiPriority w:val="99"/>
    <w:rPr>
      <w:color w:val="0563C1"/>
      <w:u w:val="single"/>
    </w:rPr>
  </w:style>
  <w:style w:type="paragraph" w:customStyle="1" w:styleId="17">
    <w:name w:val="List Paragraph"/>
    <w:qFormat/>
    <w:uiPriority w:val="0"/>
    <w:rPr>
      <w:rFonts w:ascii="Arial" w:hAnsi="Arial" w:eastAsia="Arial" w:cs="Arial"/>
      <w:sz w:val="22"/>
      <w:szCs w:val="22"/>
    </w:rPr>
  </w:style>
  <w:style w:type="character" w:customStyle="1" w:styleId="18">
    <w:name w:val="Footnote Text Char"/>
    <w:link w:val="9"/>
    <w:unhideWhenUsed/>
    <w:uiPriority w:val="99"/>
    <w:rPr>
      <w:sz w:val="20"/>
      <w:szCs w:val="20"/>
    </w:rPr>
  </w:style>
  <w:style w:type="character" w:customStyle="1" w:styleId="19">
    <w:name w:val="Endnote Text Char"/>
    <w:link w:val="8"/>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ScaleCrop>false</ScaleCrop>
  <LinksUpToDate>false</LinksUpToDate>
  <Application>WPS Office_3.2.0.6442_F1E327BC-269C-435d-A152-05C5408002CA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deepaklodha</cp:lastModifiedBy>
  <dcterms:modified xsi:type="dcterms:W3CDTF">2026-07-27T08:57:15Z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1033-3.2.0.6442</vt:lpwstr>
  </property>
</Properties>
</file>