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21: Energy Consumption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sz w:val="20"/>
              </w:rPr>
              <w:t>Region</w:t>
            </w:r>
          </w:p>
        </w:tc>
        <w:tc>
          <w:tcPr>
            <w:tcW w:type="dxa" w:w="1080"/>
          </w:tcPr>
          <w:p>
            <w:r>
              <w:rPr>
                <w:rFonts w:ascii="Times New Roman" w:hAnsi="Times New Roman"/>
                <w:sz w:val="20"/>
              </w:rPr>
              <w:t>Month</w:t>
            </w:r>
          </w:p>
        </w:tc>
        <w:tc>
          <w:tcPr>
            <w:tcW w:type="dxa" w:w="1080"/>
          </w:tcPr>
          <w:p>
            <w:r>
              <w:rPr>
                <w:rFonts w:ascii="Times New Roman" w:hAnsi="Times New Roman"/>
                <w:sz w:val="20"/>
              </w:rPr>
              <w:t>Temperature</w:t>
            </w:r>
          </w:p>
        </w:tc>
        <w:tc>
          <w:tcPr>
            <w:tcW w:type="dxa" w:w="1080"/>
          </w:tcPr>
          <w:p>
            <w:r>
              <w:rPr>
                <w:rFonts w:ascii="Times New Roman" w:hAnsi="Times New Roman"/>
                <w:sz w:val="20"/>
              </w:rPr>
              <w:t>Units_Consumed</w:t>
            </w:r>
          </w:p>
        </w:tc>
        <w:tc>
          <w:tcPr>
            <w:tcW w:type="dxa" w:w="1080"/>
          </w:tcPr>
          <w:p>
            <w:r>
              <w:rPr>
                <w:rFonts w:ascii="Times New Roman" w:hAnsi="Times New Roman"/>
                <w:sz w:val="20"/>
              </w:rPr>
              <w:t>Cost</w:t>
            </w:r>
          </w:p>
        </w:tc>
        <w:tc>
          <w:tcPr>
            <w:tcW w:type="dxa" w:w="1080"/>
          </w:tcPr>
          <w:p>
            <w:r>
              <w:rPr>
                <w:rFonts w:ascii="Times New Roman" w:hAnsi="Times New Roman"/>
                <w:sz w:val="20"/>
              </w:rPr>
              <w:t>Renewable_Usage</w:t>
            </w:r>
          </w:p>
        </w:tc>
        <w:tc>
          <w:tcPr>
            <w:tcW w:type="dxa" w:w="1080"/>
          </w:tcPr>
          <w:p>
            <w:r>
              <w:rPr>
                <w:rFonts w:ascii="Times New Roman" w:hAnsi="Times New Roman"/>
                <w:sz w:val="20"/>
              </w:rPr>
              <w:t>Sector</w:t>
            </w:r>
          </w:p>
        </w:tc>
        <w:tc>
          <w:tcPr>
            <w:tcW w:type="dxa" w:w="1080"/>
          </w:tcPr>
          <w:p>
            <w:r>
              <w:rPr>
                <w:rFonts w:ascii="Times New Roman" w:hAnsi="Times New Roman"/>
                <w:sz w:val="20"/>
              </w:rPr>
              <w:t>Peak_Hours</w:t>
            </w:r>
          </w:p>
        </w:tc>
      </w:tr>
      <w:tr>
        <w:tc>
          <w:tcPr>
            <w:tcW w:type="dxa" w:w="1080"/>
          </w:tcPr>
          <w:p>
            <w:r>
              <w:rPr>
                <w:rFonts w:ascii="Times New Roman" w:hAnsi="Times New Roman"/>
                <w:sz w:val="20"/>
              </w:rPr>
              <w:t>North</w:t>
            </w:r>
          </w:p>
        </w:tc>
        <w:tc>
          <w:tcPr>
            <w:tcW w:type="dxa" w:w="1080"/>
          </w:tcPr>
          <w:p>
            <w:r>
              <w:rPr>
                <w:rFonts w:ascii="Times New Roman" w:hAnsi="Times New Roman"/>
                <w:sz w:val="20"/>
              </w:rPr>
              <w:t>Jan</w:t>
            </w:r>
          </w:p>
        </w:tc>
        <w:tc>
          <w:tcPr>
            <w:tcW w:type="dxa" w:w="1080"/>
          </w:tcPr>
          <w:p>
            <w:r>
              <w:rPr>
                <w:rFonts w:ascii="Times New Roman" w:hAnsi="Times New Roman"/>
                <w:sz w:val="20"/>
              </w:rPr>
              <w:t>15</w:t>
            </w:r>
          </w:p>
        </w:tc>
        <w:tc>
          <w:tcPr>
            <w:tcW w:type="dxa" w:w="1080"/>
          </w:tcPr>
          <w:p>
            <w:r>
              <w:rPr>
                <w:rFonts w:ascii="Times New Roman" w:hAnsi="Times New Roman"/>
                <w:sz w:val="20"/>
              </w:rPr>
              <w:t>320</w:t>
            </w:r>
          </w:p>
        </w:tc>
        <w:tc>
          <w:tcPr>
            <w:tcW w:type="dxa" w:w="1080"/>
          </w:tcPr>
          <w:p>
            <w:r>
              <w:rPr>
                <w:rFonts w:ascii="Times New Roman" w:hAnsi="Times New Roman"/>
                <w:sz w:val="20"/>
              </w:rPr>
              <w:t>2100</w:t>
            </w:r>
          </w:p>
        </w:tc>
        <w:tc>
          <w:tcPr>
            <w:tcW w:type="dxa" w:w="1080"/>
          </w:tcPr>
          <w:p>
            <w:r>
              <w:rPr>
                <w:rFonts w:ascii="Times New Roman" w:hAnsi="Times New Roman"/>
                <w:sz w:val="20"/>
              </w:rPr>
              <w:t>22</w:t>
            </w:r>
          </w:p>
        </w:tc>
        <w:tc>
          <w:tcPr>
            <w:tcW w:type="dxa" w:w="1080"/>
          </w:tcPr>
          <w:p>
            <w:r>
              <w:rPr>
                <w:rFonts w:ascii="Times New Roman" w:hAnsi="Times New Roman"/>
                <w:sz w:val="20"/>
              </w:rPr>
              <w:t>Residential</w:t>
            </w:r>
          </w:p>
        </w:tc>
        <w:tc>
          <w:tcPr>
            <w:tcW w:type="dxa" w:w="1080"/>
          </w:tcPr>
          <w:p>
            <w:r>
              <w:rPr>
                <w:rFonts w:ascii="Times New Roman" w:hAnsi="Times New Roman"/>
                <w:sz w:val="20"/>
              </w:rPr>
              <w:t>4</w:t>
            </w:r>
          </w:p>
        </w:tc>
      </w:tr>
      <w:tr>
        <w:tc>
          <w:tcPr>
            <w:tcW w:type="dxa" w:w="1080"/>
          </w:tcPr>
          <w:p>
            <w:r>
              <w:rPr>
                <w:rFonts w:ascii="Times New Roman" w:hAnsi="Times New Roman"/>
                <w:sz w:val="20"/>
              </w:rPr>
              <w:t>South</w:t>
            </w:r>
          </w:p>
        </w:tc>
        <w:tc>
          <w:tcPr>
            <w:tcW w:type="dxa" w:w="1080"/>
          </w:tcPr>
          <w:p>
            <w:r>
              <w:rPr>
                <w:rFonts w:ascii="Times New Roman" w:hAnsi="Times New Roman"/>
                <w:sz w:val="20"/>
              </w:rPr>
              <w:t>Jan</w:t>
            </w:r>
          </w:p>
        </w:tc>
        <w:tc>
          <w:tcPr>
            <w:tcW w:type="dxa" w:w="1080"/>
          </w:tcPr>
          <w:p>
            <w:r>
              <w:rPr>
                <w:rFonts w:ascii="Times New Roman" w:hAnsi="Times New Roman"/>
                <w:sz w:val="20"/>
              </w:rPr>
              <w:t>24</w:t>
            </w:r>
          </w:p>
        </w:tc>
        <w:tc>
          <w:tcPr>
            <w:tcW w:type="dxa" w:w="1080"/>
          </w:tcPr>
          <w:p>
            <w:r>
              <w:rPr>
                <w:rFonts w:ascii="Times New Roman" w:hAnsi="Times New Roman"/>
                <w:sz w:val="20"/>
              </w:rPr>
              <w:t>540</w:t>
            </w:r>
          </w:p>
        </w:tc>
        <w:tc>
          <w:tcPr>
            <w:tcW w:type="dxa" w:w="1080"/>
          </w:tcPr>
          <w:p>
            <w:r>
              <w:rPr>
                <w:rFonts w:ascii="Times New Roman" w:hAnsi="Times New Roman"/>
                <w:sz w:val="20"/>
              </w:rPr>
              <w:t>3600</w:t>
            </w:r>
          </w:p>
        </w:tc>
        <w:tc>
          <w:tcPr>
            <w:tcW w:type="dxa" w:w="1080"/>
          </w:tcPr>
          <w:p>
            <w:r>
              <w:rPr>
                <w:rFonts w:ascii="Times New Roman" w:hAnsi="Times New Roman"/>
                <w:sz w:val="20"/>
              </w:rPr>
              <w:t>18</w:t>
            </w:r>
          </w:p>
        </w:tc>
        <w:tc>
          <w:tcPr>
            <w:tcW w:type="dxa" w:w="1080"/>
          </w:tcPr>
          <w:p>
            <w:r>
              <w:rPr>
                <w:rFonts w:ascii="Times New Roman" w:hAnsi="Times New Roman"/>
                <w:sz w:val="20"/>
              </w:rPr>
              <w:t>Commercial</w:t>
            </w:r>
          </w:p>
        </w:tc>
        <w:tc>
          <w:tcPr>
            <w:tcW w:type="dxa" w:w="1080"/>
          </w:tcPr>
          <w:p>
            <w:r>
              <w:rPr>
                <w:rFonts w:ascii="Times New Roman" w:hAnsi="Times New Roman"/>
                <w:sz w:val="20"/>
              </w:rPr>
              <w:t>6</w:t>
            </w:r>
          </w:p>
        </w:tc>
      </w:tr>
      <w:tr>
        <w:tc>
          <w:tcPr>
            <w:tcW w:type="dxa" w:w="1080"/>
          </w:tcPr>
          <w:p>
            <w:r>
              <w:rPr>
                <w:rFonts w:ascii="Times New Roman" w:hAnsi="Times New Roman"/>
                <w:sz w:val="20"/>
              </w:rPr>
              <w:t>West</w:t>
            </w:r>
          </w:p>
        </w:tc>
        <w:tc>
          <w:tcPr>
            <w:tcW w:type="dxa" w:w="1080"/>
          </w:tcPr>
          <w:p>
            <w:r>
              <w:rPr>
                <w:rFonts w:ascii="Times New Roman" w:hAnsi="Times New Roman"/>
                <w:sz w:val="20"/>
              </w:rPr>
              <w:t>Feb</w:t>
            </w:r>
          </w:p>
        </w:tc>
        <w:tc>
          <w:tcPr>
            <w:tcW w:type="dxa" w:w="1080"/>
          </w:tcPr>
          <w:p>
            <w:r>
              <w:rPr>
                <w:rFonts w:ascii="Times New Roman" w:hAnsi="Times New Roman"/>
                <w:sz w:val="20"/>
              </w:rPr>
              <w:t>20</w:t>
            </w:r>
          </w:p>
        </w:tc>
        <w:tc>
          <w:tcPr>
            <w:tcW w:type="dxa" w:w="1080"/>
          </w:tcPr>
          <w:p>
            <w:r>
              <w:rPr>
                <w:rFonts w:ascii="Times New Roman" w:hAnsi="Times New Roman"/>
                <w:sz w:val="20"/>
              </w:rPr>
              <w:t>880</w:t>
            </w:r>
          </w:p>
        </w:tc>
        <w:tc>
          <w:tcPr>
            <w:tcW w:type="dxa" w:w="1080"/>
          </w:tcPr>
          <w:p>
            <w:r>
              <w:rPr>
                <w:rFonts w:ascii="Times New Roman" w:hAnsi="Times New Roman"/>
                <w:sz w:val="20"/>
              </w:rPr>
              <w:t>5900</w:t>
            </w:r>
          </w:p>
        </w:tc>
        <w:tc>
          <w:tcPr>
            <w:tcW w:type="dxa" w:w="1080"/>
          </w:tcPr>
          <w:p>
            <w:r>
              <w:rPr>
                <w:rFonts w:ascii="Times New Roman" w:hAnsi="Times New Roman"/>
                <w:sz w:val="20"/>
              </w:rPr>
              <w:t>12</w:t>
            </w:r>
          </w:p>
        </w:tc>
        <w:tc>
          <w:tcPr>
            <w:tcW w:type="dxa" w:w="1080"/>
          </w:tcPr>
          <w:p>
            <w:r>
              <w:rPr>
                <w:rFonts w:ascii="Times New Roman" w:hAnsi="Times New Roman"/>
                <w:sz w:val="20"/>
              </w:rPr>
              <w:t>Industrial</w:t>
            </w:r>
          </w:p>
        </w:tc>
        <w:tc>
          <w:tcPr>
            <w:tcW w:type="dxa" w:w="1080"/>
          </w:tcPr>
          <w:p>
            <w:r>
              <w:rPr>
                <w:rFonts w:ascii="Times New Roman" w:hAnsi="Times New Roman"/>
                <w:sz w:val="20"/>
              </w:rPr>
              <w:t>8</w:t>
            </w:r>
          </w:p>
        </w:tc>
      </w:tr>
      <w:tr>
        <w:tc>
          <w:tcPr>
            <w:tcW w:type="dxa" w:w="1080"/>
          </w:tcPr>
          <w:p>
            <w:r>
              <w:rPr>
                <w:rFonts w:ascii="Times New Roman" w:hAnsi="Times New Roman"/>
                <w:sz w:val="20"/>
              </w:rPr>
              <w:t>East</w:t>
            </w:r>
          </w:p>
        </w:tc>
        <w:tc>
          <w:tcPr>
            <w:tcW w:type="dxa" w:w="1080"/>
          </w:tcPr>
          <w:p>
            <w:r>
              <w:rPr>
                <w:rFonts w:ascii="Times New Roman" w:hAnsi="Times New Roman"/>
                <w:sz w:val="20"/>
              </w:rPr>
              <w:t>Feb</w:t>
            </w:r>
          </w:p>
        </w:tc>
        <w:tc>
          <w:tcPr>
            <w:tcW w:type="dxa" w:w="1080"/>
          </w:tcPr>
          <w:p>
            <w:r>
              <w:rPr>
                <w:rFonts w:ascii="Times New Roman" w:hAnsi="Times New Roman"/>
                <w:sz w:val="20"/>
              </w:rPr>
              <w:t>18</w:t>
            </w:r>
          </w:p>
        </w:tc>
        <w:tc>
          <w:tcPr>
            <w:tcW w:type="dxa" w:w="1080"/>
          </w:tcPr>
          <w:p>
            <w:r>
              <w:rPr>
                <w:rFonts w:ascii="Times New Roman" w:hAnsi="Times New Roman"/>
                <w:sz w:val="20"/>
              </w:rPr>
              <w:t>350</w:t>
            </w:r>
          </w:p>
        </w:tc>
        <w:tc>
          <w:tcPr>
            <w:tcW w:type="dxa" w:w="1080"/>
          </w:tcPr>
          <w:p>
            <w:r>
              <w:rPr>
                <w:rFonts w:ascii="Times New Roman" w:hAnsi="Times New Roman"/>
                <w:sz w:val="20"/>
              </w:rPr>
              <w:t>2300</w:t>
            </w:r>
          </w:p>
        </w:tc>
        <w:tc>
          <w:tcPr>
            <w:tcW w:type="dxa" w:w="1080"/>
          </w:tcPr>
          <w:p>
            <w:r>
              <w:rPr>
                <w:rFonts w:ascii="Times New Roman" w:hAnsi="Times New Roman"/>
                <w:sz w:val="20"/>
              </w:rPr>
              <w:t>25</w:t>
            </w:r>
          </w:p>
        </w:tc>
        <w:tc>
          <w:tcPr>
            <w:tcW w:type="dxa" w:w="1080"/>
          </w:tcPr>
          <w:p>
            <w:r>
              <w:rPr>
                <w:rFonts w:ascii="Times New Roman" w:hAnsi="Times New Roman"/>
                <w:sz w:val="20"/>
              </w:rPr>
              <w:t>Residential</w:t>
            </w:r>
          </w:p>
        </w:tc>
        <w:tc>
          <w:tcPr>
            <w:tcW w:type="dxa" w:w="1080"/>
          </w:tcPr>
          <w:p>
            <w:r>
              <w:rPr>
                <w:rFonts w:ascii="Times New Roman" w:hAnsi="Times New Roman"/>
                <w:sz w:val="20"/>
              </w:rPr>
              <w:t>5</w:t>
            </w:r>
          </w:p>
        </w:tc>
      </w:tr>
      <w:tr>
        <w:tc>
          <w:tcPr>
            <w:tcW w:type="dxa" w:w="1080"/>
          </w:tcPr>
          <w:p>
            <w:r>
              <w:rPr>
                <w:rFonts w:ascii="Times New Roman" w:hAnsi="Times New Roman"/>
                <w:sz w:val="20"/>
              </w:rPr>
              <w:t>North</w:t>
            </w:r>
          </w:p>
        </w:tc>
        <w:tc>
          <w:tcPr>
            <w:tcW w:type="dxa" w:w="1080"/>
          </w:tcPr>
          <w:p>
            <w:r>
              <w:rPr>
                <w:rFonts w:ascii="Times New Roman" w:hAnsi="Times New Roman"/>
                <w:sz w:val="20"/>
              </w:rPr>
              <w:t>Mar</w:t>
            </w:r>
          </w:p>
        </w:tc>
        <w:tc>
          <w:tcPr>
            <w:tcW w:type="dxa" w:w="1080"/>
          </w:tcPr>
          <w:p>
            <w:r>
              <w:rPr>
                <w:rFonts w:ascii="Times New Roman" w:hAnsi="Times New Roman"/>
                <w:sz w:val="20"/>
              </w:rPr>
              <w:t>28</w:t>
            </w:r>
          </w:p>
        </w:tc>
        <w:tc>
          <w:tcPr>
            <w:tcW w:type="dxa" w:w="1080"/>
          </w:tcPr>
          <w:p>
            <w:r>
              <w:rPr>
                <w:rFonts w:ascii="Times New Roman" w:hAnsi="Times New Roman"/>
                <w:sz w:val="20"/>
              </w:rPr>
              <w:t>610</w:t>
            </w:r>
          </w:p>
        </w:tc>
        <w:tc>
          <w:tcPr>
            <w:tcW w:type="dxa" w:w="1080"/>
          </w:tcPr>
          <w:p>
            <w:r>
              <w:rPr>
                <w:rFonts w:ascii="Times New Roman" w:hAnsi="Times New Roman"/>
                <w:sz w:val="20"/>
              </w:rPr>
              <w:t>4100</w:t>
            </w:r>
          </w:p>
        </w:tc>
        <w:tc>
          <w:tcPr>
            <w:tcW w:type="dxa" w:w="1080"/>
          </w:tcPr>
          <w:p>
            <w:r>
              <w:rPr>
                <w:rFonts w:ascii="Times New Roman" w:hAnsi="Times New Roman"/>
                <w:sz w:val="20"/>
              </w:rPr>
              <w:t>20</w:t>
            </w:r>
          </w:p>
        </w:tc>
        <w:tc>
          <w:tcPr>
            <w:tcW w:type="dxa" w:w="1080"/>
          </w:tcPr>
          <w:p>
            <w:r>
              <w:rPr>
                <w:rFonts w:ascii="Times New Roman" w:hAnsi="Times New Roman"/>
                <w:sz w:val="20"/>
              </w:rPr>
              <w:t>Commercial</w:t>
            </w:r>
          </w:p>
        </w:tc>
        <w:tc>
          <w:tcPr>
            <w:tcW w:type="dxa" w:w="1080"/>
          </w:tcPr>
          <w:p>
            <w:r>
              <w:rPr>
                <w:rFonts w:ascii="Times New Roman" w:hAnsi="Times New Roman"/>
                <w:sz w:val="20"/>
              </w:rPr>
              <w:t>7</w:t>
            </w:r>
          </w:p>
        </w:tc>
      </w:tr>
      <w:tr>
        <w:tc>
          <w:tcPr>
            <w:tcW w:type="dxa" w:w="1080"/>
          </w:tcPr>
          <w:p>
            <w:r>
              <w:rPr>
                <w:rFonts w:ascii="Times New Roman" w:hAnsi="Times New Roman"/>
                <w:sz w:val="20"/>
              </w:rPr>
              <w:t>South</w:t>
            </w:r>
          </w:p>
        </w:tc>
        <w:tc>
          <w:tcPr>
            <w:tcW w:type="dxa" w:w="1080"/>
          </w:tcPr>
          <w:p>
            <w:r>
              <w:rPr>
                <w:rFonts w:ascii="Times New Roman" w:hAnsi="Times New Roman"/>
                <w:sz w:val="20"/>
              </w:rPr>
              <w:t>Mar</w:t>
            </w:r>
          </w:p>
        </w:tc>
        <w:tc>
          <w:tcPr>
            <w:tcW w:type="dxa" w:w="1080"/>
          </w:tcPr>
          <w:p>
            <w:r>
              <w:rPr>
                <w:rFonts w:ascii="Times New Roman" w:hAnsi="Times New Roman"/>
                <w:sz w:val="20"/>
              </w:rPr>
              <w:t>30</w:t>
            </w:r>
          </w:p>
        </w:tc>
        <w:tc>
          <w:tcPr>
            <w:tcW w:type="dxa" w:w="1080"/>
          </w:tcPr>
          <w:p>
            <w:r>
              <w:rPr>
                <w:rFonts w:ascii="Times New Roman" w:hAnsi="Times New Roman"/>
                <w:sz w:val="20"/>
              </w:rPr>
              <w:t>920</w:t>
            </w:r>
          </w:p>
        </w:tc>
        <w:tc>
          <w:tcPr>
            <w:tcW w:type="dxa" w:w="1080"/>
          </w:tcPr>
          <w:p>
            <w:r>
              <w:rPr>
                <w:rFonts w:ascii="Times New Roman" w:hAnsi="Times New Roman"/>
                <w:sz w:val="20"/>
              </w:rPr>
              <w:t>6200</w:t>
            </w:r>
          </w:p>
        </w:tc>
        <w:tc>
          <w:tcPr>
            <w:tcW w:type="dxa" w:w="1080"/>
          </w:tcPr>
          <w:p>
            <w:r>
              <w:rPr>
                <w:rFonts w:ascii="Times New Roman" w:hAnsi="Times New Roman"/>
                <w:sz w:val="20"/>
              </w:rPr>
              <w:t>15</w:t>
            </w:r>
          </w:p>
        </w:tc>
        <w:tc>
          <w:tcPr>
            <w:tcW w:type="dxa" w:w="1080"/>
          </w:tcPr>
          <w:p>
            <w:r>
              <w:rPr>
                <w:rFonts w:ascii="Times New Roman" w:hAnsi="Times New Roman"/>
                <w:sz w:val="20"/>
              </w:rPr>
              <w:t>Industrial</w:t>
            </w:r>
          </w:p>
        </w:tc>
        <w:tc>
          <w:tcPr>
            <w:tcW w:type="dxa" w:w="1080"/>
          </w:tcPr>
          <w:p>
            <w:r>
              <w:rPr>
                <w:rFonts w:ascii="Times New Roman" w:hAnsi="Times New Roman"/>
                <w:sz w:val="20"/>
              </w:rPr>
              <w:t>9</w:t>
            </w:r>
          </w:p>
        </w:tc>
      </w:tr>
    </w:tbl>
    <w:p>
      <w:pPr>
        <w:pStyle w:val="Heading2"/>
        <w:spacing w:after="120"/>
      </w:pPr>
      <w:r>
        <w:rPr>
          <w:rFonts w:ascii="Times New Roman" w:hAnsi="Times New Roman"/>
        </w:rPr>
        <w:t>PROGRAM 1: Histogram and density of energy units</w:t>
      </w:r>
    </w:p>
    <w:p>
      <w:pPr>
        <w:spacing w:after="120"/>
      </w:pPr>
      <w:r>
        <w:rPr>
          <w:rFonts w:ascii="Times New Roman" w:hAnsi="Times New Roman"/>
          <w:sz w:val="22"/>
        </w:rPr>
        <w:t>Histogram and density of energy units.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read.csv("set_21.csv", check.names=FALSE)</w:t>
        <w:br/>
        <w:t>barplot(d[["Peak_Hours"]], names.arg=d[[1]],</w:t>
        <w:br/>
        <w:t xml:space="preserve">        main="Histogram and density of energy units", xlab="Records", ylab="Peak_Hours",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6" name="Picture 16"/>
            <wp:cNvGraphicFramePr>
              <a:graphicFrameLocks noChangeAspect="1"/>
            </wp:cNvGraphicFramePr>
            <a:graphic>
              <a:graphicData uri="http://schemas.openxmlformats.org/drawingml/2006/picture">
                <pic:pic>
                  <pic:nvPicPr>
                    <pic:cNvPr id="0" name="s21_0.png"/>
                    <pic:cNvPicPr/>
                  </pic:nvPicPr>
                  <pic:blipFill>
                    <a:blip r:embed="rId24"/>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Bubble chart of temperature vs units, sized by peak hours</w:t>
      </w:r>
    </w:p>
    <w:p>
      <w:pPr>
        <w:spacing w:after="120"/>
      </w:pPr>
      <w:r>
        <w:rPr>
          <w:rFonts w:ascii="Times New Roman" w:hAnsi="Times New Roman"/>
          <w:sz w:val="22"/>
        </w:rPr>
        <w:t>Bubble chart of temperature vs units, sized by peak hours.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read.csv("set_21.csv", check.names=FALSE)</w:t>
        <w:br/>
        <w:t>barplot(d[["Peak_Hours"]], names.arg=d[[1]],</w:t>
        <w:br/>
        <w:t xml:space="preserve">        main="Bubble chart of temperature vs units, sized by peak hours", xlab="Records", ylab="Peak_Hours",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7" name="Picture 17"/>
            <wp:cNvGraphicFramePr>
              <a:graphicFrameLocks noChangeAspect="1"/>
            </wp:cNvGraphicFramePr>
            <a:graphic>
              <a:graphicData uri="http://schemas.openxmlformats.org/drawingml/2006/picture">
                <pic:pic>
                  <pic:nvPicPr>
                    <pic:cNvPr id="0" name="s21_1.png"/>
                    <pic:cNvPicPr/>
                  </pic:nvPicPr>
                  <pic:blipFill>
                    <a:blip r:embed="rId25"/>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Average renewable usage by sector bar chart</w:t>
      </w:r>
    </w:p>
    <w:p>
      <w:pPr>
        <w:spacing w:after="120"/>
      </w:pPr>
      <w:r>
        <w:rPr>
          <w:rFonts w:ascii="Times New Roman" w:hAnsi="Times New Roman"/>
          <w:sz w:val="22"/>
        </w:rPr>
        <w:t>Average renewable usage by sector bar chart.</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read.csv("set_21.csv", check.names=FALSE)</w:t>
        <w:br/>
        <w:t>barplot(d[["Peak_Hours"]], names.arg=d[[1]],</w:t>
        <w:br/>
        <w:t xml:space="preserve">        main="Average renewable usage by sector bar chart", xlab="Records", ylab="Peak_Hours", col="steelblue")</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8" name="Picture 18"/>
            <wp:cNvGraphicFramePr>
              <a:graphicFrameLocks noChangeAspect="1"/>
            </wp:cNvGraphicFramePr>
            <a:graphic>
              <a:graphicData uri="http://schemas.openxmlformats.org/drawingml/2006/picture">
                <pic:pic>
                  <pic:nvPicPr>
                    <pic:cNvPr id="0" name="s21_2.png"/>
                    <pic:cNvPicPr/>
                  </pic:nvPicPr>
                  <pic:blipFill>
                    <a:blip r:embed="rId26"/>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Tableau monthly energy and sector-region heatmap dashboard</w:t>
      </w:r>
    </w:p>
    <w:p>
      <w:pPr>
        <w:spacing w:after="120"/>
      </w:pPr>
      <w:r>
        <w:rPr>
          <w:rFonts w:ascii="Times New Roman" w:hAnsi="Times New Roman"/>
          <w:sz w:val="22"/>
        </w:rPr>
        <w:t>Tableau monthly energy and sector-region heatmap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energy consumption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