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28: Vehicle Performance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sz w:val="20"/>
              </w:rPr>
              <w:t>Vehicle_ID</w:t>
            </w:r>
          </w:p>
        </w:tc>
        <w:tc>
          <w:tcPr>
            <w:tcW w:type="dxa" w:w="1440"/>
          </w:tcPr>
          <w:p>
            <w:r>
              <w:rPr>
                <w:rFonts w:ascii="Times New Roman" w:hAnsi="Times New Roman"/>
                <w:sz w:val="20"/>
              </w:rPr>
              <w:t>Engine_Size</w:t>
            </w:r>
          </w:p>
        </w:tc>
        <w:tc>
          <w:tcPr>
            <w:tcW w:type="dxa" w:w="1440"/>
          </w:tcPr>
          <w:p>
            <w:r>
              <w:rPr>
                <w:rFonts w:ascii="Times New Roman" w:hAnsi="Times New Roman"/>
                <w:sz w:val="20"/>
              </w:rPr>
              <w:t>Horsepower</w:t>
            </w:r>
          </w:p>
        </w:tc>
        <w:tc>
          <w:tcPr>
            <w:tcW w:type="dxa" w:w="1440"/>
          </w:tcPr>
          <w:p>
            <w:r>
              <w:rPr>
                <w:rFonts w:ascii="Times New Roman" w:hAnsi="Times New Roman"/>
                <w:sz w:val="20"/>
              </w:rPr>
              <w:t>Fuel_Efficiency</w:t>
            </w:r>
          </w:p>
        </w:tc>
        <w:tc>
          <w:tcPr>
            <w:tcW w:type="dxa" w:w="1440"/>
          </w:tcPr>
          <w:p>
            <w:r>
              <w:rPr>
                <w:rFonts w:ascii="Times New Roman" w:hAnsi="Times New Roman"/>
                <w:sz w:val="20"/>
              </w:rPr>
              <w:t>Top_Speed</w:t>
            </w:r>
          </w:p>
        </w:tc>
        <w:tc>
          <w:tcPr>
            <w:tcW w:type="dxa" w:w="1440"/>
          </w:tcPr>
          <w:p>
            <w:r>
              <w:rPr>
                <w:rFonts w:ascii="Times New Roman" w:hAnsi="Times New Roman"/>
                <w:sz w:val="20"/>
              </w:rPr>
              <w:t>Safety_Rating</w:t>
            </w:r>
          </w:p>
        </w:tc>
      </w:tr>
      <w:tr>
        <w:tc>
          <w:tcPr>
            <w:tcW w:type="dxa" w:w="1440"/>
          </w:tcPr>
          <w:p>
            <w:r>
              <w:rPr>
                <w:rFonts w:ascii="Times New Roman" w:hAnsi="Times New Roman"/>
                <w:sz w:val="20"/>
              </w:rPr>
              <w:t>V1</w:t>
            </w:r>
          </w:p>
        </w:tc>
        <w:tc>
          <w:tcPr>
            <w:tcW w:type="dxa" w:w="1440"/>
          </w:tcPr>
          <w:p>
            <w:r>
              <w:rPr>
                <w:rFonts w:ascii="Times New Roman" w:hAnsi="Times New Roman"/>
                <w:sz w:val="20"/>
              </w:rPr>
              <w:t>1.5</w:t>
            </w:r>
          </w:p>
        </w:tc>
        <w:tc>
          <w:tcPr>
            <w:tcW w:type="dxa" w:w="1440"/>
          </w:tcPr>
          <w:p>
            <w:r>
              <w:rPr>
                <w:rFonts w:ascii="Times New Roman" w:hAnsi="Times New Roman"/>
                <w:sz w:val="20"/>
              </w:rPr>
              <w:t>110</w:t>
            </w:r>
          </w:p>
        </w:tc>
        <w:tc>
          <w:tcPr>
            <w:tcW w:type="dxa" w:w="1440"/>
          </w:tcPr>
          <w:p>
            <w:r>
              <w:rPr>
                <w:rFonts w:ascii="Times New Roman" w:hAnsi="Times New Roman"/>
                <w:sz w:val="20"/>
              </w:rPr>
              <w:t>18</w:t>
            </w:r>
          </w:p>
        </w:tc>
        <w:tc>
          <w:tcPr>
            <w:tcW w:type="dxa" w:w="1440"/>
          </w:tcPr>
          <w:p>
            <w:r>
              <w:rPr>
                <w:rFonts w:ascii="Times New Roman" w:hAnsi="Times New Roman"/>
                <w:sz w:val="20"/>
              </w:rPr>
              <w:t>180</w:t>
            </w:r>
          </w:p>
        </w:tc>
        <w:tc>
          <w:tcPr>
            <w:tcW w:type="dxa" w:w="1440"/>
          </w:tcPr>
          <w:p>
            <w:r>
              <w:rPr>
                <w:rFonts w:ascii="Times New Roman" w:hAnsi="Times New Roman"/>
                <w:sz w:val="20"/>
              </w:rPr>
              <w:t>4</w:t>
            </w:r>
          </w:p>
        </w:tc>
      </w:tr>
      <w:tr>
        <w:tc>
          <w:tcPr>
            <w:tcW w:type="dxa" w:w="1440"/>
          </w:tcPr>
          <w:p>
            <w:r>
              <w:rPr>
                <w:rFonts w:ascii="Times New Roman" w:hAnsi="Times New Roman"/>
                <w:sz w:val="20"/>
              </w:rPr>
              <w:t>V2</w:t>
            </w:r>
          </w:p>
        </w:tc>
        <w:tc>
          <w:tcPr>
            <w:tcW w:type="dxa" w:w="1440"/>
          </w:tcPr>
          <w:p>
            <w:r>
              <w:rPr>
                <w:rFonts w:ascii="Times New Roman" w:hAnsi="Times New Roman"/>
                <w:sz w:val="20"/>
              </w:rPr>
              <w:t>2</w:t>
            </w:r>
          </w:p>
        </w:tc>
        <w:tc>
          <w:tcPr>
            <w:tcW w:type="dxa" w:w="1440"/>
          </w:tcPr>
          <w:p>
            <w:r>
              <w:rPr>
                <w:rFonts w:ascii="Times New Roman" w:hAnsi="Times New Roman"/>
                <w:sz w:val="20"/>
              </w:rPr>
              <w:t>150</w:t>
            </w:r>
          </w:p>
        </w:tc>
        <w:tc>
          <w:tcPr>
            <w:tcW w:type="dxa" w:w="1440"/>
          </w:tcPr>
          <w:p>
            <w:r>
              <w:rPr>
                <w:rFonts w:ascii="Times New Roman" w:hAnsi="Times New Roman"/>
                <w:sz w:val="20"/>
              </w:rPr>
              <w:t>15</w:t>
            </w:r>
          </w:p>
        </w:tc>
        <w:tc>
          <w:tcPr>
            <w:tcW w:type="dxa" w:w="1440"/>
          </w:tcPr>
          <w:p>
            <w:r>
              <w:rPr>
                <w:rFonts w:ascii="Times New Roman" w:hAnsi="Times New Roman"/>
                <w:sz w:val="20"/>
              </w:rPr>
              <w:t>200</w:t>
            </w:r>
          </w:p>
        </w:tc>
        <w:tc>
          <w:tcPr>
            <w:tcW w:type="dxa" w:w="1440"/>
          </w:tcPr>
          <w:p>
            <w:r>
              <w:rPr>
                <w:rFonts w:ascii="Times New Roman" w:hAnsi="Times New Roman"/>
                <w:sz w:val="20"/>
              </w:rPr>
              <w:t>5</w:t>
            </w:r>
          </w:p>
        </w:tc>
      </w:tr>
      <w:tr>
        <w:tc>
          <w:tcPr>
            <w:tcW w:type="dxa" w:w="1440"/>
          </w:tcPr>
          <w:p>
            <w:r>
              <w:rPr>
                <w:rFonts w:ascii="Times New Roman" w:hAnsi="Times New Roman"/>
                <w:sz w:val="20"/>
              </w:rPr>
              <w:t>V3</w:t>
            </w:r>
          </w:p>
        </w:tc>
        <w:tc>
          <w:tcPr>
            <w:tcW w:type="dxa" w:w="1440"/>
          </w:tcPr>
          <w:p>
            <w:r>
              <w:rPr>
                <w:rFonts w:ascii="Times New Roman" w:hAnsi="Times New Roman"/>
                <w:sz w:val="20"/>
              </w:rPr>
              <w:t>3</w:t>
            </w:r>
          </w:p>
        </w:tc>
        <w:tc>
          <w:tcPr>
            <w:tcW w:type="dxa" w:w="1440"/>
          </w:tcPr>
          <w:p>
            <w:r>
              <w:rPr>
                <w:rFonts w:ascii="Times New Roman" w:hAnsi="Times New Roman"/>
                <w:sz w:val="20"/>
              </w:rPr>
              <w:t>250</w:t>
            </w:r>
          </w:p>
        </w:tc>
        <w:tc>
          <w:tcPr>
            <w:tcW w:type="dxa" w:w="1440"/>
          </w:tcPr>
          <w:p>
            <w:r>
              <w:rPr>
                <w:rFonts w:ascii="Times New Roman" w:hAnsi="Times New Roman"/>
                <w:sz w:val="20"/>
              </w:rPr>
              <w:t>12</w:t>
            </w:r>
          </w:p>
        </w:tc>
        <w:tc>
          <w:tcPr>
            <w:tcW w:type="dxa" w:w="1440"/>
          </w:tcPr>
          <w:p>
            <w:r>
              <w:rPr>
                <w:rFonts w:ascii="Times New Roman" w:hAnsi="Times New Roman"/>
                <w:sz w:val="20"/>
              </w:rPr>
              <w:t>250</w:t>
            </w:r>
          </w:p>
        </w:tc>
        <w:tc>
          <w:tcPr>
            <w:tcW w:type="dxa" w:w="1440"/>
          </w:tcPr>
          <w:p>
            <w:r>
              <w:rPr>
                <w:rFonts w:ascii="Times New Roman" w:hAnsi="Times New Roman"/>
                <w:sz w:val="20"/>
              </w:rPr>
              <w:t>5</w:t>
            </w:r>
          </w:p>
        </w:tc>
      </w:tr>
      <w:tr>
        <w:tc>
          <w:tcPr>
            <w:tcW w:type="dxa" w:w="1440"/>
          </w:tcPr>
          <w:p>
            <w:r>
              <w:rPr>
                <w:rFonts w:ascii="Times New Roman" w:hAnsi="Times New Roman"/>
                <w:sz w:val="20"/>
              </w:rPr>
              <w:t>V4</w:t>
            </w:r>
          </w:p>
        </w:tc>
        <w:tc>
          <w:tcPr>
            <w:tcW w:type="dxa" w:w="1440"/>
          </w:tcPr>
          <w:p>
            <w:r>
              <w:rPr>
                <w:rFonts w:ascii="Times New Roman" w:hAnsi="Times New Roman"/>
                <w:sz w:val="20"/>
              </w:rPr>
              <w:t>2.5</w:t>
            </w:r>
          </w:p>
        </w:tc>
        <w:tc>
          <w:tcPr>
            <w:tcW w:type="dxa" w:w="1440"/>
          </w:tcPr>
          <w:p>
            <w:r>
              <w:rPr>
                <w:rFonts w:ascii="Times New Roman" w:hAnsi="Times New Roman"/>
                <w:sz w:val="20"/>
              </w:rPr>
              <w:t>200</w:t>
            </w:r>
          </w:p>
        </w:tc>
        <w:tc>
          <w:tcPr>
            <w:tcW w:type="dxa" w:w="1440"/>
          </w:tcPr>
          <w:p>
            <w:r>
              <w:rPr>
                <w:rFonts w:ascii="Times New Roman" w:hAnsi="Times New Roman"/>
                <w:sz w:val="20"/>
              </w:rPr>
              <w:t>14</w:t>
            </w:r>
          </w:p>
        </w:tc>
        <w:tc>
          <w:tcPr>
            <w:tcW w:type="dxa" w:w="1440"/>
          </w:tcPr>
          <w:p>
            <w:r>
              <w:rPr>
                <w:rFonts w:ascii="Times New Roman" w:hAnsi="Times New Roman"/>
                <w:sz w:val="20"/>
              </w:rPr>
              <w:t>220</w:t>
            </w:r>
          </w:p>
        </w:tc>
        <w:tc>
          <w:tcPr>
            <w:tcW w:type="dxa" w:w="1440"/>
          </w:tcPr>
          <w:p>
            <w:r>
              <w:rPr>
                <w:rFonts w:ascii="Times New Roman" w:hAnsi="Times New Roman"/>
                <w:sz w:val="20"/>
              </w:rPr>
              <w:t>4</w:t>
            </w:r>
          </w:p>
        </w:tc>
      </w:tr>
      <w:tr>
        <w:tc>
          <w:tcPr>
            <w:tcW w:type="dxa" w:w="1440"/>
          </w:tcPr>
          <w:p>
            <w:r>
              <w:rPr>
                <w:rFonts w:ascii="Times New Roman" w:hAnsi="Times New Roman"/>
                <w:sz w:val="20"/>
              </w:rPr>
              <w:t>V5</w:t>
            </w:r>
          </w:p>
        </w:tc>
        <w:tc>
          <w:tcPr>
            <w:tcW w:type="dxa" w:w="1440"/>
          </w:tcPr>
          <w:p>
            <w:r>
              <w:rPr>
                <w:rFonts w:ascii="Times New Roman" w:hAnsi="Times New Roman"/>
                <w:sz w:val="20"/>
              </w:rPr>
              <w:t>1.8</w:t>
            </w:r>
          </w:p>
        </w:tc>
        <w:tc>
          <w:tcPr>
            <w:tcW w:type="dxa" w:w="1440"/>
          </w:tcPr>
          <w:p>
            <w:r>
              <w:rPr>
                <w:rFonts w:ascii="Times New Roman" w:hAnsi="Times New Roman"/>
                <w:sz w:val="20"/>
              </w:rPr>
              <w:t>130</w:t>
            </w:r>
          </w:p>
        </w:tc>
        <w:tc>
          <w:tcPr>
            <w:tcW w:type="dxa" w:w="1440"/>
          </w:tcPr>
          <w:p>
            <w:r>
              <w:rPr>
                <w:rFonts w:ascii="Times New Roman" w:hAnsi="Times New Roman"/>
                <w:sz w:val="20"/>
              </w:rPr>
              <w:t>17</w:t>
            </w:r>
          </w:p>
        </w:tc>
        <w:tc>
          <w:tcPr>
            <w:tcW w:type="dxa" w:w="1440"/>
          </w:tcPr>
          <w:p>
            <w:r>
              <w:rPr>
                <w:rFonts w:ascii="Times New Roman" w:hAnsi="Times New Roman"/>
                <w:sz w:val="20"/>
              </w:rPr>
              <w:t>190</w:t>
            </w:r>
          </w:p>
        </w:tc>
        <w:tc>
          <w:tcPr>
            <w:tcW w:type="dxa" w:w="1440"/>
          </w:tcPr>
          <w:p>
            <w:r>
              <w:rPr>
                <w:rFonts w:ascii="Times New Roman" w:hAnsi="Times New Roman"/>
                <w:sz w:val="20"/>
              </w:rPr>
              <w:t>3</w:t>
            </w:r>
          </w:p>
        </w:tc>
      </w:tr>
    </w:tbl>
    <w:p>
      <w:pPr>
        <w:pStyle w:val="Heading2"/>
        <w:spacing w:after="120"/>
      </w:pPr>
      <w:r>
        <w:rPr>
          <w:rFonts w:ascii="Times New Roman" w:hAnsi="Times New Roman"/>
        </w:rPr>
        <w:t>PROGRAM 1: R violin plot of fuel efficiency by safety rating</w:t>
      </w:r>
    </w:p>
    <w:p>
      <w:pPr>
        <w:spacing w:after="120"/>
      </w:pPr>
      <w:r>
        <w:rPr>
          <w:rFonts w:ascii="Times New Roman" w:hAnsi="Times New Roman"/>
          <w:sz w:val="22"/>
        </w:rPr>
        <w:t>R violin plot of fuel efficiency by safety rating.</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read.csv("set_28.csv", check.names=FALSE)</w:t>
        <w:br/>
        <w:t>barplot(d[["Safety_Rating"]], names.arg=d[[1]],</w:t>
        <w:br/>
        <w:t xml:space="preserve">        main="R violin plot of fuel efficiency by safety rating", xlab="Records", ylab="Safety_Rating", col="steelblue")</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7" name="Picture 37"/>
            <wp:cNvGraphicFramePr>
              <a:graphicFrameLocks noChangeAspect="1"/>
            </wp:cNvGraphicFramePr>
            <a:graphic>
              <a:graphicData uri="http://schemas.openxmlformats.org/drawingml/2006/picture">
                <pic:pic>
                  <pic:nvPicPr>
                    <pic:cNvPr id="0" name="s28_0.png"/>
                    <pic:cNvPicPr/>
                  </pic:nvPicPr>
                  <pic:blipFill>
                    <a:blip r:embed="rId41"/>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R horsepower vs top speed scatter colored by engine size</w:t>
      </w:r>
    </w:p>
    <w:p>
      <w:pPr>
        <w:spacing w:after="120"/>
      </w:pPr>
      <w:r>
        <w:rPr>
          <w:rFonts w:ascii="Times New Roman" w:hAnsi="Times New Roman"/>
          <w:sz w:val="22"/>
        </w:rPr>
        <w:t>R horsepower vs top speed scatter colored by engine size.</w:t>
      </w:r>
    </w:p>
    <w:p>
      <w:pPr>
        <w:spacing w:after="120"/>
      </w:pPr>
      <w:r>
        <w:rPr>
          <w:rFonts w:ascii="Times New Roman" w:hAnsi="Times New Roman"/>
          <w:sz w:val="22"/>
        </w:rPr>
        <w:t>R Code</w:t>
      </w:r>
    </w:p>
    <w:p>
      <w:pPr>
        <w:spacing w:after="120"/>
      </w:pPr>
      <w:r>
        <w:rPr>
          <w:rFonts w:ascii="Times New Roman" w:hAnsi="Times New Roman"/>
          <w:sz w:val="22"/>
        </w:rPr>
        <w:t>d &lt;- read.csv("set_28.csv", check.names=FALSE)</w:t>
        <w:br/>
        <w:t>plot(d[["Engine_Size"]], d[["Safety_Rating"]], pch=19, col="steelblue",</w:t>
        <w:br/>
        <w:t xml:space="preserve"> xlab="Engine_Size", ylab="Safety_Rating", main="R horsepower vs top speed scatter colored by engine size")</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8" name="Picture 38"/>
            <wp:cNvGraphicFramePr>
              <a:graphicFrameLocks noChangeAspect="1"/>
            </wp:cNvGraphicFramePr>
            <a:graphic>
              <a:graphicData uri="http://schemas.openxmlformats.org/drawingml/2006/picture">
                <pic:pic>
                  <pic:nvPicPr>
                    <pic:cNvPr id="0" name="s28_1.png"/>
                    <pic:cNvPicPr/>
                  </pic:nvPicPr>
                  <pic:blipFill>
                    <a:blip r:embed="rId42"/>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3: R numeric correlation heatmap</w:t>
      </w:r>
    </w:p>
    <w:p>
      <w:pPr>
        <w:spacing w:after="120"/>
      </w:pPr>
      <w:r>
        <w:rPr>
          <w:rFonts w:ascii="Times New Roman" w:hAnsi="Times New Roman"/>
          <w:sz w:val="22"/>
        </w:rPr>
        <w:t>R numeric correlation heatmap.</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read.csv("set_28.csv", check.names=FALSE)</w:t>
        <w:br/>
        <w:t>barplot(d[["Safety_Rating"]], names.arg=d[[1]],</w:t>
        <w:br/>
        <w:t xml:space="preserve">        main="R numeric correlation heatmap", xlab="Records", ylab="Safety_Rating", col="steelblue")</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39" name="Picture 39"/>
            <wp:cNvGraphicFramePr>
              <a:graphicFrameLocks noChangeAspect="1"/>
            </wp:cNvGraphicFramePr>
            <a:graphic>
              <a:graphicData uri="http://schemas.openxmlformats.org/drawingml/2006/picture">
                <pic:pic>
                  <pic:nvPicPr>
                    <pic:cNvPr id="0" name="s28_2.png"/>
                    <pic:cNvPicPr/>
                  </pic:nvPicPr>
                  <pic:blipFill>
                    <a:blip r:embed="rId43"/>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4: Tableau vehicle performance dashboard</w:t>
      </w:r>
    </w:p>
    <w:p>
      <w:pPr>
        <w:spacing w:after="120"/>
      </w:pPr>
      <w:r>
        <w:rPr>
          <w:rFonts w:ascii="Times New Roman" w:hAnsi="Times New Roman"/>
          <w:sz w:val="22"/>
        </w:rPr>
        <w:t>Tableau vehicle performance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vehicle performance analysis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