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SZLab 阶段性工作汇报</w:t>
      </w:r>
    </w:p>
    <w:p>
      <w:pPr>
        <w:pStyle w:val="Heading1"/>
      </w:pPr>
      <w:r>
        <w:t>一句话结论</w:t>
      </w:r>
    </w:p>
    <w:p>
      <w:r>
        <w:t>SZLab 项目已经从“单设备接入”推进到“平台化交付雏形”：上层形成高分子配方模型与定制 ELN 的记录闭环，中间具备轻量级私有化部署方案，底层沉淀了与 UniLab 深度绑定的设备协作 SOP、CI 验证链路和本地联调工作台。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01180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zlab_overvie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0118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SZLab 阶段成果总览</w:t>
      </w:r>
    </w:p>
    <w:p>
      <w:pPr>
        <w:pStyle w:val="Heading1"/>
      </w:pPr>
      <w:r>
        <w:t>1. 架构与定制 ELN：打通配方、实验和记录</w:t>
      </w:r>
    </w:p>
    <w:p>
      <w:r>
        <w:t>SZLab 的架构重点是把高分子配方模型、实验准备、设备执行、实验记录、附件归档和结果回流放到同一条数据链路中，避免配方设计、执行过程和实验记录各自割裂。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01180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n_loo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0118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配方到实验记录闭环</w:t>
      </w:r>
    </w:p>
    <w:p>
      <w:r>
        <w:t>核心价值：</w:t>
      </w:r>
    </w:p>
    <w:p>
      <w:pPr>
        <w:pStyle w:val="ListBullet"/>
      </w:pPr>
      <w:r>
        <w:rPr>
          <w:b/>
        </w:rPr>
        <w:t>配方和实验记录一致</w:t>
      </w:r>
      <w:r>
        <w:t>：高分子配方模型生成的配方可以作为实验准备和执行记录的来源，减少手工转录和口径不一致。</w:t>
      </w:r>
    </w:p>
    <w:p>
      <w:pPr>
        <w:pStyle w:val="ListBullet"/>
      </w:pPr>
      <w:r>
        <w:rPr>
          <w:b/>
        </w:rPr>
        <w:t>适合项目定制</w:t>
      </w:r>
      <w:r>
        <w:t>：实验类型、配方字段、导出模板、结果记录可以围绕 SZLab 项目定制，而不是套用通用 ELN。</w:t>
      </w:r>
    </w:p>
    <w:p>
      <w:pPr>
        <w:pStyle w:val="ListBullet"/>
      </w:pPr>
      <w:r>
        <w:rPr>
          <w:b/>
        </w:rPr>
        <w:t>数据可追溯</w:t>
      </w:r>
      <w:r>
        <w:t>：配方、实验批次、实验记录、附件和审计事件形成闭环，便于后续复盘、分析和质量追踪。</w:t>
      </w:r>
    </w:p>
    <w:p>
      <w:pPr>
        <w:pStyle w:val="ListBullet"/>
      </w:pPr>
      <w:r>
        <w:rPr>
          <w:b/>
        </w:rPr>
        <w:t>为设备执行预留接口</w:t>
      </w:r>
      <w:r>
        <w:t>：设备日志、照片、原始数据和结果文件后续可统一挂接到实验记录上，而不是散落在本地文件夹。</w:t>
      </w:r>
    </w:p>
    <w:p>
      <w:pPr>
        <w:pStyle w:val="IntenseQuote"/>
      </w:pPr>
      <w:r>
        <w:t>这不是“记录系统”和“设备系统”两套东西，而是把研发配方、实验执行和实验记录统一到一个项目级闭环里。</w:t>
      </w:r>
    </w:p>
    <w:p>
      <w:pPr>
        <w:pStyle w:val="Heading1"/>
      </w:pPr>
      <w:r>
        <w:t>2. 轻量级私有化：一台服务器即可落地</w:t>
      </w:r>
    </w:p>
    <w:p>
      <w:r>
        <w:t>私有化部署采用单机 Docker Compose 方案。外部用户通过 Gateway 进入 Polymer Platform，MySQL 和 MinIO 作为底层数据与文件服务，设备服务与 UniLabOS 作为平台内服务接入，运行过程中产生的数据、文件、日志和结果统一进入 MySQL / MinIO。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30327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ivate_deploy_platform_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3032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轻量级私有化部署</w:t>
      </w:r>
    </w:p>
    <w:p>
      <w:r>
        <w:t>核心组件：</w:t>
      </w:r>
    </w:p>
    <w:p>
      <w:pPr>
        <w:pStyle w:val="ListBullet"/>
      </w:pPr>
      <w:r>
        <w:rPr>
          <w:b/>
        </w:rPr>
        <w:t>Gateway</w:t>
      </w:r>
      <w:r>
        <w:t>：对外统一入口，收敛访问边界。</w:t>
      </w:r>
    </w:p>
    <w:p>
      <w:pPr>
        <w:pStyle w:val="ListBullet"/>
      </w:pPr>
      <w:r>
        <w:rPr>
          <w:b/>
        </w:rPr>
        <w:t>Polymer Platform</w:t>
      </w:r>
      <w:r>
        <w:t>：承载配方、实验、用户、审计、文件资产索引和设备任务编排入口。</w:t>
      </w:r>
    </w:p>
    <w:p>
      <w:pPr>
        <w:pStyle w:val="ListBullet"/>
      </w:pPr>
      <w:r>
        <w:rPr>
          <w:b/>
        </w:rPr>
        <w:t>MySQL</w:t>
      </w:r>
      <w:r>
        <w:t>：承载结构化业务数据、状态、审计和文件索引。</w:t>
      </w:r>
    </w:p>
    <w:p>
      <w:pPr>
        <w:pStyle w:val="ListBullet"/>
      </w:pPr>
      <w:r>
        <w:rPr>
          <w:b/>
        </w:rPr>
        <w:t>MinIO</w:t>
      </w:r>
      <w:r>
        <w:t>：承载实验附件、设备日志、照片、原始数据和导出包。</w:t>
      </w:r>
    </w:p>
    <w:p>
      <w:pPr>
        <w:pStyle w:val="ListBullet"/>
      </w:pPr>
      <w:r>
        <w:rPr>
          <w:b/>
        </w:rPr>
        <w:t>设备服务 + UniLabOS</w:t>
      </w:r>
      <w:r>
        <w:t>：承载设备 action、本地联调和工作站能力，产出的文件与数据回到 MySQL / MinIO。</w:t>
      </w:r>
    </w:p>
    <w:p>
      <w:r>
        <w:t>核心价值：</w:t>
      </w:r>
    </w:p>
    <w:p>
      <w:pPr>
        <w:pStyle w:val="ListBullet"/>
      </w:pPr>
      <w:r>
        <w:rPr>
          <w:b/>
        </w:rPr>
        <w:t>部署轻</w:t>
      </w:r>
      <w:r>
        <w:t>：Docker 一键启动，降低项目现场部署和迁移成本。</w:t>
      </w:r>
    </w:p>
    <w:p>
      <w:pPr>
        <w:pStyle w:val="ListBullet"/>
      </w:pPr>
      <w:r>
        <w:rPr>
          <w:b/>
        </w:rPr>
        <w:t>边界清晰</w:t>
      </w:r>
      <w:r>
        <w:t>：结构化数据进 MySQL，文件和原始数据进 MinIO，业务系统只引用文件资产。</w:t>
      </w:r>
    </w:p>
    <w:p>
      <w:pPr>
        <w:pStyle w:val="ListBullet"/>
      </w:pPr>
      <w:r>
        <w:rPr>
          <w:b/>
        </w:rPr>
        <w:t>运维可控</w:t>
      </w:r>
      <w:r>
        <w:t>：服务健康检查、日志查看、备份恢复都可以标准化。</w:t>
      </w:r>
    </w:p>
    <w:p>
      <w:pPr>
        <w:pStyle w:val="ListBullet"/>
      </w:pPr>
      <w:r>
        <w:rPr>
          <w:b/>
        </w:rPr>
        <w:t>适合私有环境</w:t>
      </w:r>
      <w:r>
        <w:t>：不依赖复杂云服务，便于进入内网、实验室服务器或客户私有环境。</w:t>
      </w:r>
    </w:p>
    <w:p>
      <w:pPr>
        <w:pStyle w:val="Heading1"/>
      </w:pPr>
      <w:r>
        <w:t>3. 协作方式 SOP：和 UniLab 深度绑定的设备开发模式</w:t>
      </w:r>
    </w:p>
    <w:p>
      <w:r>
        <w:t>SZLab 的复杂度来自多设备、多工位、多人员协同。如果每个人按自己的方式接设备，后期很难维护。因此当前协作 SOP 的重点不是写文档约束大家，而是把协作方式绑定到 UniLab 的设备模型、action、registry、preset、测试和本地联调工具中。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01180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llaboration_so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0118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UniLab 绑定的协作 SOP</w:t>
      </w:r>
    </w:p>
    <w:p>
      <w:r>
        <w:t>标准协作链路：</w:t>
      </w:r>
    </w:p>
    <w:p>
      <w:pPr>
        <w:pStyle w:val="ListNumber"/>
      </w:pPr>
      <w:r>
        <w:rPr>
          <w:b/>
        </w:rPr>
        <w:t>按设备拆分任务</w:t>
      </w:r>
      <w:r>
        <w:t>：S04、S05、S06、S07、S08、S09、S12 机械臂等分别沉淀设备能力。</w:t>
      </w:r>
    </w:p>
    <w:p>
      <w:pPr>
        <w:pStyle w:val="ListNumber"/>
      </w:pPr>
      <w:r>
        <w:rPr>
          <w:b/>
        </w:rPr>
        <w:t>用 UniLab action 表达能力</w:t>
      </w:r>
      <w:r>
        <w:t>：每个设备对外暴露稳定 action，参数和返回值可被上层流程复用。</w:t>
      </w:r>
    </w:p>
    <w:p>
      <w:pPr>
        <w:pStyle w:val="ListNumber"/>
      </w:pPr>
      <w:r>
        <w:rPr>
          <w:b/>
        </w:rPr>
        <w:t>通过 registry / preset 统一入口</w:t>
      </w:r>
      <w:r>
        <w:t>：前端和测试不手写设备清单，而是读取 UniLab 设备定义和 preset。</w:t>
      </w:r>
    </w:p>
    <w:p>
      <w:pPr>
        <w:pStyle w:val="ListNumber"/>
      </w:pPr>
      <w:r>
        <w:rPr>
          <w:b/>
        </w:rPr>
        <w:t>用本地工作台联调</w:t>
      </w:r>
      <w:r>
        <w:t>：开发者可以在画布中组合 action、运行、查看日志、定位 OPC 变量变化。</w:t>
      </w:r>
    </w:p>
    <w:p>
      <w:pPr>
        <w:pStyle w:val="ListNumber"/>
      </w:pPr>
      <w:r>
        <w:rPr>
          <w:b/>
        </w:rPr>
        <w:t>进入 CI 验证</w:t>
      </w:r>
      <w:r>
        <w:t>：核心 action 通过单测和虚拟 OPC UA 集成验证，减少真实硬件占用。</w:t>
      </w:r>
    </w:p>
    <w:p>
      <w:r>
        <w:t>核心价值：</w:t>
      </w:r>
    </w:p>
    <w:p>
      <w:pPr>
        <w:pStyle w:val="ListBullet"/>
      </w:pPr>
      <w:r>
        <w:rPr>
          <w:b/>
        </w:rPr>
        <w:t>并行开发</w:t>
      </w:r>
      <w:r>
        <w:t>：同一项目可按设备拆分，多人同时推进。</w:t>
      </w:r>
    </w:p>
    <w:p>
      <w:pPr>
        <w:pStyle w:val="ListBullet"/>
      </w:pPr>
      <w:r>
        <w:rPr>
          <w:b/>
        </w:rPr>
        <w:t>接口一致</w:t>
      </w:r>
      <w:r>
        <w:t>：设备能力以 UniLab action 形式沉淀，上层流程不关心具体实现细节。</w:t>
      </w:r>
    </w:p>
    <w:p>
      <w:pPr>
        <w:pStyle w:val="ListBullet"/>
      </w:pPr>
      <w:r>
        <w:rPr>
          <w:b/>
        </w:rPr>
        <w:t>复用性强</w:t>
      </w:r>
      <w:r>
        <w:t>：设备 action 稳定后，可以被不同 recipe、测试 preset 和工作站流程复用。</w:t>
      </w:r>
    </w:p>
    <w:p>
      <w:pPr>
        <w:pStyle w:val="ListBullet"/>
      </w:pPr>
      <w:r>
        <w:rPr>
          <w:b/>
        </w:rPr>
        <w:t>减少返工</w:t>
      </w:r>
      <w:r>
        <w:t>：CI 和本地联调提前发现参数、握手、变量名和状态等待问题。</w:t>
      </w:r>
    </w:p>
    <w:p>
      <w:pPr>
        <w:pStyle w:val="IntenseQuote"/>
      </w:pPr>
      <w:r>
        <w:t>SOP 不是额外流程，而是嵌入 UniLab 的开发链路。开发、联调、测试、前端展示都围绕同一套设备 action 运转。</w:t>
      </w:r>
    </w:p>
    <w:p>
      <w:pPr>
        <w:pStyle w:val="Heading1"/>
      </w:pPr>
      <w:r>
        <w:t>4. CI 设计：用虚拟硬件提前验证真实链路</w:t>
      </w:r>
    </w:p>
    <w:p>
      <w:r>
        <w:t>当前 CI 的价值不只是跑 Python 单测，而是把设备开发中最容易出问题的 OPC UA 通信、PLC 变量握手和 action 执行过程放进自动化验证中。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01180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i_three_proces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0118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CI 三进程验证链路</w:t>
      </w:r>
    </w:p>
    <w:p>
      <w:r>
        <w:t>CI 中的关键角色：</w:t>
      </w:r>
    </w:p>
    <w:p>
      <w:pPr>
        <w:pStyle w:val="ListBullet"/>
      </w:pPr>
      <w:r>
        <w:rPr>
          <w:b/>
        </w:rPr>
        <w:t>OPC UA 虚拟服务进程</w:t>
      </w:r>
      <w:r>
        <w:t>：根据 CSV 暴露虚拟 PLC 变量，模拟真实设备通信入口。</w:t>
      </w:r>
    </w:p>
    <w:p>
      <w:pPr>
        <w:pStyle w:val="ListBullet"/>
      </w:pPr>
      <w:r>
        <w:rPr>
          <w:b/>
        </w:rPr>
        <w:t>状态守护进程</w:t>
      </w:r>
      <w:r>
        <w:t>：根据 flow 规则监听变量变化，模拟 PLC 或设备的状态推进。</w:t>
      </w:r>
    </w:p>
    <w:p>
      <w:pPr>
        <w:pStyle w:val="ListBullet"/>
      </w:pPr>
      <w:r>
        <w:rPr>
          <w:b/>
        </w:rPr>
        <w:t>设备 action 测试进程</w:t>
      </w:r>
      <w:r>
        <w:t>：运行 pytest，调用真实设备 action，检查写入、等待、完成信号和异常处理。</w:t>
      </w:r>
    </w:p>
    <w:p>
      <w:r>
        <w:t>当前仓库已有的 CI 链路包括：</w:t>
      </w:r>
    </w:p>
    <w:p>
      <w:pPr>
        <w:pStyle w:val="ListBullet"/>
      </w:pPr>
      <w:r>
        <w:t>容器化运行环境，减少开发机差异。</w:t>
      </w:r>
    </w:p>
    <w:p>
      <w:pPr>
        <w:pStyle w:val="ListBullet"/>
      </w:pPr>
      <w:r>
        <w:t>flake8 和全量 pytest。</w:t>
      </w:r>
    </w:p>
    <w:p>
      <w:pPr>
        <w:pStyle w:val="ListBullet"/>
      </w:pPr>
      <w:r>
        <w:t>SZLab 专项测试。</w:t>
      </w:r>
    </w:p>
    <w:p>
      <w:pPr>
        <w:pStyle w:val="ListBullet"/>
      </w:pPr>
      <w:r>
        <w:t>OPC UA 集成 manifest，统一启动虚拟服务、守护进程和 action 测试。</w:t>
      </w:r>
    </w:p>
    <w:p>
      <w:pPr>
        <w:pStyle w:val="ListBullet"/>
      </w:pPr>
      <w:r>
        <w:t>运行结束后输出虚拟服务和守护进程日志，便于定位失败原因。</w:t>
      </w:r>
    </w:p>
    <w:p>
      <w:r>
        <w:t>核心价值：</w:t>
      </w:r>
    </w:p>
    <w:p>
      <w:pPr>
        <w:pStyle w:val="ListBullet"/>
      </w:pPr>
      <w:r>
        <w:rPr>
          <w:b/>
        </w:rPr>
        <w:t>减少真实设备占用</w:t>
      </w:r>
      <w:r>
        <w:t>：很多通信和状态机问题可以在 CI 中提前发现。</w:t>
      </w:r>
    </w:p>
    <w:p>
      <w:pPr>
        <w:pStyle w:val="ListBullet"/>
      </w:pPr>
      <w:r>
        <w:rPr>
          <w:b/>
        </w:rPr>
        <w:t>提升回归信心</w:t>
      </w:r>
      <w:r>
        <w:t>：设备 action 改动后，可以验证是否破坏既有流程。</w:t>
      </w:r>
    </w:p>
    <w:p>
      <w:pPr>
        <w:pStyle w:val="ListBullet"/>
      </w:pPr>
      <w:r>
        <w:rPr>
          <w:b/>
        </w:rPr>
        <w:t>降低协作成本</w:t>
      </w:r>
      <w:r>
        <w:t>：不同设备负责人提交代码时，都进入同一套质量门禁。</w:t>
      </w:r>
    </w:p>
    <w:p>
      <w:pPr>
        <w:pStyle w:val="ListBullet"/>
      </w:pPr>
      <w:r>
        <w:rPr>
          <w:b/>
        </w:rPr>
        <w:t>利于问题定位</w:t>
      </w:r>
      <w:r>
        <w:t>：CI 日志保留变量变化和流程摘要，方便开发者快速判断是 action、变量名还是状态规则问题。</w:t>
      </w:r>
    </w:p>
    <w:p>
      <w:pPr>
        <w:pStyle w:val="IntenseQuote"/>
      </w:pPr>
      <w:r>
        <w:t>我们把“没有硬件就没法测”的问题前移了一步，用虚拟 OPC UA 和守护进程把设备联调的一部分纳入 CI。</w:t>
      </w:r>
    </w:p>
    <w:p>
      <w:pPr>
        <w:pStyle w:val="Heading1"/>
      </w:pPr>
      <w:r>
        <w:t>5. 本地联调工作台：让复杂设备流程可看、可跑、可定位</w:t>
      </w:r>
    </w:p>
    <w:p>
      <w:r>
        <w:t>SZLab 本地前端把设备 action、流程画布、运行控制、日志、OPC 变量变化和堆栈/物料状态集中到一个界面里，用于设备开发、流程联调和问题排查。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8862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cal_ui_workflow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88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真实前端截图：SZLab workflow 工作台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8862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cal_ui_dem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88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真实前端截图：S04/S05 联调 Demo</w:t>
      </w:r>
    </w:p>
    <w:p>
      <w:pPr>
        <w:pStyle w:val="IntenseQuote"/>
      </w:pPr>
      <w:r>
        <w:t>说明：第一张为当前 `szlab_robot_action_workflow` preset 的真实前端截图；第二张为带节点、站位摘要和运行状态的前端 demo 截图，适合在飞书文档中展示交互形态。</w:t>
      </w:r>
    </w:p>
    <w:p>
      <w:r>
        <w:t>已体现出的能力：</w:t>
      </w:r>
    </w:p>
    <w:p>
      <w:pPr>
        <w:pStyle w:val="ListBullet"/>
      </w:pPr>
      <w:r>
        <w:rPr>
          <w:b/>
        </w:rPr>
        <w:t>流程画布</w:t>
      </w:r>
      <w:r>
        <w:t>：通过 React Flow 组合设备 action，形成可视化流程。</w:t>
      </w:r>
    </w:p>
    <w:p>
      <w:pPr>
        <w:pStyle w:val="ListBullet"/>
      </w:pPr>
      <w:r>
        <w:rPr>
          <w:b/>
        </w:rPr>
        <w:t>起点续跑</w:t>
      </w:r>
      <w:r>
        <w:t>：可从指定节点开始运行，适合现场调试和失败后重试。</w:t>
      </w:r>
    </w:p>
    <w:p>
      <w:pPr>
        <w:pStyle w:val="ListBullet"/>
      </w:pPr>
      <w:r>
        <w:rPr>
          <w:b/>
        </w:rPr>
        <w:t>节点禁用</w:t>
      </w:r>
      <w:r>
        <w:t>：可跳过某个节点及其后续影响范围，用于局部验证。</w:t>
      </w:r>
    </w:p>
    <w:p>
      <w:pPr>
        <w:pStyle w:val="ListBullet"/>
      </w:pPr>
      <w:r>
        <w:rPr>
          <w:b/>
        </w:rPr>
        <w:t>参数编辑</w:t>
      </w:r>
      <w:r>
        <w:t>：双击节点编辑 action 参数，减少改 JSON 的成本。</w:t>
      </w:r>
    </w:p>
    <w:p>
      <w:pPr>
        <w:pStyle w:val="ListBullet"/>
      </w:pPr>
      <w:r>
        <w:rPr>
          <w:b/>
        </w:rPr>
        <w:t>日志分类</w:t>
      </w:r>
      <w:r>
        <w:t>：按流程、节点、OPC 采样、OPC 等待、结果和错误分类查看。</w:t>
      </w:r>
    </w:p>
    <w:p>
      <w:pPr>
        <w:pStyle w:val="ListBullet"/>
      </w:pPr>
      <w:r>
        <w:rPr>
          <w:b/>
        </w:rPr>
        <w:t>OPC 变量变化表</w:t>
      </w:r>
      <w:r>
        <w:t>：展示变量的 begin / goal / end，有助于判断动作是否真正写入并完成。</w:t>
      </w:r>
    </w:p>
    <w:p>
      <w:pPr>
        <w:pStyle w:val="ListBullet"/>
      </w:pPr>
      <w:r>
        <w:rPr>
          <w:b/>
        </w:rPr>
        <w:t>堆栈和站位摘要</w:t>
      </w:r>
      <w:r>
        <w:t>：把物料位置、槽位占用和站位状态放到同一界面中。</w:t>
      </w:r>
    </w:p>
    <w:p>
      <w:r>
        <w:t>核心价值：</w:t>
      </w:r>
    </w:p>
    <w:p>
      <w:pPr>
        <w:pStyle w:val="ListBullet"/>
      </w:pPr>
      <w:r>
        <w:rPr>
          <w:b/>
        </w:rPr>
        <w:t>调试效率高</w:t>
      </w:r>
      <w:r>
        <w:t>：开发者不需要在多个日志、CSV、JSON 和终端之间来回切换。</w:t>
      </w:r>
    </w:p>
    <w:p>
      <w:pPr>
        <w:pStyle w:val="ListBullet"/>
      </w:pPr>
      <w:r>
        <w:rPr>
          <w:b/>
        </w:rPr>
        <w:t>问题更容易定位</w:t>
      </w:r>
      <w:r>
        <w:t>：失败可以对应到具体节点、具体 OPC 变量和具体等待条件。</w:t>
      </w:r>
    </w:p>
    <w:p>
      <w:pPr>
        <w:pStyle w:val="ListBullet"/>
      </w:pPr>
      <w:r>
        <w:rPr>
          <w:b/>
        </w:rPr>
        <w:t>适合 AI 辅助排错</w:t>
      </w:r>
      <w:r>
        <w:t>：结构化日志、节点 ID、变量变化和 action 参数可以直接作为上下文输入，辅助定位问题。</w:t>
      </w:r>
    </w:p>
    <w:p>
      <w:pPr>
        <w:pStyle w:val="ListBullet"/>
      </w:pPr>
      <w:r>
        <w:rPr>
          <w:b/>
        </w:rPr>
        <w:t>降低现场联调风险</w:t>
      </w:r>
      <w:r>
        <w:t>：先在本地工作台验证局部流程，再上真实设备执行。</w:t>
      </w:r>
    </w:p>
    <w:p>
      <w:pPr>
        <w:pStyle w:val="IntenseQuote"/>
      </w:pPr>
      <w:r>
        <w:t>本地工作台把复杂设备流程从“黑盒执行”变成“可视化、可续跑、可定位”的工程工具。</w:t>
      </w:r>
    </w:p>
    <w:p>
      <w:pPr>
        <w:pStyle w:val="Heading1"/>
      </w:pPr>
      <w:r>
        <w:t>阶段性价值总结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rFonts w:ascii="Microsoft YaHei" w:hAnsi="Microsoft YaHei" w:eastAsia="Microsoft YaHei"/>
                <w:b/>
              </w:rPr>
              <w:t>方向</w:t>
            </w:r>
          </w:p>
        </w:tc>
        <w:tc>
          <w:tcPr>
            <w:tcW w:type="dxa" w:w="3360"/>
          </w:tcPr>
          <w:p>
            <w:r>
              <w:rPr>
                <w:rFonts w:ascii="Microsoft YaHei" w:hAnsi="Microsoft YaHei" w:eastAsia="Microsoft YaHei"/>
                <w:b/>
              </w:rPr>
              <w:t>阶段成果</w:t>
            </w:r>
          </w:p>
        </w:tc>
        <w:tc>
          <w:tcPr>
            <w:tcW w:type="dxa" w:w="3360"/>
          </w:tcPr>
          <w:p>
            <w:r>
              <w:rPr>
                <w:rFonts w:ascii="Microsoft YaHei" w:hAnsi="Microsoft YaHei" w:eastAsia="Microsoft YaHei"/>
                <w:b/>
              </w:rPr>
              <w:t>对项目的价值</w:t>
            </w:r>
          </w:p>
        </w:tc>
      </w:tr>
      <w:tr>
        <w:tc>
          <w:tcPr>
            <w:tcW w:type="dxa" w:w="3360"/>
          </w:tcPr>
          <w:p>
            <w:r>
              <w:rPr>
                <w:rFonts w:ascii="Microsoft YaHei" w:hAnsi="Microsoft YaHei" w:eastAsia="Microsoft YaHei"/>
              </w:rPr>
              <w:t>架构与 ELN</w:t>
            </w:r>
          </w:p>
        </w:tc>
        <w:tc>
          <w:tcPr>
            <w:tcW w:type="dxa" w:w="3360"/>
          </w:tcPr>
          <w:p>
            <w:r>
              <w:rPr>
                <w:rFonts w:ascii="Microsoft YaHei" w:hAnsi="Microsoft YaHei" w:eastAsia="Microsoft YaHei"/>
              </w:rPr>
              <w:t>配方、实验、记录和文件资产闭环设计</w:t>
            </w:r>
          </w:p>
        </w:tc>
        <w:tc>
          <w:tcPr>
            <w:tcW w:type="dxa" w:w="3360"/>
          </w:tcPr>
          <w:p>
            <w:r>
              <w:rPr>
                <w:rFonts w:ascii="Microsoft YaHei" w:hAnsi="Microsoft YaHei" w:eastAsia="Microsoft YaHei"/>
              </w:rPr>
              <w:t>统一研发数据口径</w:t>
            </w:r>
          </w:p>
        </w:tc>
      </w:tr>
      <w:tr>
        <w:tc>
          <w:tcPr>
            <w:tcW w:type="dxa" w:w="3360"/>
          </w:tcPr>
          <w:p>
            <w:r>
              <w:rPr>
                <w:rFonts w:ascii="Microsoft YaHei" w:hAnsi="Microsoft YaHei" w:eastAsia="Microsoft YaHei"/>
              </w:rPr>
              <w:t>私有化部署</w:t>
            </w:r>
          </w:p>
        </w:tc>
        <w:tc>
          <w:tcPr>
            <w:tcW w:type="dxa" w:w="3360"/>
          </w:tcPr>
          <w:p>
            <w:r>
              <w:rPr>
                <w:rFonts w:ascii="Microsoft YaHei" w:hAnsi="Microsoft YaHei" w:eastAsia="Microsoft YaHei"/>
              </w:rPr>
              <w:t>Gateway + Polymer Platform + MySQL + MinIO + 设备服务 / UniLabOS</w:t>
            </w:r>
          </w:p>
        </w:tc>
        <w:tc>
          <w:tcPr>
            <w:tcW w:type="dxa" w:w="3360"/>
          </w:tcPr>
          <w:p>
            <w:r>
              <w:rPr>
                <w:rFonts w:ascii="Microsoft YaHei" w:hAnsi="Microsoft YaHei" w:eastAsia="Microsoft YaHei"/>
              </w:rPr>
              <w:t>快速落地、低运维成本</w:t>
            </w:r>
          </w:p>
        </w:tc>
      </w:tr>
      <w:tr>
        <w:tc>
          <w:tcPr>
            <w:tcW w:type="dxa" w:w="3360"/>
          </w:tcPr>
          <w:p>
            <w:r>
              <w:rPr>
                <w:rFonts w:ascii="Microsoft YaHei" w:hAnsi="Microsoft YaHei" w:eastAsia="Microsoft YaHei"/>
              </w:rPr>
              <w:t>协作 SOP</w:t>
            </w:r>
          </w:p>
        </w:tc>
        <w:tc>
          <w:tcPr>
            <w:tcW w:type="dxa" w:w="3360"/>
          </w:tcPr>
          <w:p>
            <w:r>
              <w:rPr>
                <w:rFonts w:ascii="Microsoft YaHei" w:hAnsi="Microsoft YaHei" w:eastAsia="Microsoft YaHei"/>
              </w:rPr>
              <w:t>设备 action、registry、preset、CI 绑定</w:t>
            </w:r>
          </w:p>
        </w:tc>
        <w:tc>
          <w:tcPr>
            <w:tcW w:type="dxa" w:w="3360"/>
          </w:tcPr>
          <w:p>
            <w:r>
              <w:rPr>
                <w:rFonts w:ascii="Microsoft YaHei" w:hAnsi="Microsoft YaHei" w:eastAsia="Microsoft YaHei"/>
              </w:rPr>
              <w:t>多人并行开发且保持一致</w:t>
            </w:r>
          </w:p>
        </w:tc>
      </w:tr>
      <w:tr>
        <w:tc>
          <w:tcPr>
            <w:tcW w:type="dxa" w:w="3360"/>
          </w:tcPr>
          <w:p>
            <w:r>
              <w:rPr>
                <w:rFonts w:ascii="Microsoft YaHei" w:hAnsi="Microsoft YaHei" w:eastAsia="Microsoft YaHei"/>
              </w:rPr>
              <w:t>CI 验证</w:t>
            </w:r>
          </w:p>
        </w:tc>
        <w:tc>
          <w:tcPr>
            <w:tcW w:type="dxa" w:w="3360"/>
          </w:tcPr>
          <w:p>
            <w:r>
              <w:rPr>
                <w:rFonts w:ascii="Microsoft YaHei" w:hAnsi="Microsoft YaHei" w:eastAsia="Microsoft YaHei"/>
              </w:rPr>
              <w:t>虚拟 OPC UA + 守护进程 + action 测试</w:t>
            </w:r>
          </w:p>
        </w:tc>
        <w:tc>
          <w:tcPr>
            <w:tcW w:type="dxa" w:w="3360"/>
          </w:tcPr>
          <w:p>
            <w:r>
              <w:rPr>
                <w:rFonts w:ascii="Microsoft YaHei" w:hAnsi="Microsoft YaHei" w:eastAsia="Microsoft YaHei"/>
              </w:rPr>
              <w:t>提前发现设备联调问题</w:t>
            </w:r>
          </w:p>
        </w:tc>
      </w:tr>
      <w:tr>
        <w:tc>
          <w:tcPr>
            <w:tcW w:type="dxa" w:w="3360"/>
          </w:tcPr>
          <w:p>
            <w:r>
              <w:rPr>
                <w:rFonts w:ascii="Microsoft YaHei" w:hAnsi="Microsoft YaHei" w:eastAsia="Microsoft YaHei"/>
              </w:rPr>
              <w:t>本地工作台</w:t>
            </w:r>
          </w:p>
        </w:tc>
        <w:tc>
          <w:tcPr>
            <w:tcW w:type="dxa" w:w="3360"/>
          </w:tcPr>
          <w:p>
            <w:r>
              <w:rPr>
                <w:rFonts w:ascii="Microsoft YaHei" w:hAnsi="Microsoft YaHei" w:eastAsia="Microsoft YaHei"/>
              </w:rPr>
              <w:t>画布、日志、OPC 变量、续跑和禁用</w:t>
            </w:r>
          </w:p>
        </w:tc>
        <w:tc>
          <w:tcPr>
            <w:tcW w:type="dxa" w:w="3360"/>
          </w:tcPr>
          <w:p>
            <w:r>
              <w:rPr>
                <w:rFonts w:ascii="Microsoft YaHei" w:hAnsi="Microsoft YaHei" w:eastAsia="Microsoft YaHei"/>
              </w:rPr>
              <w:t>提升调试效率和问题定位能力</w:t>
            </w:r>
          </w:p>
        </w:tc>
      </w:tr>
    </w:tbl>
    <w:p>
      <w:pPr>
        <w:pStyle w:val="Heading1"/>
      </w:pPr>
      <w:r>
        <w:t>建议下一阶段</w:t>
      </w:r>
    </w:p>
    <w:p>
      <w:pPr>
        <w:pStyle w:val="ListNumber"/>
      </w:pPr>
      <w:r>
        <w:rPr>
          <w:b/>
        </w:rPr>
        <w:t>冻结 SZLab 设备 action 合同</w:t>
      </w:r>
      <w:r>
        <w:t>：明确每个设备 action 的参数、返回值、错误码和关键 OPC 变量。</w:t>
      </w:r>
    </w:p>
    <w:p>
      <w:pPr>
        <w:pStyle w:val="ListNumber"/>
      </w:pPr>
      <w:r>
        <w:rPr>
          <w:b/>
        </w:rPr>
        <w:t>补齐 SOP 文档模板</w:t>
      </w:r>
      <w:r>
        <w:t>：每个设备统一包含能力清单、调试 preset、CI 用例和常见问题。</w:t>
      </w:r>
    </w:p>
    <w:p>
      <w:pPr>
        <w:pStyle w:val="ListNumber"/>
      </w:pPr>
      <w:r>
        <w:rPr>
          <w:b/>
        </w:rPr>
        <w:t>打通 ELN 与设备结果</w:t>
      </w:r>
      <w:r>
        <w:t>：优先把照片、日志和关键结果文件挂接到实验记录。</w:t>
      </w:r>
    </w:p>
    <w:p>
      <w:pPr>
        <w:pStyle w:val="ListNumber"/>
      </w:pPr>
      <w:r>
        <w:rPr>
          <w:b/>
        </w:rPr>
        <w:t>完善私有化部署包</w:t>
      </w:r>
      <w:r>
        <w:t>：形成 `.env.example`、启动脚本、健康检查和备份说明。</w:t>
      </w:r>
    </w:p>
    <w:p>
      <w:pPr>
        <w:pStyle w:val="ListNumber"/>
      </w:pPr>
      <w:r>
        <w:rPr>
          <w:b/>
        </w:rPr>
        <w:t>沉淀汇报演示数据</w:t>
      </w:r>
      <w:r>
        <w:t>：准备一个可稳定复现的端到端 demo，用于后续飞书文档和现场展示。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SZLab 阶段性工作汇报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