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rPr>
          <w:b/>
          <w:bCs/>
        </w:rPr>
        <w:t xml:space="preserve">Structural bioinformatics</w:t>
      </w:r>
    </w:p>
    <w:bookmarkStart w:id="25" w:name="X32f9384308fffd6da93cfa87d2db732cab9912d"/>
    <w:p>
      <w:pPr>
        <w:pStyle w:val="Heading1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t xml:space="preserve">Joonhyeok Choi</w:t>
      </w:r>
      <w:r>
        <w:t xml:space="preserve"> </w:t>
      </w:r>
      <w:r>
        <w:rPr>
          <w:vertAlign w:val="superscript"/>
        </w:rPr>
        <w:t xml:space="preserve">1,2,†</w:t>
      </w:r>
      <w:r>
        <w:t xml:space="preserve">, Sang-Yeop Lee</w:t>
      </w:r>
      <w:r>
        <w:t xml:space="preserve"> </w:t>
      </w:r>
      <w:r>
        <w:rPr>
          <w:vertAlign w:val="superscript"/>
        </w:rPr>
        <w:t xml:space="preserve">3,4,†</w:t>
      </w:r>
      <w:r>
        <w:t xml:space="preserve">, Sooho Koh</w:t>
      </w:r>
      <w:r>
        <w:t xml:space="preserve"> </w:t>
      </w:r>
      <w:r>
        <w:rPr>
          <w:vertAlign w:val="superscript"/>
        </w:rPr>
        <w:t xml:space="preserve">1</w:t>
      </w:r>
      <w:r>
        <w:t xml:space="preserve">, Minjune Yang</w:t>
      </w:r>
      <w:r>
        <w:t xml:space="preserve"> </w:t>
      </w:r>
      <w:r>
        <w:rPr>
          <w:vertAlign w:val="superscript"/>
        </w:rPr>
        <w:t xml:space="preserve">1</w:t>
      </w:r>
      <w:r>
        <w:t xml:space="preserve">, Kyoung-Seok Ryu</w:t>
      </w:r>
      <w:r>
        <w:t xml:space="preserve"> </w:t>
      </w:r>
      <w:r>
        <w:rPr>
          <w:vertAlign w:val="superscript"/>
        </w:rPr>
        <w:t xml:space="preserve">1,4</w:t>
      </w:r>
      <w:r>
        <w:t xml:space="preserve">, Donghan Lee</w:t>
      </w:r>
      <w:r>
        <w:t xml:space="preserve"> </w:t>
      </w:r>
      <w:r>
        <w:rPr>
          <w:vertAlign w:val="superscript"/>
        </w:rPr>
        <w:t xml:space="preserve">1,4,*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Center for Protein Structure and Drug Mechanism Research, Korea Basic Science Institute, Cheongju, 28119, Republic of Korea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Department of Applied Pharmacy, College of Pharmacy, Chungbuk National University, Cheongju, 28160, Republic of Korea</w:t>
      </w:r>
    </w:p>
    <w:p>
      <w:pPr>
        <w:pStyle w:val="BodyText"/>
      </w:pPr>
      <w:r>
        <w:rPr>
          <w:vertAlign w:val="superscript"/>
        </w:rPr>
        <w:t xml:space="preserve">3</w:t>
      </w:r>
      <w:r>
        <w:t xml:space="preserve"> </w:t>
      </w:r>
      <w:r>
        <w:t xml:space="preserve">Center for Target-to-Therapeutics Research, Korea Basic Science Institute, Cheongju, 28119, Republic of Korea</w:t>
      </w:r>
    </w:p>
    <w:p>
      <w:pPr>
        <w:pStyle w:val="BodyText"/>
      </w:pPr>
      <w:r>
        <w:rPr>
          <w:vertAlign w:val="superscript"/>
        </w:rPr>
        <w:t xml:space="preserve">4</w:t>
      </w:r>
      <w:r>
        <w:t xml:space="preserve"> </w:t>
      </w:r>
      <w:r>
        <w:t xml:space="preserve">Department of Convergent Analytical Science, University of Science and Technology, Daejeon, 34113, Republic of Korea</w:t>
      </w:r>
    </w:p>
    <w:p>
      <w:pPr>
        <w:pStyle w:val="BodyText"/>
      </w:pPr>
      <w:r>
        <w:rPr>
          <w:vertAlign w:val="superscript"/>
        </w:rPr>
        <w:t xml:space="preserve">*</w:t>
      </w:r>
      <w:r>
        <w:t xml:space="preserve"> </w:t>
      </w:r>
      <w:r>
        <w:t xml:space="preserve">Corresponding author. Donghan Lee, Center for Protein Structure and Drug Mechanism Research, Korea Basic Science Institute, Cheongju, 28119, Republic of Korea; Department of Convergent Analytical Science, University of Science and Technology, Daejeon, 34113, Republic of Korea (dlee04@kbsi.re.kr)</w:t>
      </w:r>
    </w:p>
    <w:p>
      <w:pPr>
        <w:pStyle w:val="BodyText"/>
      </w:pPr>
      <w:r>
        <w:rPr>
          <w:vertAlign w:val="superscript"/>
        </w:rPr>
        <w:t xml:space="preserve">†</w:t>
      </w:r>
      <w:r>
        <w:t xml:space="preserve"> </w:t>
      </w:r>
      <w:r>
        <w:t xml:space="preserve">These authors contributed equally.</w:t>
      </w:r>
    </w:p>
    <w:p>
      <w:pPr>
        <w:pStyle w:val="BodyText"/>
      </w:pPr>
      <w:r>
        <w:t xml:space="preserve">Associate Editor: (to be assigned)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Automated assignment of methyl NMR probes in large proteins is</w:t>
      </w:r>
      <w:r>
        <w:t xml:space="preserve"> </w:t>
      </w:r>
      <w:r>
        <w:t xml:space="preserve">approached in two irreconcilable ways: as a constraint-satisfaction problem</w:t>
      </w:r>
      <w:r>
        <w:t xml:space="preserve"> </w:t>
      </w:r>
      <w:r>
        <w:t xml:space="preserve">(MAUS), which returns for every peak the set of methyls consistent with all hard</w:t>
      </w:r>
      <w:r>
        <w:t xml:space="preserve"> </w:t>
      </w:r>
      <w:r>
        <w:t xml:space="preserve">constraints and provably never excludes the correct one, but abstains on any</w:t>
      </w:r>
      <w:r>
        <w:t xml:space="preserve"> </w:t>
      </w:r>
      <w:r>
        <w:t xml:space="preserve">residual degeneracy; and as a scoring problem (MAGIC), which commits to a single</w:t>
      </w:r>
      <w:r>
        <w:t xml:space="preserve"> </w:t>
      </w:r>
      <w:r>
        <w:t xml:space="preserve">best assignment but, over the full candidate space, does so on a near-flat</w:t>
      </w:r>
      <w:r>
        <w:t xml:space="preserve"> </w:t>
      </w:r>
      <w:r>
        <w:t xml:space="preserve">objective and is frequently wrong. We present</w:t>
      </w:r>
      <w:r>
        <w:t xml:space="preserve"> </w:t>
      </w:r>
      <w:r>
        <w:rPr>
          <w:b/>
          <w:bCs/>
        </w:rPr>
        <w:t xml:space="preserve">magicmaus</w:t>
      </w:r>
      <w:r>
        <w:t xml:space="preserve">, a hybrid that uses</w:t>
      </w:r>
      <w:r>
        <w:t xml:space="preserve"> </w:t>
      </w:r>
      <w:r>
        <w:t xml:space="preserve">the satisfiability layer to bound the search to a certifiably truth-containing</w:t>
      </w:r>
      <w:r>
        <w:t xml:space="preserve"> </w:t>
      </w:r>
      <w:r>
        <w:t xml:space="preserve">set of per-peak candidates, then applies an intensity-weighted NOE score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those bounds to commit to a single, globally coherent, injective assignment</w:t>
      </w:r>
      <w:r>
        <w:t xml:space="preserve"> </w:t>
      </w:r>
      <w:r>
        <w:t xml:space="preserve">carrying a per-peak confidence tier. Across seven benchmark targets (43–257</w:t>
      </w:r>
      <w:r>
        <w:t xml:space="preserve"> </w:t>
      </w:r>
      <w:r>
        <w:t xml:space="preserve">methyls) built from real shifts and structures, magicmaus commits a single</w:t>
      </w:r>
      <w:r>
        <w:t xml:space="preserve"> </w:t>
      </w:r>
      <w:r>
        <w:t xml:space="preserve">answer for every peak at 29–100% methyl-level accuracy — up to an order of</w:t>
      </w:r>
      <w:r>
        <w:t xml:space="preserve"> </w:t>
      </w:r>
      <w:r>
        <w:t xml:space="preserve">magnitude above the scoring method — while retaining the constraint method’s</w:t>
      </w:r>
      <w:r>
        <w:t xml:space="preserve"> </w:t>
      </w:r>
      <w:r>
        <w:t xml:space="preserve">100% never-exclude guarantee as an explicit ambiguity envelope. On</w:t>
      </w:r>
      <w:r>
        <w:t xml:space="preserve"> </w:t>
      </w:r>
      <w:r>
        <w:t xml:space="preserve">maltose-binding protein (192 methyls) it assigns 87.0% of methyls correctly</w:t>
      </w:r>
      <w:r>
        <w:t xml:space="preserve"> </w:t>
      </w:r>
      <w:r>
        <w:t xml:space="preserve">(87.5% with ambiguous-NOE evidence) versus 5.7% for scoring alone.</w:t>
      </w:r>
    </w:p>
    <w:p>
      <w:pPr>
        <w:pStyle w:val="BodyText"/>
      </w:pPr>
      <w:r>
        <w:rPr>
          <w:b/>
          <w:bCs/>
        </w:rPr>
        <w:t xml:space="preserve">Availability and implementation:</w:t>
      </w:r>
      <w:r>
        <w:t xml:space="preserve"> </w:t>
      </w:r>
      <w:r>
        <w:t xml:space="preserve">magicmaus is implemented in Python 3 (NumPy,</w:t>
      </w:r>
      <w:r>
        <w:t xml:space="preserve"> </w:t>
      </w:r>
      <w:r>
        <w:t xml:space="preserve">PySAT) and released under the MIT license at</w:t>
      </w:r>
      <w:r>
        <w:t xml:space="preserve"> </w:t>
      </w:r>
      <w:hyperlink r:id="rId9">
        <w:r>
          <w:rPr>
            <w:rStyle w:val="Hyperlink"/>
          </w:rPr>
          <w:t xml:space="preserve">https://github.com/deepnmr/magicmaus</w:t>
        </w:r>
      </w:hyperlink>
      <w:r>
        <w:t xml:space="preserve">, with tutorials and the benchmark data.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dlee04@kbsi.re.kr</w:t>
      </w:r>
    </w:p>
    <w:p>
      <w:r>
        <w:pict>
          <v:rect style="width:0;height:1.5pt" o:hralign="center" o:hrstd="t" o:hr="t"/>
        </w:pict>
      </w:r>
    </w:p>
    <w:bookmarkEnd w:id="10"/>
    <w:bookmarkStart w:id="1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Methyl groups are the workhorse probes of solution NMR on large proteins and</w:t>
      </w:r>
      <w:r>
        <w:t xml:space="preserve"> </w:t>
      </w:r>
      <w:r>
        <w:t xml:space="preserve">molecular machines. Selective</w:t>
      </w:r>
      <w:r>
        <w:t xml:space="preserve"> </w:t>
      </w:r>
      <w:r>
        <w:rPr>
          <w:vertAlign w:val="superscript"/>
        </w:rPr>
        <w:t xml:space="preserve">13</w:t>
      </w:r>
      <w:r>
        <w:t xml:space="preserve">CH</w:t>
      </w:r>
      <w:r>
        <w:rPr>
          <w:vertAlign w:val="subscript"/>
        </w:rPr>
        <w:t xml:space="preserve">3</w:t>
      </w:r>
      <w:r>
        <w:t xml:space="preserve"> </w:t>
      </w:r>
      <w:r>
        <w:t xml:space="preserve">labelling of Ile/Leu/Val (and Ala, Met,</w:t>
      </w:r>
      <w:r>
        <w:t xml:space="preserve"> </w:t>
      </w:r>
      <w:r>
        <w:t xml:space="preserve">Thr) methyls on a perdeuterated background (Tugarinov and Kay, 2004), combined</w:t>
      </w:r>
      <w:r>
        <w:t xml:space="preserve"> </w:t>
      </w:r>
      <w:r>
        <w:t xml:space="preserve">with methyl-TROSY spectroscopy, yields sharp signals well beyond 100 kDa and up</w:t>
      </w:r>
      <w:r>
        <w:t xml:space="preserve"> </w:t>
      </w:r>
      <w:r>
        <w:t xml:space="preserve">to the ~1 MDa regime (Tugarinov</w:t>
      </w:r>
      <w:r>
        <w:t xml:space="preserve"> </w:t>
      </w:r>
      <w:r>
        <w:rPr>
          <w:i/>
          <w:iCs/>
        </w:rPr>
        <w:t xml:space="preserve">et al.</w:t>
      </w:r>
      <w:r>
        <w:t xml:space="preserve">, 2003; Rosenzweig and Kay, 2014).</w:t>
      </w:r>
      <w:r>
        <w:t xml:space="preserve"> </w:t>
      </w:r>
      <w:r>
        <w:t xml:space="preserve">Exploiting these probes requires assigning each observed methyl</w:t>
      </w:r>
      <w:r>
        <w:t xml:space="preserve"> </w:t>
      </w:r>
      <w:r>
        <w:rPr>
          <w:vertAlign w:val="superscript"/>
        </w:rPr>
        <w:t xml:space="preserve">1</w:t>
      </w:r>
      <w:r>
        <w:t xml:space="preserve">H/</w:t>
      </w:r>
      <w:r>
        <w:rPr>
          <w:vertAlign w:val="superscript"/>
        </w:rPr>
        <w:t xml:space="preserve">13</w:t>
      </w:r>
      <w:r>
        <w:t xml:space="preserve">C HMQC</w:t>
      </w:r>
      <w:r>
        <w:t xml:space="preserve"> </w:t>
      </w:r>
      <w:r>
        <w:t xml:space="preserve">cross peak to a specific methyl in the protein structure — a laborious,</w:t>
      </w:r>
      <w:r>
        <w:t xml:space="preserve"> </w:t>
      </w:r>
      <w:r>
        <w:t xml:space="preserve">error-prone step widely regarded as the principal bottleneck of methyl NMR, which</w:t>
      </w:r>
      <w:r>
        <w:t xml:space="preserve"> </w:t>
      </w:r>
      <w:r>
        <w:t xml:space="preserve">has motivated a family of automated, structure-based methods that match an</w:t>
      </w:r>
      <w:r>
        <w:t xml:space="preserve"> </w:t>
      </w:r>
      <w:r>
        <w:t xml:space="preserve">experimental methyl–methyl NOE network onto the contact graph of a known</w:t>
      </w:r>
      <w:r>
        <w:t xml:space="preserve"> </w:t>
      </w:r>
      <w:r>
        <w:t xml:space="preserve">structure (reviewed in 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2020).</w:t>
      </w:r>
    </w:p>
    <w:p>
      <w:pPr>
        <w:pStyle w:val="BodyText"/>
      </w:pPr>
      <w:r>
        <w:t xml:space="preserve">These methods differ chiefly in how they treat residual ambiguity, and magicmaus</w:t>
      </w:r>
      <w:r>
        <w:t xml:space="preserve"> </w:t>
      </w:r>
      <w:r>
        <w:t xml:space="preserve">builds on one representative of each of two paradigms.</w:t>
      </w:r>
      <w:r>
        <w:t xml:space="preserve"> </w:t>
      </w:r>
      <w:r>
        <w:rPr>
          <w:b/>
          <w:bCs/>
        </w:rPr>
        <w:t xml:space="preserve">MAGIC</w:t>
      </w:r>
      <w:r>
        <w:t xml:space="preserve"> </w:t>
      </w:r>
      <w:r>
        <w:t xml:space="preserve">(Monneau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, 2017) scores a global peak→methyl map with a confidence-weighted NOE</w:t>
      </w:r>
      <w:r>
        <w:t xml:space="preserve"> </w:t>
      </w:r>
      <w:r>
        <w:t xml:space="preserve">objective and returns the highest scorer — a single answer per peak.</w:t>
      </w:r>
      <w:r>
        <w:t xml:space="preserve"> </w:t>
      </w:r>
      <w:r>
        <w:rPr>
          <w:b/>
          <w:bCs/>
        </w:rPr>
        <w:t xml:space="preserve">MAUS</w:t>
      </w:r>
      <w:r>
        <w:t xml:space="preserve"> </w:t>
      </w:r>
      <w:r>
        <w:t xml:space="preserve">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following the graph-matching formulation of MAGMA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 but recast as Boolean satisfiability and solved with</w:t>
      </w:r>
      <w:r>
        <w:t xml:space="preserve"> </w:t>
      </w:r>
      <w:r>
        <w:t xml:space="preserve">a SAT solver — returns for each peak the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of methyls consistent with every</w:t>
      </w:r>
      <w:r>
        <w:t xml:space="preserve"> </w:t>
      </w:r>
      <w:r>
        <w:t xml:space="preserve">hard constraint, provably never excluding the correct assignment. Other tools</w:t>
      </w:r>
      <w:r>
        <w:t xml:space="preserve"> </w:t>
      </w:r>
      <w:r>
        <w:t xml:space="preserve">occupy intermediate points but demand richer experimental input; MethylFLYA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2019), for instance, reaches ~1% error by consensus over</w:t>
      </w:r>
      <w:r>
        <w:t xml:space="preserve"> </w:t>
      </w:r>
      <w:r>
        <w:t xml:space="preserve">many statistical runs on multi-spectrum data.</w:t>
      </w:r>
    </w:p>
    <w:p>
      <w:pPr>
        <w:pStyle w:val="BodyText"/>
      </w:pPr>
      <w:r>
        <w:t xml:space="preserve">The two have complementary failure modes. MAUS is safe but indecisive: where the</w:t>
      </w:r>
      <w:r>
        <w:t xml:space="preserve"> </w:t>
      </w:r>
      <w:r>
        <w:t xml:space="preserve">data do not force a unique answer — geminal methyl pairs, shift-degenerate peaks</w:t>
      </w:r>
      <w:r>
        <w:t xml:space="preserve"> </w:t>
      </w:r>
      <w:r>
        <w:t xml:space="preserve">— it reports the full option set and commits to nothing. MAGIC is decisive but,</w:t>
      </w:r>
      <w:r>
        <w:t xml:space="preserve"> </w:t>
      </w:r>
      <w:r>
        <w:t xml:space="preserve">searching the entire type-matched candidate space, sits on an objective whose</w:t>
      </w:r>
      <w:r>
        <w:t xml:space="preserve"> </w:t>
      </w:r>
      <w:r>
        <w:t xml:space="preserve">runner-up assignments lie within ~1–2% of the true optimum on structure-derived</w:t>
      </w:r>
      <w:r>
        <w:t xml:space="preserve"> </w:t>
      </w:r>
      <w:r>
        <w:t xml:space="preserve">NOE data (Monneau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2017), so its bounded search commits to</w:t>
      </w:r>
      <w:r>
        <w:t xml:space="preserve"> </w:t>
      </w:r>
      <w:r>
        <w:t xml:space="preserve">near-optimal-but-wrong answers for most peaks. Neither is dominant. We show that</w:t>
      </w:r>
      <w:r>
        <w:t xml:space="preserve"> </w:t>
      </w:r>
      <w:r>
        <w:t xml:space="preserve">the natural synthesis — bound the space with certainty, then score within the</w:t>
      </w:r>
      <w:r>
        <w:t xml:space="preserve"> </w:t>
      </w:r>
      <w:r>
        <w:t xml:space="preserve">residual degeneracy — is both simple and decisively better than either parent.</w:t>
      </w:r>
    </w:p>
    <w:bookmarkEnd w:id="11"/>
    <w:bookmarkStart w:id="12" w:name="approach"/>
    <w:p>
      <w:pPr>
        <w:pStyle w:val="Heading2"/>
      </w:pPr>
      <w:r>
        <w:t xml:space="preserve">2 Approach</w:t>
      </w:r>
    </w:p>
    <w:p>
      <w:pPr>
        <w:pStyle w:val="FirstParagraph"/>
      </w:pPr>
      <w:r>
        <w:t xml:space="preserve">magicmaus runs the two layers in sequence (Fig. 1A).</w:t>
      </w:r>
    </w:p>
    <w:p>
      <w:pPr>
        <w:pStyle w:val="BodyText"/>
      </w:pPr>
      <w:r>
        <w:rPr>
          <w:b/>
          <w:bCs/>
        </w:rPr>
        <w:t xml:space="preserve">Layer 1 (bound).</w:t>
      </w:r>
      <w:r>
        <w:t xml:space="preserve"> </w:t>
      </w:r>
      <w:r>
        <w:t xml:space="preserve">The MAUS SAT encoding is reused verbatim: variables map each</w:t>
      </w:r>
      <w:r>
        <w:t xml:space="preserve"> </w:t>
      </w:r>
      <w:r>
        <w:t xml:space="preserve">HMQC peak to a candidate methyl of the matching residue type; hard clauses</w:t>
      </w:r>
      <w:r>
        <w:t xml:space="preserve"> </w:t>
      </w:r>
      <w:r>
        <w:t xml:space="preserve">enforce exactly-one assignment per peak, injectivity, and that every firm NOE</w:t>
      </w:r>
      <w:r>
        <w:t xml:space="preserve"> </w:t>
      </w:r>
      <w:r>
        <w:t xml:space="preserve">cross peak lands on a structural contact within the distance cutoff. For each</w:t>
      </w:r>
      <w:r>
        <w:t xml:space="preserve"> </w:t>
      </w:r>
      <w:r>
        <w:t xml:space="preserve">peak the set of methyls appearing in at least one satisfying assignment is</w:t>
      </w:r>
      <w:r>
        <w:t xml:space="preserve"> </w:t>
      </w:r>
      <w:r>
        <w:t xml:space="preserve">enumerated with the solver’s assumption interface (Glucose, Audemard and Simon,</w:t>
      </w:r>
      <w:r>
        <w:t xml:space="preserve"> </w:t>
      </w:r>
      <w:r>
        <w:t xml:space="preserve">2009, via PySAT, Ignatiev</w:t>
      </w:r>
      <w:r>
        <w:t xml:space="preserve"> </w:t>
      </w:r>
      <w:r>
        <w:rPr>
          <w:i/>
          <w:iCs/>
        </w:rPr>
        <w:t xml:space="preserve">et al.</w:t>
      </w:r>
      <w:r>
        <w:t xml:space="preserve">, 2018). Because the correct global assignment is itself a model, the true methyl</w:t>
      </w:r>
      <w:r>
        <w:t xml:space="preserve"> </w:t>
      </w:r>
      <w:r>
        <w:t xml:space="preserve">is present in every peak’s option set — the</w:t>
      </w:r>
      <w:r>
        <w:t xml:space="preserve"> </w:t>
      </w:r>
      <w:r>
        <w:rPr>
          <w:i/>
          <w:iCs/>
        </w:rPr>
        <w:t xml:space="preserve">never-exclude</w:t>
      </w:r>
      <w:r>
        <w:t xml:space="preserve"> </w:t>
      </w:r>
      <w:r>
        <w:t xml:space="preserve">guarantee — and the</w:t>
      </w:r>
      <w:r>
        <w:t xml:space="preserve"> </w:t>
      </w:r>
      <w:r>
        <w:t xml:space="preserve">option sets prune each peak’s candidates from up to ~60 to typically 1–3. This is</w:t>
      </w:r>
      <w:r>
        <w:t xml:space="preserve"> </w:t>
      </w:r>
      <w:r>
        <w:t xml:space="preserve">also why the tempting shortcut of assigning a peak to the last unclaimed methyl of</w:t>
      </w:r>
      <w:r>
        <w:t xml:space="preserve"> </w:t>
      </w:r>
      <w:r>
        <w:t xml:space="preserve">its type is unsound: the structure routinely carries many more methyls of a type</w:t>
      </w:r>
      <w:r>
        <w:t xml:space="preserve"> </w:t>
      </w:r>
      <w:r>
        <w:t xml:space="preserve">than are observed (REC3, for instance, has 292 Leu methyls but only 50 Leu peaks),</w:t>
      </w:r>
      <w:r>
        <w:t xml:space="preserve"> </w:t>
      </w:r>
      <w:r>
        <w:t xml:space="preserve">so an unclaimed methyl may simply be unobserved rather than the peak’s answer.</w:t>
      </w:r>
      <w:r>
        <w:t xml:space="preserve"> </w:t>
      </w:r>
      <w:r>
        <w:t xml:space="preserve">Because MAUS models a methyl as free to go unassigned, its enumeration already</w:t>
      </w:r>
      <w:r>
        <w:t xml:space="preserve"> </w:t>
      </w:r>
      <w:r>
        <w:t xml:space="preserve">performs every elimination that injectivity licenses — but no more — and thereby</w:t>
      </w:r>
      <w:r>
        <w:t xml:space="preserve"> </w:t>
      </w:r>
      <w:r>
        <w:t xml:space="preserve">keeps the truth in the set instead of forcing a wrong pin.</w:t>
      </w:r>
    </w:p>
    <w:p>
      <w:pPr>
        <w:pStyle w:val="BodyText"/>
      </w:pPr>
      <w:r>
        <w:rPr>
          <w:b/>
          <w:bCs/>
        </w:rPr>
        <w:t xml:space="preserve">Layer 2 (commit).</w:t>
      </w:r>
      <w:r>
        <w:t xml:space="preserve"> </w:t>
      </w:r>
      <w:r>
        <w:t xml:space="preserve">The per-peak option sets are enumerated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, so</w:t>
      </w:r>
      <w:r>
        <w:t xml:space="preserve"> </w:t>
      </w:r>
      <w:r>
        <w:t xml:space="preserve">their product is not jointly realizable and does not identify a single best map.</w:t>
      </w:r>
      <w:r>
        <w:t xml:space="preserve"> </w:t>
      </w:r>
      <w:r>
        <w:t xml:space="preserve">This is precisely the question a score answers. Restricting every peak’s domain</w:t>
      </w:r>
      <w:r>
        <w:t xml:space="preserve"> </w:t>
      </w:r>
      <w:r>
        <w:t xml:space="preserve">to its option set — which removes only methyls appearing in no satisfying map,</w:t>
      </w:r>
      <w:r>
        <w:t xml:space="preserve"> </w:t>
      </w:r>
      <w:r>
        <w:t xml:space="preserve">and so preserves the solution space and the truth — magicmaus obtains one</w:t>
      </w:r>
      <w:r>
        <w:t xml:space="preserve"> </w:t>
      </w:r>
      <w:r>
        <w:t xml:space="preserve">jointly-consistent assignment from the SAT solver and refines it by</w:t>
      </w:r>
      <w:r>
        <w:t xml:space="preserve"> </w:t>
      </w:r>
      <w:r>
        <w:t xml:space="preserve">feasibility-preserving search on a MAGIC-style objective: each firm NOE</w:t>
      </w:r>
      <w:r>
        <w:t xml:space="preserve"> </w:t>
      </w:r>
      <w:r>
        <w:t xml:space="preserve">contributes intensity·(1/r</w:t>
      </w:r>
      <w:r>
        <w:rPr>
          <w:vertAlign w:val="superscript"/>
        </w:rPr>
        <w:t xml:space="preserve">6</w:t>
      </w:r>
      <w:r>
        <w:t xml:space="preserve">) for the structural contact it is placed on, so a</w:t>
      </w:r>
      <w:r>
        <w:t xml:space="preserve"> </w:t>
      </w:r>
      <w:r>
        <w:t xml:space="preserve">strong NOE is driven onto a close contact. A plain greedy ascent settles into the</w:t>
      </w:r>
      <w:r>
        <w:t xml:space="preserve"> </w:t>
      </w:r>
      <w:r>
        <w:t xml:space="preserve">nearest local optimum, which on the near-flat MAGIC landscape lies 10–20% below</w:t>
      </w:r>
      <w:r>
        <w:t xml:space="preserve"> </w:t>
      </w:r>
      <w:r>
        <w:t xml:space="preserve">the truth’s objective; magicmaus instead runs simulated annealing over three</w:t>
      </w:r>
      <w:r>
        <w:t xml:space="preserve"> </w:t>
      </w:r>
      <w:r>
        <w:t xml:space="preserve">feasibility-preserving move classes — relocate, pairwise swap, and three-cycle</w:t>
      </w:r>
      <w:r>
        <w:t xml:space="preserve"> </w:t>
      </w:r>
      <w:r>
        <w:t xml:space="preserve">rotation — the last being essential, since a swap requires the displaced methyl to</w:t>
      </w:r>
      <w:r>
        <w:t xml:space="preserve"> </w:t>
      </w:r>
      <w:r>
        <w:t xml:space="preserve">lie in its partner’s option set and stalls in the tightly coupled Leu/Val graphs</w:t>
      </w:r>
      <w:r>
        <w:t xml:space="preserve"> </w:t>
      </w:r>
      <w:r>
        <w:t xml:space="preserve">that rotations traverse. The best annealed state is polished by a final greedy</w:t>
      </w:r>
      <w:r>
        <w:t xml:space="preserve"> </w:t>
      </w:r>
      <w:r>
        <w:t xml:space="preserve">ascent. Every move stays injective and NOE-consistent, so the output is always a</w:t>
      </w:r>
      <w:r>
        <w:t xml:space="preserve"> </w:t>
      </w:r>
      <w:r>
        <w:t xml:space="preserve">valid bijection — a property a naïve per-cluster search cannot guarantee on the</w:t>
      </w:r>
      <w:r>
        <w:t xml:space="preserve"> </w:t>
      </w:r>
      <w:r>
        <w:t xml:space="preserve">single 138-peak degeneracy cluster of the benchmark below. Because this objective</w:t>
      </w:r>
      <w:r>
        <w:t xml:space="preserve"> </w:t>
      </w:r>
      <w:r>
        <w:t xml:space="preserve">is well-determined only when the NOESY carries real intensities and most optimised</w:t>
      </w:r>
      <w:r>
        <w:t xml:space="preserve"> </w:t>
      </w:r>
      <w:r>
        <w:t xml:space="preserve">peaks bear a firm NOE, the annealer is gated on both and reduces to the plain ascent</w:t>
      </w:r>
      <w:r>
        <w:t xml:space="preserve"> </w:t>
      </w:r>
      <w:r>
        <w:t xml:space="preserve">otherwise (a boolean network, or under 75% firm-NOE coverage). Optionally,</w:t>
      </w:r>
      <w:r>
        <w:t xml:space="preserve"> </w:t>
      </w:r>
      <w:r>
        <w:t xml:space="preserve">the ambiguous NOE cross peaks MAUS discards are folded back in as diluted,</w:t>
      </w:r>
      <w:r>
        <w:t xml:space="preserve"> </w:t>
      </w:r>
      <w:r>
        <w:t xml:space="preserve">intensity-weighted soft evidence.</w:t>
      </w:r>
    </w:p>
    <w:p>
      <w:pPr>
        <w:pStyle w:val="BodyText"/>
      </w:pPr>
      <w:r>
        <w:t xml:space="preserve">Each peak is reported three ways (Fig. 1A): the committed single call; its MAUS</w:t>
      </w:r>
      <w:r>
        <w:t xml:space="preserve"> </w:t>
      </w:r>
      <w:r>
        <w:t xml:space="preserve">option set, retained as an explicit ambiguity envelope; and a confidence tier</w:t>
      </w:r>
      <w:r>
        <w:t xml:space="preserve"> </w:t>
      </w:r>
      <w:r>
        <w:t xml:space="preserve">from the local scoring margin —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(forced by hard constraints),</w:t>
      </w:r>
      <w:r>
        <w:t xml:space="preserve"> </w:t>
      </w:r>
      <w:r>
        <w:rPr>
          <w:b/>
          <w:bCs/>
        </w:rPr>
        <w:t xml:space="preserve">scored</w:t>
      </w:r>
      <w:r>
        <w:t xml:space="preserve"> </w:t>
      </w:r>
      <w:r>
        <w:t xml:space="preserve">(resolved by the NOE score), or</w:t>
      </w:r>
      <w:r>
        <w:t xml:space="preserve"> </w:t>
      </w:r>
      <w:r>
        <w:rPr>
          <w:b/>
          <w:bCs/>
        </w:rPr>
        <w:t xml:space="preserve">ambiguous</w:t>
      </w:r>
      <w:r>
        <w:t xml:space="preserve"> </w:t>
      </w:r>
      <w:r>
        <w:t xml:space="preserve">(a tied alternative</w:t>
      </w:r>
      <w:r>
        <w:t xml:space="preserve"> </w:t>
      </w:r>
      <w:r>
        <w:t xml:space="preserve">exists, i.e. a genuine symmetry). Because the scored search runs only over the</w:t>
      </w:r>
      <w:r>
        <w:t xml:space="preserve"> </w:t>
      </w:r>
      <w:r>
        <w:t xml:space="preserve">tiny pruned domains, the whole pipeline completes in ~0.3 s for 192 methyls.</w:t>
      </w:r>
    </w:p>
    <w:bookmarkEnd w:id="12"/>
    <w:bookmarkStart w:id="13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rPr>
          <w:b/>
          <w:bCs/>
        </w:rPr>
        <w:t xml:space="preserve">Benchmark construction.</w:t>
      </w:r>
      <w:r>
        <w:t xml:space="preserve"> </w:t>
      </w:r>
      <w:r>
        <w:t xml:space="preserve">All inputs are built by</w:t>
      </w:r>
      <w:r>
        <w:t xml:space="preserve"> </w:t>
      </w:r>
      <w:r>
        <w:rPr>
          <w:rStyle w:val="VerbatimChar"/>
        </w:rPr>
        <w:t xml:space="preserve">make_peaklists.py</w:t>
      </w:r>
      <w:r>
        <w:t xml:space="preserve"> </w:t>
      </w:r>
      <w:r>
        <w:t xml:space="preserve">from a</w:t>
      </w:r>
      <w:r>
        <w:t xml:space="preserve"> </w:t>
      </w:r>
      <w:r>
        <w:t xml:space="preserve">PDB structure and the matching BMRB chemical-shift deposition: methyl carbon</w:t>
      </w:r>
      <w:r>
        <w:t xml:space="preserve"> </w:t>
      </w:r>
      <w:r>
        <w:t xml:space="preserve">shifts are the deposited carbon values, methyl proton shifts the mean of the</w:t>
      </w:r>
      <w:r>
        <w:t xml:space="preserve"> </w:t>
      </w:r>
      <w:r>
        <w:t xml:space="preserve">three methyl protons, and each observed methyl becomes an anonymous HMQC peak</w:t>
      </w:r>
      <w:r>
        <w:t xml:space="preserve"> </w:t>
      </w:r>
      <w:r>
        <w:t xml:space="preserve">(P1…Pn) whose structural identity is written only to a separate truth key.</w:t>
      </w:r>
      <w:r>
        <w:t xml:space="preserve"> </w:t>
      </w:r>
      <w:r>
        <w:t xml:space="preserve">Because BMRB deposits no NOESY peak list, a methyl–methyl (H)CCH NOESY network</w:t>
      </w:r>
      <w:r>
        <w:t xml:space="preserve"> </w:t>
      </w:r>
      <w:r>
        <w:t xml:space="preserve">(Rossi</w:t>
      </w:r>
      <w:r>
        <w:t xml:space="preserve"> </w:t>
      </w:r>
      <w:r>
        <w:rPr>
          <w:i/>
          <w:iCs/>
        </w:rPr>
        <w:t xml:space="preserve">et al.</w:t>
      </w:r>
      <w:r>
        <w:t xml:space="preserve">, 2016; Wen</w:t>
      </w:r>
      <w:r>
        <w:t xml:space="preserve"> </w:t>
      </w:r>
      <w:r>
        <w:rPr>
          <w:i/>
          <w:iCs/>
        </w:rPr>
        <w:t xml:space="preserve">et al.</w:t>
      </w:r>
      <w:r>
        <w:t xml:space="preserve">, 2012) is simulated from the structure (a cross peak for every methyl</w:t>
      </w:r>
      <w:r>
        <w:t xml:space="preserve"> </w:t>
      </w:r>
      <w:r>
        <w:t xml:space="preserve">pair within 7.9 Å, both directions)</w:t>
      </w:r>
      <w:r>
        <w:t xml:space="preserve"> </w:t>
      </w:r>
      <w:r>
        <w:t xml:space="preserve">with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intensities; the identical network is supplied to all three engines.</w:t>
      </w:r>
      <w:r>
        <w:t xml:space="preserve"> </w:t>
      </w:r>
      <w:r>
        <w:t xml:space="preserve">We benchmark seven targets: ubiquitin (BMRB 6457, PDB 1UBQ; the reference protein</w:t>
      </w:r>
      <w:r>
        <w:t xml:space="preserve"> </w:t>
      </w:r>
      <w:r>
        <w:t xml:space="preserve">of biomolecular NMR),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maltose-binding protein (MBP; BMRB 7114, PDB</w:t>
      </w:r>
      <w:r>
        <w:t xml:space="preserve"> </w:t>
      </w:r>
      <w:r>
        <w:t xml:space="preserve">1ANF; Ulrich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2008; Spurlino</w:t>
      </w:r>
      <w:r>
        <w:t xml:space="preserve"> </w:t>
      </w:r>
      <w:r>
        <w:rPr>
          <w:i/>
          <w:iCs/>
        </w:rPr>
        <w:t xml:space="preserve">et al.</w:t>
      </w:r>
      <w:r>
        <w:t xml:space="preserve">, 1991; 192 methyls), the four</w:t>
      </w:r>
      <w:r>
        <w:t xml:space="preserve"> </w:t>
      </w:r>
      <w:r>
        <w:t xml:space="preserve">de-novo blind targets of the MAUS study 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interleukin-2</w:t>
      </w:r>
      <w:r>
        <w:t xml:space="preserve"> </w:t>
      </w:r>
      <w:r>
        <w:t xml:space="preserve">and the HNH, REC2 and REC3 domains of</w:t>
      </w:r>
      <w:r>
        <w:t xml:space="preserve"> </w:t>
      </w:r>
      <w:r>
        <w:rPr>
          <w:i/>
          <w:iCs/>
        </w:rPr>
        <w:t xml:space="preserve">S. pyogenes</w:t>
      </w:r>
      <w:r>
        <w:t xml:space="preserve"> </w:t>
      </w:r>
      <w:r>
        <w:t xml:space="preserve">Cas9 — and malate synthase G</w:t>
      </w:r>
      <w:r>
        <w:t xml:space="preserve"> </w:t>
      </w:r>
      <w:r>
        <w:t xml:space="preserve">(MSG; PDB 1D8C), at 257 methyls the largest single-chain protein whose Ile/Leu/Val</w:t>
      </w:r>
      <w:r>
        <w:t xml:space="preserve"> </w:t>
      </w:r>
      <w:r>
        <w:t xml:space="preserve">methyls have been assigned by solution NMR and the classic large-protein methyl</w:t>
      </w:r>
      <w:r>
        <w:t xml:space="preserve"> </w:t>
      </w:r>
      <w:r>
        <w:t xml:space="preserve">benchmark, spanning 43–257 observed methyls (Table 1).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MAGIC, scoring over the full type-matched space, assigned 6–12% of</w:t>
      </w:r>
      <w:r>
        <w:t xml:space="preserve"> </w:t>
      </w:r>
      <w:r>
        <w:t xml:space="preserve">methyls correctly where it converged (Table 1) — consistent with its reported</w:t>
      </w:r>
      <w:r>
        <w:t xml:space="preserve"> </w:t>
      </w:r>
      <w:r>
        <w:t xml:space="preserve">4–10% on structure-simulated NOESY and with the near-flat-landscape limitation of</w:t>
      </w:r>
      <w:r>
        <w:t xml:space="preserve"> </w:t>
      </w:r>
      <w:r>
        <w:t xml:space="preserve">full-space scoring; on the two Leu-dense Cas9 domains and on MSG it did not return</w:t>
      </w:r>
      <w:r>
        <w:t xml:space="preserve"> </w:t>
      </w:r>
      <w:r>
        <w:t xml:space="preserve">within a 15-min budget, itself illustrating the cost of unbounded scoring. MAUS</w:t>
      </w:r>
      <w:r>
        <w:t xml:space="preserve"> </w:t>
      </w:r>
      <w:r>
        <w:t xml:space="preserve">resolved 2–35% of peaks uniquely (all correct) and abstained on the rest, with the</w:t>
      </w:r>
      <w:r>
        <w:t xml:space="preserve"> </w:t>
      </w:r>
      <w:r>
        <w:t xml:space="preserve">truth in the option set for 100% of peaks on every target; its result was unchanged by</w:t>
      </w:r>
      <w:r>
        <w:t xml:space="preserve"> </w:t>
      </w:r>
      <w:r>
        <w:t xml:space="preserve">the intensity column, as its boolean constraints cannot use it. magicmaus</w:t>
      </w:r>
      <w:r>
        <w:t xml:space="preserve"> </w:t>
      </w:r>
      <w:r>
        <w:t xml:space="preserve">committed a single answer for every peak while preserving that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never-exclude envelope throughout, at</w:t>
      </w:r>
      <w:r>
        <w:t xml:space="preserve"> </w:t>
      </w:r>
      <w:r>
        <w:rPr>
          <w:b/>
          <w:bCs/>
        </w:rPr>
        <w:t xml:space="preserve">82–100%</w:t>
      </w:r>
      <w:r>
        <w:t xml:space="preserve"> </w:t>
      </w:r>
      <w:r>
        <w:t xml:space="preserve">methyl-level accuracy on the</w:t>
      </w:r>
      <w:r>
        <w:t xml:space="preserve"> </w:t>
      </w:r>
      <w:r>
        <w:t xml:space="preserve">smaller targets (a perfect 43/43 on ubiquitin) and</w:t>
      </w:r>
      <w:r>
        <w:t xml:space="preserve"> </w:t>
      </w:r>
      <w:r>
        <w:rPr>
          <w:b/>
          <w:bCs/>
        </w:rPr>
        <w:t xml:space="preserve">87.0%</w:t>
      </w:r>
      <w:r>
        <w:t xml:space="preserve"> </w:t>
      </w:r>
      <w:r>
        <w:t xml:space="preserve">on MBP — up to an</w:t>
      </w:r>
      <w:r>
        <w:t xml:space="preserve"> </w:t>
      </w:r>
      <w:r>
        <w:t xml:space="preserve">order of magnitude above scoring over the full space. This accuracy comes from the</w:t>
      </w:r>
      <w:r>
        <w:t xml:space="preserve"> </w:t>
      </w:r>
      <w:r>
        <w:t xml:space="preserve">scoring layer’s 3-cycle simulated-annealing search: on an intensity network the</w:t>
      </w:r>
      <w:r>
        <w:t xml:space="preserve"> </w:t>
      </w:r>
      <w:r>
        <w:t xml:space="preserve">NOE objective’s global optimum is the truth (a truth-seeded search scores ~96%),</w:t>
      </w:r>
      <w:r>
        <w:t xml:space="preserve"> </w:t>
      </w:r>
      <w:r>
        <w:t xml:space="preserve">and annealing reaches it where a plain greedy ascent stalls 10–20% short — the</w:t>
      </w:r>
      <w:r>
        <w:t xml:space="preserve"> </w:t>
      </w:r>
      <w:r>
        <w:t xml:space="preserve">rotational moves cross the tightly coupled Leu/Val option graphs that pairwise</w:t>
      </w:r>
      <w:r>
        <w:t xml:space="preserve"> </w:t>
      </w:r>
      <w:r>
        <w:t xml:space="preserve">swaps cannot. That objective is trustworthy only when it is well-determined, which</w:t>
      </w:r>
      <w:r>
        <w:t xml:space="preserve"> </w:t>
      </w:r>
      <w:r>
        <w:t xml:space="preserve">requires two conditions, and magicmaus withholds the annealer — falling back to the</w:t>
      </w:r>
      <w:r>
        <w:t xml:space="preserve"> </w:t>
      </w:r>
      <w:r>
        <w:t xml:space="preserve">plain greedy ascent — when either fails: (i) the NOESY must carry real intensities</w:t>
      </w:r>
      <w:r>
        <w:t xml:space="preserve"> </w:t>
      </w:r>
      <w:r>
        <w:t xml:space="preserve">that pin each contact to its distance (on a boolean network the annealer would</w:t>
      </w:r>
      <w:r>
        <w:t xml:space="preserve"> </w:t>
      </w:r>
      <w:r>
        <w:t xml:space="preserve">merely overfit to structural-contact density), and (ii) most of the peaks being</w:t>
      </w:r>
      <w:r>
        <w:t xml:space="preserve"> </w:t>
      </w:r>
      <w:r>
        <w:t xml:space="preserve">optimised must actually carry a firm NOE. The hard cases are the targets whose 3D</w:t>
      </w:r>
      <w:r>
        <w:t xml:space="preserve"> </w:t>
      </w:r>
      <w:r>
        <w:t xml:space="preserve">(H)CCH network yields few firm NOEs: REC3 (60.0%; 50 of 85 methyls Leu) and above</w:t>
      </w:r>
      <w:r>
        <w:t xml:space="preserve"> </w:t>
      </w:r>
      <w:r>
        <w:t xml:space="preserve">all MSG, where only 262 cross peaks resolve to a firm constraint so 95 of 257 peaks</w:t>
      </w:r>
      <w:r>
        <w:t xml:space="preserve"> </w:t>
      </w:r>
      <w:r>
        <w:t xml:space="preserve">carry none — below magicmaus’s 75% firm-NOE coverage cut, so the annealer is</w:t>
      </w:r>
      <w:r>
        <w:t xml:space="preserve"> </w:t>
      </w:r>
      <w:r>
        <w:t xml:space="preserve">withheld and the greedy ascent commits 29.6% (38.5% with HMBC) where MAGIC does not</w:t>
      </w:r>
      <w:r>
        <w:t xml:space="preserve"> </w:t>
      </w:r>
      <w:r>
        <w:t xml:space="preserve">converge at all, still under the 100% envelope. On these, an achiral NOE network</w:t>
      </w:r>
      <w:r>
        <w:t xml:space="preserve"> </w:t>
      </w:r>
      <w:r>
        <w:t xml:space="preserve">leaves many geminal pairs and</w:t>
      </w:r>
      <w:r>
        <w:t xml:space="preserve"> </w:t>
      </w:r>
      <w:r>
        <w:t xml:space="preserve">shift-degenerate peaks genuinely unresolvable, which magicmaus flags as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and reports as full option sets rather than guessing. Folding the discarded</w:t>
      </w:r>
      <w:r>
        <w:t xml:space="preserve"> </w:t>
      </w:r>
      <w:r>
        <w:t xml:space="preserve">ambiguous NOEs back in as soft evidence (</w:t>
      </w:r>
      <w:r>
        <w:rPr>
          <w:rStyle w:val="VerbatimChar"/>
        </w:rPr>
        <w:t xml:space="preserve">--soft-ambiguous</w:t>
      </w:r>
      <w:r>
        <w:t xml:space="preserve">) helped on most targets</w:t>
      </w:r>
      <w:r>
        <w:t xml:space="preserve"> </w:t>
      </w:r>
      <w:r>
        <w:t xml:space="preserve">(IL-2 +8.5, HNH +3.5, REC2 +1.6 points) but was a wash on the densely degenerate</w:t>
      </w:r>
      <w:r>
        <w:t xml:space="preserve"> </w:t>
      </w:r>
      <w:r>
        <w:t xml:space="preserve">REC3, so it is offered as an option, not a default. Adding one further optional</w:t>
      </w:r>
      <w:r>
        <w:t xml:space="preserve"> </w:t>
      </w:r>
      <w:r>
        <w:t xml:space="preserve">input — an HMBC-HMQC experiment (</w:t>
      </w:r>
      <w:r>
        <w:rPr>
          <w:rStyle w:val="VerbatimChar"/>
        </w:rPr>
        <w:t xml:space="preserve">--hmbc</w:t>
      </w:r>
      <w:r>
        <w:t xml:space="preserve">; Siemons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 that identifies</w:t>
      </w:r>
      <w:r>
        <w:t xml:space="preserve"> </w:t>
      </w:r>
      <w:r>
        <w:t xml:space="preserve">which two HMQC peaks are the geminal pair of one residue — enters as a hard</w:t>
      </w:r>
      <w:r>
        <w:t xml:space="preserve"> </w:t>
      </w:r>
      <w:r>
        <w:t xml:space="preserve">constraint tying that pair to a single structural residue. It does not by itself</w:t>
      </w:r>
      <w:r>
        <w:t xml:space="preserve"> </w:t>
      </w:r>
      <w:r>
        <w:t xml:space="preserve">orient δ1 versus δ2 (the constraint admits both orderings); it collapses</w:t>
      </w:r>
      <w:r>
        <w:t xml:space="preserve"> </w:t>
      </w:r>
      <w:r>
        <w:rPr>
          <w:i/>
          <w:iCs/>
        </w:rPr>
        <w:t xml:space="preserve">cross-residue</w:t>
      </w:r>
      <w:r>
        <w:t xml:space="preserve"> </w:t>
      </w:r>
      <w:r>
        <w:t xml:space="preserve">ambiguity by coupling the pair’s NOE evidence, and hands the</w:t>
      </w:r>
      <w:r>
        <w:t xml:space="preserve"> </w:t>
      </w:r>
      <w:r>
        <w:t xml:space="preserve">orientation to the score. Its net effect on accuracy is target-dependent: it helps</w:t>
      </w:r>
      <w:r>
        <w:t xml:space="preserve"> </w:t>
      </w:r>
      <w:r>
        <w:t xml:space="preserve">MBP (87.5% → 93.2%; Table 1, +HMBC) but on the crowded REC2/REC3 domains the extra</w:t>
      </w:r>
      <w:r>
        <w:t xml:space="preserve"> </w:t>
      </w:r>
      <w:r>
        <w:t xml:space="preserve">hard links reshape the constrained landscape into a different equal-scoring optimum</w:t>
      </w:r>
      <w:r>
        <w:t xml:space="preserve"> </w:t>
      </w:r>
      <w:r>
        <w:t xml:space="preserve">that scores lower, so it too is opt-in. Running the same scoring inside the MAUS</w:t>
      </w:r>
      <w:r>
        <w:t xml:space="preserve"> </w:t>
      </w:r>
      <w:r>
        <w:t xml:space="preserve">bounds thus yields roughly an order of magnitude more single-answer accuracy than</w:t>
      </w:r>
      <w:r>
        <w:t xml:space="preserve"> </w:t>
      </w:r>
      <w:r>
        <w:t xml:space="preserve">scoring over the full space, at no cost to the certainty guarantee, and improves</w:t>
      </w:r>
      <w:r>
        <w:t xml:space="preserve"> </w:t>
      </w:r>
      <w:r>
        <w:t xml:space="preserve">with added experimental input where that input is informative.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Methyl-level accuracy on seven targets, all engines scored on the</w:t>
      </w:r>
      <w:r>
        <w:t xml:space="preserve"> </w:t>
      </w:r>
      <w:r>
        <w:t xml:space="preserve">same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NOESY. Envelope = fraction of peaks whose MAUS option set</w:t>
      </w:r>
      <w:r>
        <w:t xml:space="preserve"> </w:t>
      </w:r>
      <w:r>
        <w:t xml:space="preserve">contains the truth (never-exclude guarantee). n.c. = did not converge within a</w:t>
      </w:r>
      <w:r>
        <w:t xml:space="preserve"> </w:t>
      </w:r>
      <w:r>
        <w:t xml:space="preserve">15-min budget.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2"/>
        <w:gridCol w:w="642"/>
        <w:gridCol w:w="642"/>
        <w:gridCol w:w="856"/>
        <w:gridCol w:w="856"/>
        <w:gridCol w:w="856"/>
        <w:gridCol w:w="856"/>
        <w:gridCol w:w="856"/>
        <w:gridCol w:w="856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BMRB / PDB</w:t>
            </w:r>
          </w:p>
        </w:tc>
        <w:tc>
          <w:tcPr/>
          <w:p>
            <w:pPr>
              <w:pStyle w:val="Compact"/>
            </w:pPr>
            <w:r>
              <w:t xml:space="preserve">Labeling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Methyls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+soft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+HMBC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Ubiquitin</w:t>
            </w:r>
          </w:p>
        </w:tc>
        <w:tc>
          <w:tcPr/>
          <w:p>
            <w:pPr>
              <w:pStyle w:val="Compact"/>
            </w:pPr>
            <w:r>
              <w:t xml:space="preserve">6457 / 1UBQ</w:t>
            </w:r>
          </w:p>
        </w:tc>
        <w:tc>
          <w:tcPr/>
          <w:p>
            <w:pPr>
              <w:pStyle w:val="Compact"/>
            </w:pPr>
            <w:r>
              <w:t xml:space="preserve">AILMTV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IL-2</w:t>
            </w:r>
          </w:p>
        </w:tc>
        <w:tc>
          <w:tcPr/>
          <w:p>
            <w:pPr>
              <w:pStyle w:val="Compact"/>
            </w:pPr>
            <w:r>
              <w:t xml:space="preserve">28104 / 1M47</w:t>
            </w:r>
          </w:p>
        </w:tc>
        <w:tc>
          <w:tcPr/>
          <w:p>
            <w:pPr>
              <w:pStyle w:val="Compact"/>
            </w:pPr>
            <w:r>
              <w:t xml:space="preserve">ILV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HNH (Cas9)</w:t>
            </w:r>
          </w:p>
        </w:tc>
        <w:tc>
          <w:tcPr/>
          <w:p>
            <w:pPr>
              <w:pStyle w:val="Compact"/>
            </w:pPr>
            <w:r>
              <w:t xml:space="preserve">27949 / 6O56</w:t>
            </w:r>
          </w:p>
        </w:tc>
        <w:tc>
          <w:tcPr/>
          <w:p>
            <w:pPr>
              <w:pStyle w:val="Compact"/>
            </w:pPr>
            <w:r>
              <w:t xml:space="preserve">AILTV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REC2 (Cas9)</w:t>
            </w:r>
          </w:p>
        </w:tc>
        <w:tc>
          <w:tcPr/>
          <w:p>
            <w:pPr>
              <w:pStyle w:val="Compact"/>
            </w:pPr>
            <w:r>
              <w:t xml:space="preserve">28105 / 4CMP</w:t>
            </w:r>
          </w:p>
        </w:tc>
        <w:tc>
          <w:tcPr/>
          <w:p>
            <w:pPr>
              <w:pStyle w:val="Compact"/>
            </w:pPr>
            <w:r>
              <w:t xml:space="preserve">ILV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REC3 (Cas9)</w:t>
            </w:r>
          </w:p>
        </w:tc>
        <w:tc>
          <w:tcPr/>
          <w:p>
            <w:pPr>
              <w:pStyle w:val="Compact"/>
            </w:pPr>
            <w:r>
              <w:t xml:space="preserve">28110 / 4ZT0</w:t>
            </w:r>
          </w:p>
        </w:tc>
        <w:tc>
          <w:tcPr/>
          <w:p>
            <w:pPr>
              <w:pStyle w:val="Compact"/>
            </w:pPr>
            <w:r>
              <w:t xml:space="preserve">ILV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7114 / 1ANF</w:t>
            </w:r>
          </w:p>
        </w:tc>
        <w:tc>
          <w:tcPr/>
          <w:p>
            <w:pPr>
              <w:pStyle w:val="Compact"/>
            </w:pPr>
            <w:r>
              <w:t xml:space="preserve">AILMTV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</w:t>
            </w:r>
          </w:p>
        </w:tc>
        <w:tc>
          <w:tcPr/>
          <w:p>
            <w:pPr>
              <w:pStyle w:val="Compact"/>
            </w:pPr>
            <w:r>
              <w:t xml:space="preserve">SI† / 1D8C</w:t>
            </w:r>
          </w:p>
        </w:tc>
        <w:tc>
          <w:tcPr/>
          <w:p>
            <w:pPr>
              <w:pStyle w:val="Compact"/>
            </w:pPr>
            <w:r>
              <w:t xml:space="preserve">ILV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p>
      <w:pPr>
        <w:pStyle w:val="BodyText"/>
      </w:pPr>
      <w:r>
        <w:t xml:space="preserve">†MSG methyl shifts have no BMRB deposit; they are digitised from the reference</w:t>
      </w:r>
      <w:r>
        <w:t xml:space="preserve"> </w:t>
      </w:r>
      <w:r>
        <w:t xml:space="preserve">assignment table in the open-access Supplementary Information of Pritišanac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 </w:t>
      </w:r>
      <w:r>
        <w:t xml:space="preserve">(2019). The MAUS column is the fraction of peaks it commits uniquely (all correct); on the</w:t>
      </w:r>
      <w:r>
        <w:t xml:space="preserve"> </w:t>
      </w:r>
      <w:r>
        <w:t xml:space="preserve">rest it abstains, so its coverage is the Envelope column (100%). The +HMBC column</w:t>
      </w:r>
      <w:r>
        <w:t xml:space="preserve"> </w:t>
      </w:r>
      <w:r>
        <w:t xml:space="preserve">adds an optional HMBC-HMQC geminal-link experiment (</w:t>
      </w:r>
      <w:r>
        <w:rPr>
          <w:rStyle w:val="VerbatimChar"/>
        </w:rPr>
        <w:t xml:space="preserve">--hmbc</w:t>
      </w:r>
      <w:r>
        <w:t xml:space="preserve">) on top of +soft,</w:t>
      </w:r>
      <w:r>
        <w:t xml:space="preserve"> </w:t>
      </w:r>
      <w:r>
        <w:t xml:space="preserve">forcing each Leu/Val geminal pair onto its two structural methyls.</w:t>
      </w:r>
    </w:p>
    <w:p>
      <w:pPr>
        <w:pStyle w:val="BodyText"/>
      </w:pPr>
      <w:r>
        <w:t xml:space="preserve">The labeling scheme (Table 1) shapes the assignment problem in two ways that the</w:t>
      </w:r>
      <w:r>
        <w:t xml:space="preserve"> </w:t>
      </w:r>
      <w:r>
        <w:t xml:space="preserve">residue-resolved accuracy of Table 2 makes explicit. First, because a peak competes</w:t>
      </w:r>
      <w:r>
        <w:t xml:space="preserve"> </w:t>
      </w:r>
      <w:r>
        <w:t xml:space="preserve">only with methyls of its own residue type, the number of labeled types sets the</w:t>
      </w:r>
      <w:r>
        <w:t xml:space="preserve"> </w:t>
      </w:r>
      <w:r>
        <w:t xml:space="preserve">granularity of the candidate partition: the two AILMTV targets (ubiquitin, MBP)</w:t>
      </w:r>
      <w:r>
        <w:t xml:space="preserve"> </w:t>
      </w:r>
      <w:r>
        <w:t xml:space="preserve">spread their peaks over six types, so each peak competes against fewer same-type</w:t>
      </w:r>
      <w:r>
        <w:t xml:space="preserve"> </w:t>
      </w:r>
      <w:r>
        <w:t xml:space="preserve">methyls than in a three-type ILV set. Second, labeling sets the irreducible geminal</w:t>
      </w:r>
      <w:r>
        <w:t xml:space="preserve"> </w:t>
      </w:r>
      <w:r>
        <w:t xml:space="preserve">load: Leu (δ1/δ2) and Val (γ1/γ2) carry prochiral methyl pairs that an achiral NOE</w:t>
      </w:r>
      <w:r>
        <w:t xml:space="preserve"> </w:t>
      </w:r>
      <w:r>
        <w:t xml:space="preserve">network cannot orient, whereas Ile contributes a single δ1 methyl. Table 2 shows the</w:t>
      </w:r>
      <w:r>
        <w:t xml:space="preserve"> </w:t>
      </w:r>
      <w:r>
        <w:t xml:space="preserve">two effects: Ile is the most reliably assigned type — 100% on five of seven targets</w:t>
      </w:r>
      <w:r>
        <w:t xml:space="preserve"> </w:t>
      </w:r>
      <w:r>
        <w:t xml:space="preserve">— because it is single-methyl and, being typically buried, NOE-rich; Leu and Val</w:t>
      </w:r>
      <w:r>
        <w:t xml:space="preserve"> </w:t>
      </w:r>
      <w:r>
        <w:t xml:space="preserve">are the bottleneck, at 100% only where the network is dense (ubiquitin, IL-2) and</w:t>
      </w:r>
      <w:r>
        <w:t xml:space="preserve"> </w:t>
      </w:r>
      <w:r>
        <w:t xml:space="preserve">falling to ~30–50% on the sparse REC3/MSG networks. This is why the residual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tier is dominated by Leu/Val pairs — an orientation the intensity score</w:t>
      </w:r>
      <w:r>
        <w:t xml:space="preserve"> </w:t>
      </w:r>
      <w:r>
        <w:t xml:space="preserve">resolves only when the two methyls make sufficiently different structural contacts,</w:t>
      </w:r>
      <w:r>
        <w:t xml:space="preserve"> </w:t>
      </w:r>
      <w:r>
        <w:t xml:space="preserve">and reports as a coin flip when they do not.</w:t>
      </w:r>
    </w:p>
    <w:p>
      <w:pPr>
        <w:pStyle w:val="BodyText"/>
      </w:pPr>
      <w:r>
        <w:t xml:space="preserve">Being single-methyl, however, is necessary but not sufficient: removing geminal</w:t>
      </w:r>
      <w:r>
        <w:t xml:space="preserve"> </w:t>
      </w:r>
      <w:r>
        <w:t xml:space="preserve">ambiguity and carrying NOE information are independent. On MBP, Ala Cβ (68%) and Thr</w:t>
      </w:r>
      <w:r>
        <w:t xml:space="preserve"> </w:t>
      </w:r>
      <w:r>
        <w:t xml:space="preserve">Cγ2 (70%) are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accurately assigned types (Table 2) despite no prochiral</w:t>
      </w:r>
      <w:r>
        <w:t xml:space="preserve"> </w:t>
      </w:r>
      <w:r>
        <w:t xml:space="preserve">degeneracy, because these often surface-exposed, shift-clustered methyls simply make</w:t>
      </w:r>
      <w:r>
        <w:t xml:space="preserve"> </w:t>
      </w:r>
      <w:r>
        <w:t xml:space="preserve">too few methyl–methyl NOEs to be pinned — whereas Ile on the same protein is 100%.</w:t>
      </w:r>
      <w:r>
        <w:t xml:space="preserve"> </w:t>
      </w:r>
      <w:r>
        <w:t xml:space="preserve">Labeling is therefore not the sole determinant of difficulty; it interacts with NOE</w:t>
      </w:r>
      <w:r>
        <w:t xml:space="preserve"> </w:t>
      </w:r>
      <w:r>
        <w:t xml:space="preserve">information content. IL-2 and REC2 are Leu-rich (71% and 76% Leu) yet reach ~88–90%</w:t>
      </w:r>
      <w:r>
        <w:t xml:space="preserve"> </w:t>
      </w:r>
      <w:r>
        <w:t xml:space="preserve">because their networks are dense, while REC3 and MSG fall to 60% and 30% not from</w:t>
      </w:r>
      <w:r>
        <w:t xml:space="preserve"> </w:t>
      </w:r>
      <w:r>
        <w:t xml:space="preserve">their labeling alone but because sparse carbon-only matching leaves too few firm NOEs</w:t>
      </w:r>
      <w:r>
        <w:t xml:space="preserve"> </w:t>
      </w:r>
      <w:r>
        <w:t xml:space="preserve">to pin the enlarged ILV domains (Section 3, coverage gate). In practice the levers</w:t>
      </w:r>
      <w:r>
        <w:t xml:space="preserve"> </w:t>
      </w:r>
      <w:r>
        <w:t xml:space="preserve">attack different bottlenecks: extending the labeling beyond ILV partitions the</w:t>
      </w:r>
      <w:r>
        <w:t xml:space="preserve"> </w:t>
      </w:r>
      <w:r>
        <w:t xml:space="preserve">problem into finer type classes, an HMBC geminal-link experiment collapses the</w:t>
      </w:r>
      <w:r>
        <w:t xml:space="preserve"> </w:t>
      </w:r>
      <w:r>
        <w:t xml:space="preserve">cross-residue ambiguity by tying each geminal pair to one residue, and the</w:t>
      </w:r>
      <w:r>
        <w:t xml:space="preserve"> </w:t>
      </w:r>
      <w:r>
        <w:t xml:space="preserve">intensity-weighted score is what finally orients δ1/δ2 within the pair — none is a</w:t>
      </w:r>
      <w:r>
        <w:t xml:space="preserve"> </w:t>
      </w:r>
      <w:r>
        <w:t xml:space="preserve">universal fix, and the last two are opt-in.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Methyl-level accuracy of the committed magicmaus call (+soft) resolved</w:t>
      </w:r>
      <w:r>
        <w:t xml:space="preserve"> </w:t>
      </w:r>
      <w:r>
        <w:t xml:space="preserve">by residue type. Each cell is correct/observed for that type; a dash marks a type</w:t>
      </w:r>
      <w:r>
        <w:t xml:space="preserve"> </w:t>
      </w:r>
      <w:r>
        <w:t xml:space="preserve">absent from the target’s labeling. Ile is near-perfect except on the sparse</w:t>
      </w:r>
      <w:r>
        <w:t xml:space="preserve"> </w:t>
      </w:r>
      <w:r>
        <w:t xml:space="preserve">REC3/MSG networks; Leu/Val carry the geminal degeneracy; Ala/Thr, though</w:t>
      </w:r>
      <w:r>
        <w:t xml:space="preserve"> </w:t>
      </w:r>
      <w:r>
        <w:t xml:space="preserve">single-methyl, are NOE-poor on MBP.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Ile</w:t>
            </w:r>
          </w:p>
        </w:tc>
        <w:tc>
          <w:tcPr/>
          <w:p>
            <w:pPr>
              <w:pStyle w:val="Compact"/>
            </w:pPr>
            <w:r>
              <w:t xml:space="preserve">Leu</w:t>
            </w:r>
          </w:p>
        </w:tc>
        <w:tc>
          <w:tcPr/>
          <w:p>
            <w:pPr>
              <w:pStyle w:val="Compact"/>
            </w:pPr>
            <w:r>
              <w:t xml:space="preserve">Val</w:t>
            </w:r>
          </w:p>
        </w:tc>
        <w:tc>
          <w:tcPr/>
          <w:p>
            <w:pPr>
              <w:pStyle w:val="Compact"/>
            </w:pPr>
            <w:r>
              <w:t xml:space="preserve">Ala</w:t>
            </w:r>
          </w:p>
        </w:tc>
        <w:tc>
          <w:tcPr/>
          <w:p>
            <w:pPr>
              <w:pStyle w:val="Compact"/>
            </w:pPr>
            <w:r>
              <w:t xml:space="preserve">Thr</w:t>
            </w:r>
          </w:p>
        </w:tc>
        <w:tc>
          <w:tcPr/>
          <w:p>
            <w:pPr>
              <w:pStyle w:val="Compact"/>
            </w:pPr>
            <w:r>
              <w:t xml:space="preserve">Met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Ubiquitin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100% (18/18)</w:t>
            </w:r>
          </w:p>
        </w:tc>
        <w:tc>
          <w:tcPr/>
          <w:p>
            <w:pPr>
              <w:pStyle w:val="Compact"/>
            </w:pPr>
            <w:r>
              <w:t xml:space="preserve">100% (8/8)</w:t>
            </w:r>
          </w:p>
        </w:tc>
        <w:tc>
          <w:tcPr/>
          <w:p>
            <w:pPr>
              <w:pStyle w:val="Compact"/>
            </w:pPr>
            <w:r>
              <w:t xml:space="preserve">100% (2/2)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100% (1/1)</w:t>
            </w:r>
          </w:p>
        </w:tc>
        <w:tc>
          <w:tcPr/>
          <w:p>
            <w:pPr>
              <w:pStyle w:val="Compact"/>
            </w:pPr>
            <w:r>
              <w:t xml:space="preserve">100% (43/43)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IL-2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100% (42/42)</w:t>
            </w:r>
          </w:p>
        </w:tc>
        <w:tc>
          <w:tcPr/>
          <w:p>
            <w:pPr>
              <w:pStyle w:val="Compact"/>
            </w:pPr>
            <w:r>
              <w:t xml:space="preserve">75% (6/8)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97% (57/59)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HNH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86% (24/28)</w:t>
            </w:r>
          </w:p>
        </w:tc>
        <w:tc>
          <w:tcPr/>
          <w:p>
            <w:pPr>
              <w:pStyle w:val="Compact"/>
            </w:pPr>
            <w:r>
              <w:t xml:space="preserve">75% (12/16)</w:t>
            </w:r>
          </w:p>
        </w:tc>
        <w:tc>
          <w:tcPr/>
          <w:p>
            <w:pPr>
              <w:pStyle w:val="Compact"/>
            </w:pPr>
            <w:r>
              <w:t xml:space="preserve">100% (2/2)</w:t>
            </w:r>
          </w:p>
        </w:tc>
        <w:tc>
          <w:tcPr/>
          <w:p>
            <w:pPr>
              <w:pStyle w:val="Compact"/>
            </w:pPr>
            <w:r>
              <w:t xml:space="preserve">100% (4/4)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86% (49/57)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REC2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88% (42/48)</w:t>
            </w:r>
          </w:p>
        </w:tc>
        <w:tc>
          <w:tcPr/>
          <w:p>
            <w:pPr>
              <w:pStyle w:val="Compact"/>
            </w:pPr>
            <w:r>
              <w:t xml:space="preserve">100% (6/6)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90% (57/63)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REC3</w:t>
            </w:r>
          </w:p>
        </w:tc>
        <w:tc>
          <w:tcPr/>
          <w:p>
            <w:pPr>
              <w:pStyle w:val="Compact"/>
            </w:pPr>
            <w:r>
              <w:t xml:space="preserve">54% (7/13)</w:t>
            </w:r>
          </w:p>
        </w:tc>
        <w:tc>
          <w:tcPr/>
          <w:p>
            <w:pPr>
              <w:pStyle w:val="Compact"/>
            </w:pPr>
            <w:r>
              <w:t xml:space="preserve">52% (26/50)</w:t>
            </w:r>
          </w:p>
        </w:tc>
        <w:tc>
          <w:tcPr/>
          <w:p>
            <w:pPr>
              <w:pStyle w:val="Compact"/>
            </w:pPr>
            <w:r>
              <w:t xml:space="preserve">73% (16/22)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58% (49/85)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100% (22/22)</w:t>
            </w:r>
          </w:p>
        </w:tc>
        <w:tc>
          <w:tcPr/>
          <w:p>
            <w:pPr>
              <w:pStyle w:val="Compact"/>
            </w:pPr>
            <w:r>
              <w:t xml:space="preserve">97% (58/60)</w:t>
            </w:r>
          </w:p>
        </w:tc>
        <w:tc>
          <w:tcPr/>
          <w:p>
            <w:pPr>
              <w:pStyle w:val="Compact"/>
            </w:pPr>
            <w:r>
              <w:t xml:space="preserve">95% (38/40)</w:t>
            </w:r>
          </w:p>
        </w:tc>
        <w:tc>
          <w:tcPr/>
          <w:p>
            <w:pPr>
              <w:pStyle w:val="Compact"/>
            </w:pPr>
            <w:r>
              <w:t xml:space="preserve">68% (30/44)</w:t>
            </w:r>
          </w:p>
        </w:tc>
        <w:tc>
          <w:tcPr/>
          <w:p>
            <w:pPr>
              <w:pStyle w:val="Compact"/>
            </w:pPr>
            <w:r>
              <w:t xml:space="preserve">70% (14/20)</w:t>
            </w:r>
          </w:p>
        </w:tc>
        <w:tc>
          <w:tcPr/>
          <w:p>
            <w:pPr>
              <w:pStyle w:val="Compact"/>
            </w:pPr>
            <w:r>
              <w:t xml:space="preserve">100% (6/6)</w:t>
            </w:r>
          </w:p>
        </w:tc>
        <w:tc>
          <w:tcPr/>
          <w:p>
            <w:pPr>
              <w:pStyle w:val="Compact"/>
            </w:pPr>
            <w:r>
              <w:t xml:space="preserve">88% (168/192)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</w:t>
            </w:r>
          </w:p>
        </w:tc>
        <w:tc>
          <w:tcPr/>
          <w:p>
            <w:pPr>
              <w:pStyle w:val="Compact"/>
            </w:pPr>
            <w:r>
              <w:t xml:space="preserve">44% (18/41)</w:t>
            </w:r>
          </w:p>
        </w:tc>
        <w:tc>
          <w:tcPr/>
          <w:p>
            <w:pPr>
              <w:pStyle w:val="Compact"/>
            </w:pPr>
            <w:r>
              <w:t xml:space="preserve">32% (42/133)</w:t>
            </w:r>
          </w:p>
        </w:tc>
        <w:tc>
          <w:tcPr/>
          <w:p>
            <w:pPr>
              <w:pStyle w:val="Compact"/>
            </w:pPr>
            <w:r>
              <w:t xml:space="preserve">31% (26/83)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33% (86/257)</w:t>
            </w:r>
          </w:p>
        </w:tc>
      </w:tr>
    </w:tbl>
    <w:p>
      <w:pPr>
        <w:pStyle w:val="BodyText"/>
      </w:pPr>
      <w:r>
        <w:t xml:space="preserve">Resolving the accuracy to the individual prochiral methyl (Table 3) confirms that</w:t>
      </w:r>
      <w:r>
        <w:t xml:space="preserve"> </w:t>
      </w:r>
      <w:r>
        <w:t xml:space="preserve">the residual Leu/Val error is a geminal swap rather than random misassignment: on</w:t>
      </w:r>
      <w:r>
        <w:t xml:space="preserve"> </w:t>
      </w:r>
      <w:r>
        <w:t xml:space="preserve">every target the two members of each pair degrade in near-lockstep — HNH Leu δ1 and</w:t>
      </w:r>
      <w:r>
        <w:t xml:space="preserve"> </w:t>
      </w:r>
      <w:r>
        <w:t xml:space="preserve">δ2 are both 86%, its Val γ1 and γ2 both 75%, REC2 Leu δ1/δ2 both 88% — the exact</w:t>
      </w:r>
      <w:r>
        <w:t xml:space="preserve"> </w:t>
      </w:r>
      <w:r>
        <w:t xml:space="preserve">signature of the achiral network placing the pair on the right</w:t>
      </w:r>
      <w:r>
        <w:t xml:space="preserve"> </w:t>
      </w:r>
      <w:r>
        <w:rPr>
          <w:i/>
          <w:iCs/>
        </w:rPr>
        <w:t xml:space="preserve">residue</w:t>
      </w:r>
      <w:r>
        <w:t xml:space="preserve"> </w:t>
      </w:r>
      <w:r>
        <w:t xml:space="preserve">but the</w:t>
      </w:r>
      <w:r>
        <w:t xml:space="preserve"> </w:t>
      </w:r>
      <w:r>
        <w:t xml:space="preserve">wrong</w:t>
      </w:r>
      <w:r>
        <w:t xml:space="preserve"> </w:t>
      </w:r>
      <w:r>
        <w:rPr>
          <w:i/>
          <w:iCs/>
        </w:rPr>
        <w:t xml:space="preserve">methyl</w:t>
      </w:r>
      <w:r>
        <w:t xml:space="preserve">. Both members stay inside the MAUS envelope (the truth is never</w:t>
      </w:r>
      <w:r>
        <w:t xml:space="preserve"> </w:t>
      </w:r>
      <w:r>
        <w:t xml:space="preserve">excluded), so the swap is a calibrated coin flip that the confidence tier flags as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and that only a signal able to tell δ1 from δ2 can break — the intensity</w:t>
      </w:r>
      <w:r>
        <w:t xml:space="preserve"> </w:t>
      </w:r>
      <w:r>
        <w:t xml:space="preserve">score where their structural contacts differ, or an independent stereospecific</w:t>
      </w:r>
      <w:r>
        <w:t xml:space="preserve"> </w:t>
      </w:r>
      <w:r>
        <w:t xml:space="preserve">assignment where they do not. An HMBC geminal-link experiment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break it:</w:t>
      </w:r>
      <w:r>
        <w:t xml:space="preserve"> </w:t>
      </w:r>
      <w:r>
        <w:t xml:space="preserve">by construction its constraint admits both orderings of the pair (Section 3), so it</w:t>
      </w:r>
      <w:r>
        <w:t xml:space="preserve"> </w:t>
      </w:r>
      <w:r>
        <w:t xml:space="preserve">resolves which residue, not which methyl. Ile δ1, having no geminal partner, carries</w:t>
      </w:r>
      <w:r>
        <w:t xml:space="preserve"> </w:t>
      </w:r>
      <w:r>
        <w:t xml:space="preserve">no such symmetry and is assigned outright wherever the network is dense.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Accuracy resolved to the individual methyl carbon (magicmaus +soft).</w:t>
      </w:r>
      <w:r>
        <w:t xml:space="preserve"> </w:t>
      </w:r>
      <w:r>
        <w:t xml:space="preserve">Geminal partners (Leu δ1/δ2, Val γ1/γ2) are listed separately; their near-equal</w:t>
      </w:r>
      <w:r>
        <w:t xml:space="preserve"> </w:t>
      </w:r>
      <w:r>
        <w:t xml:space="preserve">columns are the geminal-swap signature. A dash marks a methyl absent from the</w:t>
      </w:r>
      <w:r>
        <w:t xml:space="preserve"> </w:t>
      </w:r>
      <w:r>
        <w:t xml:space="preserve">target’s labeling.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Ile δ1</w:t>
            </w:r>
          </w:p>
        </w:tc>
        <w:tc>
          <w:tcPr/>
          <w:p>
            <w:pPr>
              <w:pStyle w:val="Compact"/>
            </w:pPr>
            <w:r>
              <w:t xml:space="preserve">Leu δ1</w:t>
            </w:r>
          </w:p>
        </w:tc>
        <w:tc>
          <w:tcPr/>
          <w:p>
            <w:pPr>
              <w:pStyle w:val="Compact"/>
            </w:pPr>
            <w:r>
              <w:t xml:space="preserve">Leu δ2</w:t>
            </w:r>
          </w:p>
        </w:tc>
        <w:tc>
          <w:tcPr/>
          <w:p>
            <w:pPr>
              <w:pStyle w:val="Compact"/>
            </w:pPr>
            <w:r>
              <w:t xml:space="preserve">Val γ1</w:t>
            </w:r>
          </w:p>
        </w:tc>
        <w:tc>
          <w:tcPr/>
          <w:p>
            <w:pPr>
              <w:pStyle w:val="Compact"/>
            </w:pPr>
            <w:r>
              <w:t xml:space="preserve">Val γ2</w:t>
            </w:r>
          </w:p>
        </w:tc>
        <w:tc>
          <w:tcPr/>
          <w:p>
            <w:pPr>
              <w:pStyle w:val="Compact"/>
            </w:pPr>
            <w:r>
              <w:t xml:space="preserve">Ala β</w:t>
            </w:r>
          </w:p>
        </w:tc>
        <w:tc>
          <w:tcPr/>
          <w:p>
            <w:pPr>
              <w:pStyle w:val="Compact"/>
            </w:pPr>
            <w:r>
              <w:t xml:space="preserve">Thr γ2</w:t>
            </w:r>
          </w:p>
        </w:tc>
        <w:tc>
          <w:tcPr/>
          <w:p>
            <w:pPr>
              <w:pStyle w:val="Compact"/>
            </w:pPr>
            <w:r>
              <w:t xml:space="preserve">Met ε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Ubiquitin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100% (4/4)</w:t>
            </w:r>
          </w:p>
        </w:tc>
        <w:tc>
          <w:tcPr/>
          <w:p>
            <w:pPr>
              <w:pStyle w:val="Compact"/>
            </w:pPr>
            <w:r>
              <w:t xml:space="preserve">100% (4/4)</w:t>
            </w:r>
          </w:p>
        </w:tc>
        <w:tc>
          <w:tcPr/>
          <w:p>
            <w:pPr>
              <w:pStyle w:val="Compact"/>
            </w:pPr>
            <w:r>
              <w:t xml:space="preserve">100% (2/2)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100% (1/1)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IL-2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100% (21/21)</w:t>
            </w:r>
          </w:p>
        </w:tc>
        <w:tc>
          <w:tcPr/>
          <w:p>
            <w:pPr>
              <w:pStyle w:val="Compact"/>
            </w:pPr>
            <w:r>
              <w:t xml:space="preserve">100% (21/21)</w:t>
            </w:r>
          </w:p>
        </w:tc>
        <w:tc>
          <w:tcPr/>
          <w:p>
            <w:pPr>
              <w:pStyle w:val="Compact"/>
            </w:pPr>
            <w:r>
              <w:t xml:space="preserve">75% (3/4)</w:t>
            </w:r>
          </w:p>
        </w:tc>
        <w:tc>
          <w:tcPr/>
          <w:p>
            <w:pPr>
              <w:pStyle w:val="Compact"/>
            </w:pPr>
            <w:r>
              <w:t xml:space="preserve">75% (3/4)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HNH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86% (12/14)</w:t>
            </w:r>
          </w:p>
        </w:tc>
        <w:tc>
          <w:tcPr/>
          <w:p>
            <w:pPr>
              <w:pStyle w:val="Compact"/>
            </w:pPr>
            <w:r>
              <w:t xml:space="preserve">86% (12/14)</w:t>
            </w:r>
          </w:p>
        </w:tc>
        <w:tc>
          <w:tcPr/>
          <w:p>
            <w:pPr>
              <w:pStyle w:val="Compact"/>
            </w:pPr>
            <w:r>
              <w:t xml:space="preserve">75% (6/8)</w:t>
            </w:r>
          </w:p>
        </w:tc>
        <w:tc>
          <w:tcPr/>
          <w:p>
            <w:pPr>
              <w:pStyle w:val="Compact"/>
            </w:pPr>
            <w:r>
              <w:t xml:space="preserve">75% (6/8)</w:t>
            </w:r>
          </w:p>
        </w:tc>
        <w:tc>
          <w:tcPr/>
          <w:p>
            <w:pPr>
              <w:pStyle w:val="Compact"/>
            </w:pPr>
            <w:r>
              <w:t xml:space="preserve">100% (2/2)</w:t>
            </w:r>
          </w:p>
        </w:tc>
        <w:tc>
          <w:tcPr/>
          <w:p>
            <w:pPr>
              <w:pStyle w:val="Compact"/>
            </w:pPr>
            <w:r>
              <w:t xml:space="preserve">100% (4/4)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REC2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88% (21/24)</w:t>
            </w:r>
          </w:p>
        </w:tc>
        <w:tc>
          <w:tcPr/>
          <w:p>
            <w:pPr>
              <w:pStyle w:val="Compact"/>
            </w:pPr>
            <w:r>
              <w:t xml:space="preserve">88% (21/24)</w:t>
            </w:r>
          </w:p>
        </w:tc>
        <w:tc>
          <w:tcPr/>
          <w:p>
            <w:pPr>
              <w:pStyle w:val="Compact"/>
            </w:pPr>
            <w:r>
              <w:t xml:space="preserve">100% (3/3)</w:t>
            </w:r>
          </w:p>
        </w:tc>
        <w:tc>
          <w:tcPr/>
          <w:p>
            <w:pPr>
              <w:pStyle w:val="Compact"/>
            </w:pPr>
            <w:r>
              <w:t xml:space="preserve">100% (3/3)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REC3</w:t>
            </w:r>
          </w:p>
        </w:tc>
        <w:tc>
          <w:tcPr/>
          <w:p>
            <w:pPr>
              <w:pStyle w:val="Compact"/>
            </w:pPr>
            <w:r>
              <w:t xml:space="preserve">54% (7/13)</w:t>
            </w:r>
          </w:p>
        </w:tc>
        <w:tc>
          <w:tcPr/>
          <w:p>
            <w:pPr>
              <w:pStyle w:val="Compact"/>
            </w:pPr>
            <w:r>
              <w:t xml:space="preserve">52% (13/25)</w:t>
            </w:r>
          </w:p>
        </w:tc>
        <w:tc>
          <w:tcPr/>
          <w:p>
            <w:pPr>
              <w:pStyle w:val="Compact"/>
            </w:pPr>
            <w:r>
              <w:t xml:space="preserve">52% (13/25)</w:t>
            </w:r>
          </w:p>
        </w:tc>
        <w:tc>
          <w:tcPr/>
          <w:p>
            <w:pPr>
              <w:pStyle w:val="Compact"/>
            </w:pPr>
            <w:r>
              <w:t xml:space="preserve">73% (8/11)</w:t>
            </w:r>
          </w:p>
        </w:tc>
        <w:tc>
          <w:tcPr/>
          <w:p>
            <w:pPr>
              <w:pStyle w:val="Compact"/>
            </w:pPr>
            <w:r>
              <w:t xml:space="preserve">73% (8/11)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100% (22/22)</w:t>
            </w:r>
          </w:p>
        </w:tc>
        <w:tc>
          <w:tcPr/>
          <w:p>
            <w:pPr>
              <w:pStyle w:val="Compact"/>
            </w:pPr>
            <w:r>
              <w:t xml:space="preserve">97% (29/30)</w:t>
            </w:r>
          </w:p>
        </w:tc>
        <w:tc>
          <w:tcPr/>
          <w:p>
            <w:pPr>
              <w:pStyle w:val="Compact"/>
            </w:pPr>
            <w:r>
              <w:t xml:space="preserve">97% (29/30)</w:t>
            </w:r>
          </w:p>
        </w:tc>
        <w:tc>
          <w:tcPr/>
          <w:p>
            <w:pPr>
              <w:pStyle w:val="Compact"/>
            </w:pPr>
            <w:r>
              <w:t xml:space="preserve">95% (19/20)</w:t>
            </w:r>
          </w:p>
        </w:tc>
        <w:tc>
          <w:tcPr/>
          <w:p>
            <w:pPr>
              <w:pStyle w:val="Compact"/>
            </w:pPr>
            <w:r>
              <w:t xml:space="preserve">95% (19/20)</w:t>
            </w:r>
          </w:p>
        </w:tc>
        <w:tc>
          <w:tcPr/>
          <w:p>
            <w:pPr>
              <w:pStyle w:val="Compact"/>
            </w:pPr>
            <w:r>
              <w:t xml:space="preserve">68% (30/44)</w:t>
            </w:r>
          </w:p>
        </w:tc>
        <w:tc>
          <w:tcPr/>
          <w:p>
            <w:pPr>
              <w:pStyle w:val="Compact"/>
            </w:pPr>
            <w:r>
              <w:t xml:space="preserve">70% (14/20)</w:t>
            </w:r>
          </w:p>
        </w:tc>
        <w:tc>
          <w:tcPr/>
          <w:p>
            <w:pPr>
              <w:pStyle w:val="Compact"/>
            </w:pPr>
            <w:r>
              <w:t xml:space="preserve">100% (6/6)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</w:t>
            </w:r>
          </w:p>
        </w:tc>
        <w:tc>
          <w:tcPr/>
          <w:p>
            <w:pPr>
              <w:pStyle w:val="Compact"/>
            </w:pPr>
            <w:r>
              <w:t xml:space="preserve">44% (18/41)</w:t>
            </w:r>
          </w:p>
        </w:tc>
        <w:tc>
          <w:tcPr/>
          <w:p>
            <w:pPr>
              <w:pStyle w:val="Compact"/>
            </w:pPr>
            <w:r>
              <w:t xml:space="preserve">33% (22/67)</w:t>
            </w:r>
          </w:p>
        </w:tc>
        <w:tc>
          <w:tcPr/>
          <w:p>
            <w:pPr>
              <w:pStyle w:val="Compact"/>
            </w:pPr>
            <w:r>
              <w:t xml:space="preserve">30% (20/66)</w:t>
            </w:r>
          </w:p>
        </w:tc>
        <w:tc>
          <w:tcPr/>
          <w:p>
            <w:pPr>
              <w:pStyle w:val="Compact"/>
            </w:pPr>
            <w:r>
              <w:t xml:space="preserve">31% (13/42)</w:t>
            </w:r>
          </w:p>
        </w:tc>
        <w:tc>
          <w:tcPr/>
          <w:p>
            <w:pPr>
              <w:pStyle w:val="Compact"/>
            </w:pPr>
            <w:r>
              <w:t xml:space="preserve">32% (13/41)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same geminal-swap lens revises how the MAUS column should be read. MAUS’s</w:t>
      </w:r>
      <w:r>
        <w:t xml:space="preserve"> </w:t>
      </w:r>
      <w:r>
        <w:t xml:space="preserve">decisive fraction (Table 1, MAUS) counts only peaks pinned to a single</w:t>
      </w:r>
      <w:r>
        <w:t xml:space="preserve"> </w:t>
      </w:r>
      <w:r>
        <w:rPr>
          <w:i/>
          <w:iCs/>
        </w:rPr>
        <w:t xml:space="preserve">methyl</w:t>
      </w:r>
      <w:r>
        <w:t xml:space="preserve">, so</w:t>
      </w:r>
      <w:r>
        <w:t xml:space="preserve"> </w:t>
      </w:r>
      <w:r>
        <w:t xml:space="preserve">it books every geminal-unresolved pair as an abstention — yet such a pair is already</w:t>
      </w:r>
      <w:r>
        <w:t xml:space="preserve"> </w:t>
      </w:r>
      <w:r>
        <w:t xml:space="preserve">decisive at the</w:t>
      </w:r>
      <w:r>
        <w:t xml:space="preserve"> </w:t>
      </w:r>
      <w:r>
        <w:rPr>
          <w:i/>
          <w:iCs/>
        </w:rPr>
        <w:t xml:space="preserve">residue</w:t>
      </w:r>
      <w:r>
        <w:t xml:space="preserve"> </w:t>
      </w:r>
      <w:r>
        <w:t xml:space="preserve">level: the truth’s residue is fixed, only its δ1/δ2 (or</w:t>
      </w:r>
      <w:r>
        <w:t xml:space="preserve"> </w:t>
      </w:r>
      <w:r>
        <w:t xml:space="preserve">γ1/γ2) label is open. Collapsing each option set to its residues, MAUS is in fact</w:t>
      </w:r>
      <w:r>
        <w:t xml:space="preserve"> </w:t>
      </w:r>
      <w:r>
        <w:t xml:space="preserve">residue-decisive — and, by never-exclude, correct — on far more peaks than its</w:t>
      </w:r>
      <w:r>
        <w:t xml:space="preserve"> </w:t>
      </w:r>
      <w:r>
        <w:t xml:space="preserve">methyl-unique count suggests: 88.4% vs 34.9% on ubiquitin, 53.6% vs 26.6% on MBP,</w:t>
      </w:r>
      <w:r>
        <w:t xml:space="preserve"> </w:t>
      </w:r>
      <w:r>
        <w:t xml:space="preserve">and 50.9% vs 26.3% on HNH. This residue-vs-methyl gap is a direct readout of how much</w:t>
      </w:r>
      <w:r>
        <w:t xml:space="preserve"> </w:t>
      </w:r>
      <w:r>
        <w:t xml:space="preserve">of MAUS’s ambiguity is</w:t>
      </w:r>
      <w:r>
        <w:t xml:space="preserve"> </w:t>
      </w:r>
      <w:r>
        <w:rPr>
          <w:i/>
          <w:iCs/>
        </w:rPr>
        <w:t xml:space="preserve">merely geminal</w:t>
      </w:r>
      <w:r>
        <w:t xml:space="preserve"> </w:t>
      </w:r>
      <w:r>
        <w:t xml:space="preserve">— a δ1/δ2 orientation that only the score (or</w:t>
      </w:r>
      <w:r>
        <w:t xml:space="preserve"> </w:t>
      </w:r>
      <w:r>
        <w:t xml:space="preserve">a stereospecific measurement) can settle, since it is the one thing the HMBC link</w:t>
      </w:r>
      <w:r>
        <w:t xml:space="preserve"> </w:t>
      </w:r>
      <w:r>
        <w:t xml:space="preserve">leaves open. Its complement, the fraction still spanning more than one residue, is the</w:t>
      </w:r>
      <w:r>
        <w:t xml:space="preserve"> </w:t>
      </w:r>
      <w:r>
        <w:rPr>
          <w:i/>
          <w:iCs/>
        </w:rPr>
        <w:t xml:space="preserve">cross-residue</w:t>
      </w:r>
      <w:r>
        <w:t xml:space="preserve"> </w:t>
      </w:r>
      <w:r>
        <w:t xml:space="preserve">ambiguity, and it dominates the Leu-crowded ILV targets (IL-2 81%, REC2</w:t>
      </w:r>
      <w:r>
        <w:t xml:space="preserve"> </w:t>
      </w:r>
      <w:r>
        <w:t xml:space="preserve">68%, MSG 94% of peaks) where many Leu compete for one peak. That is exactly the part</w:t>
      </w:r>
      <w:r>
        <w:t xml:space="preserve"> </w:t>
      </w:r>
      <w:r>
        <w:t xml:space="preserve">the HMBC link collapses: tying each geminal pair to one residue couples their NOE</w:t>
      </w:r>
      <w:r>
        <w:t xml:space="preserve"> </w:t>
      </w:r>
      <w:r>
        <w:t xml:space="preserve">evidence and lifts the residue-decisive fraction sharply on those targets (REC2 32% →</w:t>
      </w:r>
      <w:r>
        <w:t xml:space="preserve"> </w:t>
      </w:r>
      <w:r>
        <w:t xml:space="preserve">68%, HNH 51% → 79%). Whether that structural collapse improves the final methyl-level</w:t>
      </w:r>
      <w:r>
        <w:t xml:space="preserve"> </w:t>
      </w:r>
      <w:r>
        <w:t xml:space="preserve">call, however, is target-dependent — it does on MBP but reshapes the crowded REC2/REC3</w:t>
      </w:r>
      <w:r>
        <w:t xml:space="preserve"> </w:t>
      </w:r>
      <w:r>
        <w:t xml:space="preserve">landscapes into a worse-scoring optimum — which, together with the fact that the swap</w:t>
      </w:r>
      <w:r>
        <w:t xml:space="preserve"> </w:t>
      </w:r>
      <w:r>
        <w:t xml:space="preserve">itself is left to the score, is why HMBC is opt-in rather than a universal lever.</w:t>
      </w:r>
    </w:p>
    <w:bookmarkEnd w:id="13"/>
    <w:bookmarkStart w:id="14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magicmaus shows that constraint satisfaction and scoring are not competing</w:t>
      </w:r>
      <w:r>
        <w:t xml:space="preserve"> </w:t>
      </w:r>
      <w:r>
        <w:t xml:space="preserve">solutions to methyl assignment but complementary stages of one: SAT to bound the</w:t>
      </w:r>
      <w:r>
        <w:t xml:space="preserve"> </w:t>
      </w:r>
      <w:r>
        <w:t xml:space="preserve">answer with certainty, an intensity-weighted NOE score to commit within the</w:t>
      </w:r>
      <w:r>
        <w:t xml:space="preserve"> </w:t>
      </w:r>
      <w:r>
        <w:t xml:space="preserve">bound. The result is a single, coherent assignment with calibrated per-peak</w:t>
      </w:r>
      <w:r>
        <w:t xml:space="preserve"> </w:t>
      </w:r>
      <w:r>
        <w:t xml:space="preserve">confidence and an always-correct ambiguity envelope, obtained in seconds. The</w:t>
      </w:r>
      <w:r>
        <w:t xml:space="preserve"> </w:t>
      </w:r>
      <w:r>
        <w:t xml:space="preserve">scoring layer is intensity-aware, so the approach improves directly with the</w:t>
      </w:r>
      <w:r>
        <w:t xml:space="preserve"> </w:t>
      </w:r>
      <w:r>
        <w:t xml:space="preserve">information content of the NOESY — from a boolean network to real intensities to</w:t>
      </w:r>
      <w:r>
        <w:t xml:space="preserve"> </w:t>
      </w:r>
      <w:r>
        <w:t xml:space="preserve">4D experiments — and accepts tentative anchors that propagate through both</w:t>
      </w:r>
      <w:r>
        <w:t xml:space="preserve"> </w:t>
      </w:r>
      <w:r>
        <w:t xml:space="preserve">layers. The two clean-room parent implementations and magicmaus are released</w:t>
      </w:r>
      <w:r>
        <w:t xml:space="preserve"> </w:t>
      </w:r>
      <w:r>
        <w:t xml:space="preserve">together to support reuse and further hybridization.</w:t>
      </w:r>
    </w:p>
    <w:bookmarkEnd w:id="14"/>
    <w:bookmarkStart w:id="15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maintainers of PySAT and the BMRB.</w:t>
      </w:r>
    </w:p>
    <w:bookmarkEnd w:id="15"/>
    <w:bookmarkStart w:id="16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None declared.</w:t>
      </w:r>
    </w:p>
    <w:p>
      <w:pPr>
        <w:pStyle w:val="BodyText"/>
      </w:pPr>
      <w:r>
        <w:rPr>
          <w:i/>
          <w:iCs/>
        </w:rPr>
        <w:t xml:space="preserve">Conflict of Interest:</w:t>
      </w:r>
      <w:r>
        <w:t xml:space="preserve"> </w:t>
      </w:r>
      <w:r>
        <w:t xml:space="preserve">none declared.</w:t>
      </w:r>
    </w:p>
    <w:bookmarkEnd w:id="16"/>
    <w:bookmarkStart w:id="17" w:name="acknowledgements-1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authors gratefully acknowledge Eun-Hee Kim and Dr. Hae-Kap Cheong from the</w:t>
      </w:r>
      <w:r>
        <w:t xml:space="preserve"> </w:t>
      </w:r>
      <w:r>
        <w:t xml:space="preserve">Korea Basic Science Institute (KBSI) for their valuable support and discussions.</w:t>
      </w:r>
    </w:p>
    <w:bookmarkEnd w:id="17"/>
    <w:bookmarkStart w:id="18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None declared.</w:t>
      </w:r>
    </w:p>
    <w:bookmarkEnd w:id="18"/>
    <w:bookmarkStart w:id="19" w:name="funding-1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work was supported by the Korea Basic Science Institute (KBSI) internal</w:t>
      </w:r>
      <w:r>
        <w:t xml:space="preserve"> </w:t>
      </w:r>
      <w:r>
        <w:t xml:space="preserve">research programs [C612120, C623200, C623300, C625130, and C539110].</w:t>
      </w:r>
    </w:p>
    <w:bookmarkEnd w:id="19"/>
    <w:bookmarkStart w:id="20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program underlying this article is available on the project website at</w:t>
      </w:r>
      <w:r>
        <w:t xml:space="preserve"> </w:t>
      </w:r>
      <w:hyperlink r:id="rId9">
        <w:r>
          <w:rPr>
            <w:rStyle w:val="Hyperlink"/>
          </w:rPr>
          <w:t xml:space="preserve">https://github.com/deepnmr/magicmaus</w:t>
        </w:r>
      </w:hyperlink>
      <w:r>
        <w:t xml:space="preserve">.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Audemard,G. and Simon,L. (2009) Predicting learnt clauses quality in modern SAT</w:t>
      </w:r>
      <w:r>
        <w:t xml:space="preserve"> </w:t>
      </w:r>
      <w:r>
        <w:t xml:space="preserve">solvers. In</w:t>
      </w:r>
      <w:r>
        <w:t xml:space="preserve"> </w:t>
      </w:r>
      <w:r>
        <w:rPr>
          <w:i/>
          <w:iCs/>
        </w:rPr>
        <w:t xml:space="preserve">Proc. 21st Int. Joint Conf. on Artificial Intelligence (IJCAI)</w:t>
      </w:r>
      <w:r>
        <w:t xml:space="preserve">,</w:t>
      </w:r>
      <w:r>
        <w:t xml:space="preserve"> </w:t>
      </w:r>
      <w:r>
        <w:t xml:space="preserve">pp. 399–404.</w:t>
      </w:r>
    </w:p>
    <w:p>
      <w:pPr>
        <w:pStyle w:val="BodyText"/>
      </w:pPr>
      <w:r>
        <w:t xml:space="preserve">Ignatiev,A., Morgado,A. and Marques-Silva,J. (2018) PySAT: a Python toolkit for</w:t>
      </w:r>
      <w:r>
        <w:t xml:space="preserve"> </w:t>
      </w:r>
      <w:r>
        <w:t xml:space="preserve">prototyping with SAT oracles. In</w:t>
      </w:r>
      <w:r>
        <w:t xml:space="preserve"> </w:t>
      </w:r>
      <w:r>
        <w:rPr>
          <w:i/>
          <w:iCs/>
        </w:rPr>
        <w:t xml:space="preserve">Theory and Applications of Satisfiability</w:t>
      </w:r>
      <w:r>
        <w:rPr>
          <w:i/>
          <w:iCs/>
        </w:rPr>
        <w:t xml:space="preserve"> </w:t>
      </w:r>
      <w:r>
        <w:rPr>
          <w:i/>
          <w:iCs/>
        </w:rPr>
        <w:t xml:space="preserve">Testing (SAT 2018)</w:t>
      </w:r>
      <w:r>
        <w:t xml:space="preserve">, LNCS 10929, pp. 428–437.</w:t>
      </w:r>
    </w:p>
    <w:p>
      <w:pPr>
        <w:pStyle w:val="BodyText"/>
      </w:pPr>
      <w:r>
        <w:t xml:space="preserve">Monneau,Y.R.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methyl assignment in large proteins by the</w:t>
      </w:r>
      <w:r>
        <w:t xml:space="preserve"> </w:t>
      </w:r>
      <w:r>
        <w:t xml:space="preserve">MAGIC algorithm.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69</w:t>
      </w:r>
      <w:r>
        <w:t xml:space="preserve">, 215–227.</w:t>
      </w:r>
    </w:p>
    <w:p>
      <w:pPr>
        <w:pStyle w:val="BodyText"/>
      </w:pPr>
      <w:r>
        <w:t xml:space="preserve">Nerli,S., De Paula,V.S., McShan,A.C. and Sgourakis,N.G. (2021)</w:t>
      </w:r>
      <w:r>
        <w:t xml:space="preserve"> </w:t>
      </w:r>
      <w:r>
        <w:t xml:space="preserve">Backbone-independent NMR resonance assignments of methyl probes in large</w:t>
      </w:r>
      <w:r>
        <w:t xml:space="preserve"> </w:t>
      </w:r>
      <w:r>
        <w:t xml:space="preserve">proteins.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,</w:t>
      </w:r>
      <w:r>
        <w:t xml:space="preserve"> </w:t>
      </w:r>
      <w:r>
        <w:rPr>
          <w:b/>
          <w:bCs/>
        </w:rPr>
        <w:t xml:space="preserve">12</w:t>
      </w:r>
      <w:r>
        <w:t xml:space="preserve">, 691.</w:t>
      </w:r>
    </w:p>
    <w:p>
      <w:pPr>
        <w:pStyle w:val="BodyText"/>
      </w:pPr>
      <w:r>
        <w:t xml:space="preserve">Pritišanac,I.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assignment of methyl-NMR spectra of</w:t>
      </w:r>
      <w:r>
        <w:t xml:space="preserve"> </w:t>
      </w:r>
      <w:r>
        <w:t xml:space="preserve">supramolecular machines using graph theory.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139</w:t>
      </w:r>
      <w:r>
        <w:t xml:space="preserve">,</w:t>
      </w:r>
      <w:r>
        <w:t xml:space="preserve"> </w:t>
      </w:r>
      <w:r>
        <w:t xml:space="preserve">9523–9533.</w:t>
      </w:r>
    </w:p>
    <w:p>
      <w:pPr>
        <w:pStyle w:val="BodyText"/>
      </w:pPr>
      <w:r>
        <w:t xml:space="preserve">Pritišanac,I., Würz,J.M., Alderson,T.R. and Güntert,P. (2019) Automatic</w:t>
      </w:r>
      <w:r>
        <w:t xml:space="preserve"> </w:t>
      </w:r>
      <w:r>
        <w:t xml:space="preserve">structure-based NMR methyl resonance assignment in large proteins.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Commun.</w:t>
      </w:r>
      <w:r>
        <w:t xml:space="preserve">,</w:t>
      </w:r>
      <w:r>
        <w:t xml:space="preserve"> </w:t>
      </w:r>
      <w:r>
        <w:rPr>
          <w:b/>
          <w:bCs/>
        </w:rPr>
        <w:t xml:space="preserve">10</w:t>
      </w:r>
      <w:r>
        <w:t xml:space="preserve">, 4922.</w:t>
      </w:r>
    </w:p>
    <w:p>
      <w:pPr>
        <w:pStyle w:val="BodyText"/>
      </w:pPr>
      <w:r>
        <w:t xml:space="preserve">Pritišanac,I., Alderson,T.R. and Güntert,P. (2020) Automated assignment of methyl</w:t>
      </w:r>
      <w:r>
        <w:t xml:space="preserve"> </w:t>
      </w:r>
      <w:r>
        <w:t xml:space="preserve">NMR spectra from large proteins.</w:t>
      </w:r>
      <w:r>
        <w:t xml:space="preserve"> </w:t>
      </w:r>
      <w:r>
        <w:rPr>
          <w:i/>
          <w:iCs/>
        </w:rPr>
        <w:t xml:space="preserve">Prog. Nucl. Magn. Reson. Spectrosc.</w:t>
      </w:r>
      <w:r>
        <w:t xml:space="preserve">,</w:t>
      </w:r>
      <w:r>
        <w:t xml:space="preserve"> </w:t>
      </w:r>
      <w:r>
        <w:rPr>
          <w:b/>
          <w:bCs/>
        </w:rPr>
        <w:t xml:space="preserve">118–119</w:t>
      </w:r>
      <w:r>
        <w:t xml:space="preserve">, 54–73.</w:t>
      </w:r>
    </w:p>
    <w:p>
      <w:pPr>
        <w:pStyle w:val="BodyText"/>
      </w:pPr>
      <w:r>
        <w:t xml:space="preserve">Rosenzweig,R. and Kay,L.E. (2014) Bringing dynamic molecular machines into focus</w:t>
      </w:r>
      <w:r>
        <w:t xml:space="preserve"> </w:t>
      </w:r>
      <w:r>
        <w:t xml:space="preserve">by methyl-TROSY NMR.</w:t>
      </w:r>
      <w:r>
        <w:t xml:space="preserve"> </w:t>
      </w:r>
      <w:r>
        <w:rPr>
          <w:i/>
          <w:iCs/>
        </w:rPr>
        <w:t xml:space="preserve">Annu. Rev. Biochem.</w:t>
      </w:r>
      <w:r>
        <w:t xml:space="preserve">,</w:t>
      </w:r>
      <w:r>
        <w:t xml:space="preserve"> </w:t>
      </w:r>
      <w:r>
        <w:rPr>
          <w:b/>
          <w:bCs/>
        </w:rPr>
        <w:t xml:space="preserve">83</w:t>
      </w:r>
      <w:r>
        <w:t xml:space="preserve">, 291–315.</w:t>
      </w:r>
    </w:p>
    <w:p>
      <w:pPr>
        <w:pStyle w:val="BodyText"/>
      </w:pPr>
      <w:r>
        <w:t xml:space="preserve">Rossi,P., Xia,Y., Khanra,N., Veglia,G. and Kalodimos,C.G. (2016)</w:t>
      </w:r>
      <w:r>
        <w:t xml:space="preserve"> </w:t>
      </w:r>
      <w:r>
        <w:rPr>
          <w:vertAlign w:val="superscript"/>
        </w:rPr>
        <w:t xml:space="preserve">15</w:t>
      </w:r>
      <w:r>
        <w:t xml:space="preserve">N and</w:t>
      </w:r>
      <w:r>
        <w:t xml:space="preserve"> </w:t>
      </w:r>
      <w:r>
        <w:rPr>
          <w:vertAlign w:val="superscript"/>
        </w:rPr>
        <w:t xml:space="preserve">13</w:t>
      </w:r>
      <w:r>
        <w:t xml:space="preserve">C-SOFAST-HMQC editing enhances 3D-NOESY sensitivity in highly deuterated,</w:t>
      </w:r>
      <w:r>
        <w:t xml:space="preserve"> </w:t>
      </w:r>
      <w:r>
        <w:t xml:space="preserve">selectively [</w:t>
      </w:r>
      <w:r>
        <w:rPr>
          <w:vertAlign w:val="superscript"/>
        </w:rPr>
        <w:t xml:space="preserve">1</w:t>
      </w:r>
      <w:r>
        <w:t xml:space="preserve">H,</w:t>
      </w:r>
      <w:r>
        <w:rPr>
          <w:vertAlign w:val="superscript"/>
        </w:rPr>
        <w:t xml:space="preserve">13</w:t>
      </w:r>
      <w:r>
        <w:t xml:space="preserve">C]-labeled proteins.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66</w:t>
      </w:r>
      <w:r>
        <w:t xml:space="preserve">, 259–271.</w:t>
      </w:r>
    </w:p>
    <w:p>
      <w:pPr>
        <w:pStyle w:val="BodyText"/>
      </w:pPr>
      <w:r>
        <w:t xml:space="preserve">Siemons,L., Mackenzie,H.W., Shukla,V.K. and Hansen,D.F. (2019) Intra-residue</w:t>
      </w:r>
      <w:r>
        <w:t xml:space="preserve"> </w:t>
      </w:r>
      <w:r>
        <w:t xml:space="preserve">methyl–methyl correlations for valine and leucine residues in large proteins from</w:t>
      </w:r>
      <w:r>
        <w:t xml:space="preserve"> </w:t>
      </w:r>
      <w:r>
        <w:t xml:space="preserve">a 3D-HMBC-HMQC experiment.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73</w:t>
      </w:r>
      <w:r>
        <w:t xml:space="preserve">, 749–757.</w:t>
      </w:r>
    </w:p>
    <w:p>
      <w:pPr>
        <w:pStyle w:val="BodyText"/>
      </w:pPr>
      <w:r>
        <w:t xml:space="preserve">Spurlino,J.C., Lu,G.-Y. and Quiocho,F.A. (1991) The 2.3-Å resolution structure of</w:t>
      </w:r>
      <w:r>
        <w:t xml:space="preserve"> </w:t>
      </w:r>
      <w:r>
        <w:t xml:space="preserve">the maltose- or maltodextrin-binding protein, a primary receptor of bacterial</w:t>
      </w:r>
      <w:r>
        <w:t xml:space="preserve"> </w:t>
      </w:r>
      <w:r>
        <w:t xml:space="preserve">active transport and chemotaxis.</w:t>
      </w:r>
      <w:r>
        <w:t xml:space="preserve"> </w:t>
      </w:r>
      <w:r>
        <w:rPr>
          <w:i/>
          <w:iCs/>
        </w:rPr>
        <w:t xml:space="preserve">J. Biol. Chem.</w:t>
      </w:r>
      <w:r>
        <w:t xml:space="preserve">,</w:t>
      </w:r>
      <w:r>
        <w:t xml:space="preserve"> </w:t>
      </w:r>
      <w:r>
        <w:rPr>
          <w:b/>
          <w:bCs/>
        </w:rPr>
        <w:t xml:space="preserve">266</w:t>
      </w:r>
      <w:r>
        <w:t xml:space="preserve">, 5202–5219.</w:t>
      </w:r>
    </w:p>
    <w:p>
      <w:pPr>
        <w:pStyle w:val="BodyText"/>
      </w:pPr>
      <w:r>
        <w:t xml:space="preserve">Tugarinov,V. and Kay,L.E. (2004) An isotope labeling strategy for methyl TROSY</w:t>
      </w:r>
      <w:r>
        <w:t xml:space="preserve"> </w:t>
      </w:r>
      <w:r>
        <w:t xml:space="preserve">spectroscopy.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28</w:t>
      </w:r>
      <w:r>
        <w:t xml:space="preserve">, 165–172.</w:t>
      </w:r>
    </w:p>
    <w:p>
      <w:pPr>
        <w:pStyle w:val="BodyText"/>
      </w:pPr>
      <w:r>
        <w:t xml:space="preserve">Tugarinov,V., Hwang,P.M., Ollerenshaw,J.E. and Kay,L.E. (2003) Cross-correlated</w:t>
      </w:r>
      <w:r>
        <w:t xml:space="preserve"> </w:t>
      </w:r>
      <w:r>
        <w:t xml:space="preserve">relaxation enhanced</w:t>
      </w:r>
      <w:r>
        <w:t xml:space="preserve"> </w:t>
      </w:r>
      <w:r>
        <w:rPr>
          <w:vertAlign w:val="superscript"/>
        </w:rPr>
        <w:t xml:space="preserve">1</w:t>
      </w:r>
      <w:r>
        <w:t xml:space="preserve">H–</w:t>
      </w:r>
      <w:r>
        <w:rPr>
          <w:vertAlign w:val="superscript"/>
        </w:rPr>
        <w:t xml:space="preserve">13</w:t>
      </w:r>
      <w:r>
        <w:t xml:space="preserve">C NMR spectroscopy of methyl groups in very high</w:t>
      </w:r>
      <w:r>
        <w:t xml:space="preserve"> </w:t>
      </w:r>
      <w:r>
        <w:t xml:space="preserve">molecular weight proteins and protein complexes.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125</w:t>
      </w:r>
      <w:r>
        <w:t xml:space="preserve">,</w:t>
      </w:r>
      <w:r>
        <w:t xml:space="preserve"> </w:t>
      </w:r>
      <w:r>
        <w:t xml:space="preserve">10420–10428.</w:t>
      </w:r>
    </w:p>
    <w:p>
      <w:pPr>
        <w:pStyle w:val="BodyText"/>
      </w:pPr>
      <w:r>
        <w:t xml:space="preserve">Ulrich,E.L.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(2008) BioMagResBank.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,</w:t>
      </w:r>
      <w:r>
        <w:t xml:space="preserve"> </w:t>
      </w:r>
      <w:r>
        <w:rPr>
          <w:b/>
          <w:bCs/>
        </w:rPr>
        <w:t xml:space="preserve">36</w:t>
      </w:r>
      <w:r>
        <w:t xml:space="preserve">,</w:t>
      </w:r>
      <w:r>
        <w:t xml:space="preserve"> </w:t>
      </w:r>
      <w:r>
        <w:t xml:space="preserve">D402–D408.</w:t>
      </w:r>
    </w:p>
    <w:p>
      <w:pPr>
        <w:pStyle w:val="BodyText"/>
      </w:pPr>
      <w:r>
        <w:t xml:space="preserve">Wen,J., Zhou,P. and Wu,J. (2012) Efficient acquisition of high-resolution 4-D</w:t>
      </w:r>
      <w:r>
        <w:t xml:space="preserve"> </w:t>
      </w:r>
      <w:r>
        <w:t xml:space="preserve">diagonal-suppressed methyl–methyl NOESY for large proteins.</w:t>
      </w:r>
      <w:r>
        <w:t xml:space="preserve"> </w:t>
      </w:r>
      <w:r>
        <w:rPr>
          <w:i/>
          <w:iCs/>
        </w:rPr>
        <w:t xml:space="preserve">J. Magn. Reson.</w:t>
      </w:r>
      <w:r>
        <w:t xml:space="preserve">,</w:t>
      </w:r>
      <w:r>
        <w:t xml:space="preserve"> </w:t>
      </w:r>
      <w:r>
        <w:rPr>
          <w:b/>
          <w:bCs/>
        </w:rPr>
        <w:t xml:space="preserve">218</w:t>
      </w:r>
      <w:r>
        <w:t xml:space="preserve">, 128–132.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336521"/>
            <wp:effectExtent b="0" l="0" r="0" t="0"/>
            <wp:docPr descr="Fig. 1. (A) The magicmaus pipeline. A SAT layer (MAUS) bounds each peak to a per-peak option set that provably contains the truth (100% envelope) and prunes candidates from up to ~60 to 1–3; an intensity-weighted NOE score (MAGIC-style), applied only within those bounds via a SAT-feasible seed and feasibility-preserving 3-cycle simulated annealing, commits to a single coherent map with a per-peak confidence tier (unique / scored / ambiguous). (B) Methyl-level accuracy across the seven benchmark targets (43–257 methyls, ordered by size), all engines scored on the same 1/r6 intensity NOESY: magicmaus (+soft, blue) versus MAUS unique-only calls (purple; the constraint layer’s decisive fraction, abstaining elsewhere) and full-space MAGIC (red; hatched n.c. where scoring did not converge within a 15-min budget). Green markers denote the 100% truth-in-envelope guarantee, preserved on every target." title="" id="22" name="Picture"/>
            <a:graphic>
              <a:graphicData uri="http://schemas.openxmlformats.org/drawingml/2006/picture">
                <pic:pic>
                  <pic:nvPicPr>
                    <pic:cNvPr descr="figure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65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1.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The magicmaus pipeline. A SAT layer (MAUS) bounds each peak</w:t>
      </w:r>
      <w:r>
        <w:t xml:space="preserve"> </w:t>
      </w:r>
      <w:r>
        <w:t xml:space="preserve">to a per-peak option set that provably contains the truth (100% envelope) and</w:t>
      </w:r>
      <w:r>
        <w:t xml:space="preserve"> </w:t>
      </w:r>
      <w:r>
        <w:t xml:space="preserve">prunes candidates from up to ~60 to 1–3; an intensity-weighted NOE score</w:t>
      </w:r>
      <w:r>
        <w:t xml:space="preserve"> </w:t>
      </w:r>
      <w:r>
        <w:t xml:space="preserve">(MAGIC-style), applied only within those bounds via a SAT-feasible seed and</w:t>
      </w:r>
      <w:r>
        <w:t xml:space="preserve"> </w:t>
      </w:r>
      <w:r>
        <w:t xml:space="preserve">feasibility-preserving 3-cycle simulated annealing, commits to a single coherent map with a</w:t>
      </w:r>
      <w:r>
        <w:t xml:space="preserve"> </w:t>
      </w:r>
      <w:r>
        <w:t xml:space="preserve">per-peak confidence tier (unique / scored / ambiguous). (</w:t>
      </w:r>
      <w:r>
        <w:rPr>
          <w:b/>
          <w:bCs/>
        </w:rPr>
        <w:t xml:space="preserve">B</w:t>
      </w:r>
      <w:r>
        <w:t xml:space="preserve">) Methyl-level</w:t>
      </w:r>
      <w:r>
        <w:t xml:space="preserve"> </w:t>
      </w:r>
      <w:r>
        <w:t xml:space="preserve">accuracy across the seven benchmark targets (43–257 methyls, ordered by size),</w:t>
      </w:r>
      <w:r>
        <w:t xml:space="preserve"> </w:t>
      </w:r>
      <w:r>
        <w:t xml:space="preserve">all engines scored on the same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NOESY: magicmaus (+soft, blue)</w:t>
      </w:r>
      <w:r>
        <w:t xml:space="preserve"> </w:t>
      </w:r>
      <w:r>
        <w:t xml:space="preserve">versus MAUS unique-only calls (purple; the constraint layer’s decisive fraction,</w:t>
      </w:r>
      <w:r>
        <w:t xml:space="preserve"> </w:t>
      </w:r>
      <w:r>
        <w:t xml:space="preserve">abstaining elsewhere) and full-space MAGIC (red; hatched</w:t>
      </w:r>
      <w:r>
        <w:t xml:space="preserve"> </w:t>
      </w:r>
      <w:r>
        <w:rPr>
          <w:i/>
          <w:iCs/>
        </w:rPr>
        <w:t xml:space="preserve">n.c.</w:t>
      </w:r>
      <w:r>
        <w:t xml:space="preserve"> </w:t>
      </w:r>
      <w:r>
        <w:t xml:space="preserve">where scoring did</w:t>
      </w:r>
      <w:r>
        <w:t xml:space="preserve"> </w:t>
      </w:r>
      <w:r>
        <w:t xml:space="preserve">not converge within a 15-min budget). Green markers denote the 100% truth-in-envelope guarantee,</w:t>
      </w:r>
      <w:r>
        <w:t xml:space="preserve"> </w:t>
      </w:r>
      <w:r>
        <w:t xml:space="preserve">preserved on every target.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sz w:val="18"/>
      <w:szCs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9" Target="https://github.com/deepnmr/magicma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deepnmr/magicma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magicmaus: certainty-bounded, score-committed assignment of methyl NMR resonances</dc:title>
  <dc:creator/>
  <cp:keywords/>
  <dcterms:created xsi:type="dcterms:W3CDTF">2026-07-05T18:21:36Z</dcterms:created>
  <dcterms:modified xsi:type="dcterms:W3CDTF">2026-07-05T18:21:36Z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