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29–100%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links each</w:t>
      </w:r>
      <w:r>
        <w:t xml:space="preserve"> </w:t>
      </w:r>
      <w:r>
        <w:t xml:space="preserve">Leu/Val geminal pair — lifts accuracy where geminal pairs dominate the residual</w:t>
      </w:r>
      <w:r>
        <w:t xml:space="preserve"> </w:t>
      </w:r>
      <w:r>
        <w:t xml:space="preserve">(MBP 87.5% → 93.2%; Table 1, +HMBC) but reshapes the constrained landscape into a</w:t>
      </w:r>
      <w:r>
        <w:t xml:space="preserve"> </w:t>
      </w:r>
      <w:r>
        <w:t xml:space="preserve">different equal-scoring optimum where the degeneracy is symmetric rather than</w:t>
      </w:r>
      <w:r>
        <w:t xml:space="preserve"> </w:t>
      </w:r>
      <w:r>
        <w:t xml:space="preserve">geminal (REC2, REC3), so it too is opt-in.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2026-07-05T17:25:49Z</dcterms:created>
  <dcterms:modified xsi:type="dcterms:W3CDTF">2026-07-05T17:25:49Z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