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30–100%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hard cases are the</w:t>
      </w:r>
      <w:r>
        <w:t xml:space="preserve"> </w:t>
      </w:r>
      <w:r>
        <w:t xml:space="preserve">targets whose 3D (H)CCH network yields few firm NOEs: REC3 (32.9%; 50 of 85</w:t>
      </w:r>
      <w:r>
        <w:t xml:space="preserve"> </w:t>
      </w:r>
      <w:r>
        <w:t xml:space="preserve">methyls Leu) and above all MSG, where only 262 cross peaks resolve to a firm</w:t>
      </w:r>
      <w:r>
        <w:t xml:space="preserve"> </w:t>
      </w:r>
      <w:r>
        <w:t xml:space="preserve">constraint so 95 of 257 peaks carry none and the true option sets are large —</w:t>
      </w:r>
      <w:r>
        <w:t xml:space="preserve"> </w:t>
      </w:r>
      <w:r>
        <w:t xml:space="preserve">magicmaus commits 29.6% (38.5% with HMBC) where MAGIC does not converge at all,</w:t>
      </w:r>
      <w:r>
        <w:t xml:space="preserve"> </w:t>
      </w:r>
      <w:r>
        <w:t xml:space="preserve">still under the 100% envelope. On these, an achiral NOE network leaves many</w:t>
      </w:r>
      <w:r>
        <w:t xml:space="preserve"> </w:t>
      </w:r>
      <w:r>
        <w:t xml:space="preserve">geminal pairs and shift-degenerate peaks genuinely unresolvable, which magicmaus</w:t>
      </w:r>
      <w:r>
        <w:t xml:space="preserve"> </w:t>
      </w:r>
      <w:r>
        <w:t xml:space="preserve">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2019) that links each 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44023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full-space MAGIC (red; hatched n.c. where scoring did not converge within a 15-min budget). Green markers denote the 100% truth-in-envelope guarantee, preserved on every target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 not converge within</w:t>
      </w:r>
      <w:r>
        <w:t xml:space="preserve"> </w:t>
      </w:r>
      <w:r>
        <w:t xml:space="preserve">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2026-07-05T10:22:44Z</dcterms:created>
  <dcterms:modified xsi:type="dcterms:W3CDTF">2026-07-05T10:22:44Z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