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1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Donghan Lee</w:t>
      </w:r>
      <w:r>
        <w:t xml:space="preserve"> </w:t>
      </w:r>
      <w:r>
        <w:rPr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Korea Basic Science Institute, Ochang, Republic of Korea.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To whom correspondence should be addressed.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30–100%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72.9% of methyls correctly</w:t>
      </w:r>
      <w:r>
        <w:t xml:space="preserve"> </w:t>
      </w:r>
      <w:r>
        <w:t xml:space="preserve">(79.7%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3D (H)CCH network is simulated from</w:t>
      </w:r>
      <w:r>
        <w:t xml:space="preserve"> </w:t>
      </w:r>
      <w:r>
        <w:t xml:space="preserve">the structure (a cross peak for every methyl 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73–100%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The hard cases are the</w:t>
      </w:r>
      <w:r>
        <w:t xml:space="preserve"> </w:t>
      </w:r>
      <w:r>
        <w:t xml:space="preserve">targets whose 3D (H)CCH network yields few firm NOEs: REC3 (32.9%; 50 of 85</w:t>
      </w:r>
      <w:r>
        <w:t xml:space="preserve"> </w:t>
      </w:r>
      <w:r>
        <w:t xml:space="preserve">methyls Leu) and above all MSG, where only 262 cross peaks resolve to a firm</w:t>
      </w:r>
      <w:r>
        <w:t xml:space="preserve"> </w:t>
      </w:r>
      <w:r>
        <w:t xml:space="preserve">constraint so 95 of 257 peaks carry none and the true option sets are large —</w:t>
      </w:r>
      <w:r>
        <w:t xml:space="preserve"> </w:t>
      </w:r>
      <w:r>
        <w:t xml:space="preserve">magicmaus commits 29.6% (38.5% with HMBC) where MAGIC does not converge at all,</w:t>
      </w:r>
      <w:r>
        <w:t xml:space="preserve"> </w:t>
      </w:r>
      <w:r>
        <w:t xml:space="preserve">still under the 100% envelope. On these, an achiral NOE network leaves many</w:t>
      </w:r>
      <w:r>
        <w:t xml:space="preserve"> </w:t>
      </w:r>
      <w:r>
        <w:t xml:space="preserve">geminal pairs and shift-degenerate peaks genuinely unresolvable, which magicmaus</w:t>
      </w:r>
      <w:r>
        <w:t xml:space="preserve"> </w:t>
      </w:r>
      <w:r>
        <w:t xml:space="preserve">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</w:t>
      </w:r>
      <w:r>
        <w:t xml:space="preserve"> </w:t>
      </w:r>
      <w:r>
        <w:t xml:space="preserve">discarded ambiguous NOEs back in as soft evidence (</w:t>
      </w:r>
      <w:r>
        <w:rPr>
          <w:rStyle w:val="VerbatimChar"/>
        </w:rPr>
        <w:t xml:space="preserve">--soft-ambiguous</w:t>
      </w:r>
      <w:r>
        <w:t xml:space="preserve">) helped on</w:t>
      </w:r>
      <w:r>
        <w:t xml:space="preserve"> </w:t>
      </w:r>
      <w:r>
        <w:t xml:space="preserve">the sparser targets (IL-2, REC2, MBP: +1–7 points) but not on the densely</w:t>
      </w:r>
      <w:r>
        <w:t xml:space="preserve"> </w:t>
      </w:r>
      <w:r>
        <w:t xml:space="preserve">degenerate ones (HNH, REC3), so it is offered as an option, not a default. Adding</w:t>
      </w:r>
      <w:r>
        <w:t xml:space="preserve"> </w:t>
      </w:r>
      <w:r>
        <w:t xml:space="preserve">one further optional 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2019) that links each Leu/Val geminal pair — lifts accuracy on every target (Table 1, +HMBC), most where</w:t>
      </w:r>
      <w:r>
        <w:t xml:space="preserve"> </w:t>
      </w:r>
      <w:r>
        <w:t xml:space="preserve">degeneracy is worst: REC3 rises 28.2% → 45.9% and MBP 79.7% → 89.1%, since geminal</w:t>
      </w:r>
      <w:r>
        <w:t xml:space="preserve"> </w:t>
      </w:r>
      <w:r>
        <w:t xml:space="preserve">ambiguity is precisely what an achiral NOE network cannot break.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698"/>
        <w:gridCol w:w="931"/>
        <w:gridCol w:w="931"/>
        <w:gridCol w:w="931"/>
        <w:gridCol w:w="931"/>
        <w:gridCol w:w="931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44023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across the seven benchmark targets (43–257 methyls, ordered by size), all engines scored on the same 1/r6 intensity NOESY: magicmaus (+soft, blue) versus full-space MAGIC (red; hatched n.c. where scoring did not converge within a 15-min budget). Green markers denote the 100% truth-in-envelope guarantee, preserved on every target." title="" id="18" name="Picture"/>
            <a:graphic>
              <a:graphicData uri="http://schemas.openxmlformats.org/drawingml/2006/picture">
                <pic:pic>
                  <pic:nvPicPr>
                    <pic:cNvPr descr="figure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4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benchmark targets (43–257 methyls, ordered by size),</w:t>
      </w:r>
      <w:r>
        <w:t xml:space="preserve"> </w:t>
      </w:r>
      <w:r>
        <w:t xml:space="preserve">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NOESY: magicmaus (+soft, blue)</w:t>
      </w:r>
      <w:r>
        <w:t xml:space="preserve"> </w:t>
      </w:r>
      <w:r>
        <w:t xml:space="preserve">versus full-space MAGIC (red; hatched</w:t>
      </w:r>
      <w:r>
        <w:t xml:space="preserve"> </w:t>
      </w:r>
      <w:r>
        <w:rPr>
          <w:i/>
          <w:iCs/>
        </w:rPr>
        <w:t xml:space="preserve">n.c.</w:t>
      </w:r>
      <w:r>
        <w:t xml:space="preserve"> </w:t>
      </w:r>
      <w:r>
        <w:t xml:space="preserve">where scoring did not converge within</w:t>
      </w:r>
      <w:r>
        <w:t xml:space="preserve"> </w:t>
      </w:r>
      <w:r>
        <w:t xml:space="preserve">a 15-min budget). Green markers denote the 100% truth-in-envelope guarantee,</w:t>
      </w:r>
      <w:r>
        <w:t xml:space="preserve"> </w:t>
      </w:r>
      <w:r>
        <w:t xml:space="preserve">preserved on every target.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2026-07-05T10:17:08Z</dcterms:created>
  <dcterms:modified xsi:type="dcterms:W3CDTF">2026-07-05T10:17:08Z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