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structure-simulated benchmark</w:t>
      </w:r>
      <w:r>
        <w:t xml:space="preserve"> </w:t>
      </w:r>
      <w:r>
        <w:t xml:space="preserve">targets (43–257 methyls) built from real shifts and structures, magicmaus commits</w:t>
      </w:r>
      <w:r>
        <w:t xml:space="preserve"> </w:t>
      </w:r>
      <w:r>
        <w:t xml:space="preserve">a single answer for every peak at 29–100% methyl-level accuracy — up to an order</w:t>
      </w:r>
      <w:r>
        <w:t xml:space="preserve"> </w:t>
      </w:r>
      <w:r>
        <w:t xml:space="preserve">of 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87.0% of methyls correctly</w:t>
      </w:r>
      <w:r>
        <w:t xml:space="preserve"> </w:t>
      </w:r>
      <w:r>
        <w:t xml:space="preserve">(87.5% with ambiguous-NOE evidence) versus 5.7% for scoring alone. A further</w:t>
      </w:r>
      <w:r>
        <w:t xml:space="preserve"> </w:t>
      </w:r>
      <w:r>
        <w:t xml:space="preserve">real-experimental multimer (the TNF-α homotrimer, scored against an AlphaFold3</w:t>
      </w:r>
      <w:r>
        <w:t xml:space="preserve"> </w:t>
      </w:r>
      <w:r>
        <w:t xml:space="preserve">model) demonstrates the method on genuine spectra and honestly bounds it: the</w:t>
      </w:r>
      <w:r>
        <w:t xml:space="preserve"> </w:t>
      </w:r>
      <w:r>
        <w:t xml:space="preserve">never-exclude envelope is 92.9% — conditional, unlike the simulated targets, on</w:t>
      </w:r>
      <w:r>
        <w:t xml:space="preserve"> </w:t>
      </w:r>
      <w:r>
        <w:t xml:space="preserve">the measured NOEs being consistent with the (predicted) structure — and treating</w:t>
      </w:r>
      <w:r>
        <w:t xml:space="preserve"> </w:t>
      </w:r>
      <w:r>
        <w:t xml:space="preserve">the trimer’s chains as symmetry images is required to explain the inter-subunit</w:t>
      </w:r>
      <w:r>
        <w:t xml:space="preserve"> </w:t>
      </w:r>
      <w:r>
        <w:t xml:space="preserve">NOEs at all.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 This is</w:t>
      </w:r>
      <w:r>
        <w:t xml:space="preserve"> </w:t>
      </w:r>
      <w:r>
        <w:t xml:space="preserve">also why the tempting shortcut of assigning a peak to the last unclaimed methyl of</w:t>
      </w:r>
      <w:r>
        <w:t xml:space="preserve"> </w:t>
      </w:r>
      <w:r>
        <w:t xml:space="preserve">its type is unsound: the structure routinely carries many more methyls of a type</w:t>
      </w:r>
      <w:r>
        <w:t xml:space="preserve"> </w:t>
      </w:r>
      <w:r>
        <w:t xml:space="preserve">than are observed (REC3, for instance, has 292 Leu methyls but only 50 Leu peaks),</w:t>
      </w:r>
      <w:r>
        <w:t xml:space="preserve"> </w:t>
      </w:r>
      <w:r>
        <w:t xml:space="preserve">so an unclaimed methyl may simply be unobserved rather than the peak’s answer.</w:t>
      </w:r>
      <w:r>
        <w:t xml:space="preserve"> </w:t>
      </w:r>
      <w:r>
        <w:t xml:space="preserve">Because MAUS models a methyl as free to go unassigned, its enumeration already</w:t>
      </w:r>
      <w:r>
        <w:t xml:space="preserve"> </w:t>
      </w:r>
      <w:r>
        <w:t xml:space="preserve">performs every elimination that injectivity licenses — but no more — and thereby</w:t>
      </w:r>
      <w:r>
        <w:t xml:space="preserve"> </w:t>
      </w:r>
      <w:r>
        <w:t xml:space="preserve">keeps the truth in the set instead of forcing a wrong pin.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search on a MAGIC-style objective: each firm NOE</w:t>
      </w:r>
      <w:r>
        <w:t xml:space="preserve"> </w:t>
      </w:r>
      <w:r>
        <w:t xml:space="preserve">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 a</w:t>
      </w:r>
      <w:r>
        <w:t xml:space="preserve"> </w:t>
      </w:r>
      <w:r>
        <w:t xml:space="preserve">strong NOE is driven onto a close contact. A plain greedy ascent settles into the</w:t>
      </w:r>
      <w:r>
        <w:t xml:space="preserve"> </w:t>
      </w:r>
      <w:r>
        <w:t xml:space="preserve">nearest local optimum, which on the near-flat MAGIC landscape lies 10–20% below</w:t>
      </w:r>
      <w:r>
        <w:t xml:space="preserve"> </w:t>
      </w:r>
      <w:r>
        <w:t xml:space="preserve">the truth’s objective; magicmaus instead runs simulated annealing over three</w:t>
      </w:r>
      <w:r>
        <w:t xml:space="preserve"> </w:t>
      </w:r>
      <w:r>
        <w:t xml:space="preserve">feasibility-preserving move classes — relocate, pairwise swap, and three-cycle</w:t>
      </w:r>
      <w:r>
        <w:t xml:space="preserve"> </w:t>
      </w:r>
      <w:r>
        <w:t xml:space="preserve">rotation — the last being essential, since a swap requires the displaced methyl to</w:t>
      </w:r>
      <w:r>
        <w:t xml:space="preserve"> </w:t>
      </w:r>
      <w:r>
        <w:t xml:space="preserve">lie in its partner’s option set and stalls in the tightly coupled Leu/Val graphs</w:t>
      </w:r>
      <w:r>
        <w:t xml:space="preserve"> </w:t>
      </w:r>
      <w:r>
        <w:t xml:space="preserve">that rotations traverse. The best annealed state is polished by a final greedy</w:t>
      </w:r>
      <w:r>
        <w:t xml:space="preserve"> </w:t>
      </w:r>
      <w:r>
        <w:t xml:space="preserve">ascent. Every move stays injective and NOE-consistent, so the output is always a</w:t>
      </w:r>
      <w:r>
        <w:t xml:space="preserve"> </w:t>
      </w:r>
      <w:r>
        <w:t xml:space="preserve">valid bijection — a property a naïve per-cluster search cannot guarantee on the</w:t>
      </w:r>
      <w:r>
        <w:t xml:space="preserve"> </w:t>
      </w:r>
      <w:r>
        <w:t xml:space="preserve">single 138-peak degeneracy cluster of the benchmark below. Because this objective</w:t>
      </w:r>
      <w:r>
        <w:t xml:space="preserve"> </w:t>
      </w:r>
      <w:r>
        <w:t xml:space="preserve">is well-determined only when the NOESY carries real intensities and most optimised</w:t>
      </w:r>
      <w:r>
        <w:t xml:space="preserve"> </w:t>
      </w:r>
      <w:r>
        <w:t xml:space="preserve">peaks bear a firm NOE, the annealer is gated on both and reduces to the plain ascent</w:t>
      </w:r>
      <w:r>
        <w:t xml:space="preserve"> </w:t>
      </w:r>
      <w:r>
        <w:t xml:space="preserve">otherwise (a boolean network, or under 75% firm-NOE coverage). Optionally,</w:t>
      </w:r>
      <w:r>
        <w:t xml:space="preserve"> </w:t>
      </w:r>
      <w:r>
        <w:t xml:space="preserve">the ambiguous NOE cross peaks MAUS discards are folded back in as diluted,</w:t>
      </w:r>
      <w:r>
        <w:t xml:space="preserve"> </w:t>
      </w:r>
      <w:r>
        <w:t xml:space="preserve">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 To test the method on</w:t>
      </w:r>
      <w:r>
        <w:t xml:space="preserve"> </w:t>
      </w:r>
      <w:r>
        <w:t xml:space="preserve">genuine spectra rather than a simulated network we add one real-experimental</w:t>
      </w:r>
      <w:r>
        <w:t xml:space="preserve"> </w:t>
      </w:r>
      <w:r>
        <w:t xml:space="preserve">target: measured AILTV methyl HMQC, 3D (H)CCH NOESY-HMQC and HMBC-HMQC peak lists</w:t>
      </w:r>
      <w:r>
        <w:t xml:space="preserve"> </w:t>
      </w:r>
      <w:r>
        <w:t xml:space="preserve">of the tumour-necrosis-factor-α homotrimer (85 assigned methyls), scored against</w:t>
      </w:r>
      <w:r>
        <w:t xml:space="preserve"> </w:t>
      </w:r>
      <w:r>
        <w:t xml:space="preserve">an AlphaFold3 model of the trimer. This target is also our only multimer; because</w:t>
      </w:r>
      <w:r>
        <w:t xml:space="preserve"> </w:t>
      </w:r>
      <w:r>
        <w:t xml:space="preserve">the three protomers are magnetically equivalent, each residue gives one HMQC peak</w:t>
      </w:r>
      <w:r>
        <w:t xml:space="preserve"> </w:t>
      </w:r>
      <w:r>
        <w:t xml:space="preserve">whose NOE partners may lie in the same or a neighbouring subunit, so</w:t>
      </w:r>
      <w:r>
        <w:t xml:space="preserve"> </w:t>
      </w:r>
      <w:r>
        <w:rPr>
          <w:rStyle w:val="VerbatimChar"/>
        </w:rPr>
        <w:t xml:space="preserve">parse_structure</w:t>
      </w:r>
      <w:r>
        <w:t xml:space="preserve"> </w:t>
      </w:r>
      <w:r>
        <w:t xml:space="preserve">retains all three chains as symmetry images of each methyl and scores every</w:t>
      </w:r>
      <w:r>
        <w:t xml:space="preserve"> </w:t>
      </w:r>
      <w:r>
        <w:t xml:space="preserve">structural contact by the minimum distance over subunit pairs.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82–100%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87.0%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This accuracy comes from the</w:t>
      </w:r>
      <w:r>
        <w:t xml:space="preserve"> </w:t>
      </w:r>
      <w:r>
        <w:t xml:space="preserve">scoring layer’s 3-cycle simulated-annealing search: on an intensity network the</w:t>
      </w:r>
      <w:r>
        <w:t xml:space="preserve"> </w:t>
      </w:r>
      <w:r>
        <w:t xml:space="preserve">NOE objective’s global optimum is the truth (a truth-seeded search scores ~96%),</w:t>
      </w:r>
      <w:r>
        <w:t xml:space="preserve"> </w:t>
      </w:r>
      <w:r>
        <w:t xml:space="preserve">and annealing reaches it where a plain greedy ascent stalls 10–20% short — the</w:t>
      </w:r>
      <w:r>
        <w:t xml:space="preserve"> </w:t>
      </w:r>
      <w:r>
        <w:t xml:space="preserve">rotational moves cross the tightly coupled Leu/Val option graphs that pairwise</w:t>
      </w:r>
      <w:r>
        <w:t xml:space="preserve"> </w:t>
      </w:r>
      <w:r>
        <w:t xml:space="preserve">swaps cannot. That objective is trustworthy only when it is well-determined, which</w:t>
      </w:r>
      <w:r>
        <w:t xml:space="preserve"> </w:t>
      </w:r>
      <w:r>
        <w:t xml:space="preserve">requires two conditions, and magicmaus withholds the annealer — falling back to the</w:t>
      </w:r>
      <w:r>
        <w:t xml:space="preserve"> </w:t>
      </w:r>
      <w:r>
        <w:t xml:space="preserve">plain greedy ascent — when either fails: (i) the NOESY must carry real intensities</w:t>
      </w:r>
      <w:r>
        <w:t xml:space="preserve"> </w:t>
      </w:r>
      <w:r>
        <w:t xml:space="preserve">that pin each contact to its distance (on a boolean network the annealer would</w:t>
      </w:r>
      <w:r>
        <w:t xml:space="preserve"> </w:t>
      </w:r>
      <w:r>
        <w:t xml:space="preserve">merely overfit to structural-contact density), and (ii) most of the peaks being</w:t>
      </w:r>
      <w:r>
        <w:t xml:space="preserve"> </w:t>
      </w:r>
      <w:r>
        <w:t xml:space="preserve">optimised must actually carry a firm NOE. The hard cases are the targets whose 3D</w:t>
      </w:r>
      <w:r>
        <w:t xml:space="preserve"> </w:t>
      </w:r>
      <w:r>
        <w:t xml:space="preserve">(H)CCH network yields few firm NOEs: REC3 (60.0%; 50 of 85 methyls Leu) and above</w:t>
      </w:r>
      <w:r>
        <w:t xml:space="preserve"> </w:t>
      </w:r>
      <w:r>
        <w:t xml:space="preserve">all MSG, where only 262 cross peaks resolve to a firm constraint so 95 of 257 peaks</w:t>
      </w:r>
      <w:r>
        <w:t xml:space="preserve"> </w:t>
      </w:r>
      <w:r>
        <w:t xml:space="preserve">carry none — below magicmaus’s 75% firm-NOE coverage cut, so the annealer is</w:t>
      </w:r>
      <w:r>
        <w:t xml:space="preserve"> </w:t>
      </w:r>
      <w:r>
        <w:t xml:space="preserve">withheld and the greedy ascent commits 29.6% (38.5% with HMBC) where MAGIC does not</w:t>
      </w:r>
      <w:r>
        <w:t xml:space="preserve"> </w:t>
      </w:r>
      <w:r>
        <w:t xml:space="preserve">converge at all, still under the 100% envelope. On these, an achiral NOE network</w:t>
      </w:r>
      <w:r>
        <w:t xml:space="preserve"> </w:t>
      </w:r>
      <w:r>
        <w:t xml:space="preserve">leaves many geminal pairs and</w:t>
      </w:r>
      <w:r>
        <w:t xml:space="preserve"> </w:t>
      </w:r>
      <w:r>
        <w:t xml:space="preserve">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 discarded</w:t>
      </w:r>
      <w:r>
        <w:t xml:space="preserve"> </w:t>
      </w:r>
      <w:r>
        <w:t xml:space="preserve">ambiguous NOEs back in as soft evidence (</w:t>
      </w:r>
      <w:r>
        <w:rPr>
          <w:rStyle w:val="VerbatimChar"/>
        </w:rPr>
        <w:t xml:space="preserve">--soft-ambiguous</w:t>
      </w:r>
      <w:r>
        <w:t xml:space="preserve">) helped on most targets</w:t>
      </w:r>
      <w:r>
        <w:t xml:space="preserve"> </w:t>
      </w:r>
      <w:r>
        <w:t xml:space="preserve">(IL-2 +8.5, HNH +3.5, REC2 +1.6 points) but was a wash on the densely degenerate</w:t>
      </w:r>
      <w:r>
        <w:t xml:space="preserve"> </w:t>
      </w:r>
      <w:r>
        <w:t xml:space="preserve">REC3, so it is offered as an option, not a default. Adding one further optional</w:t>
      </w:r>
      <w:r>
        <w:t xml:space="preserve"> </w:t>
      </w:r>
      <w:r>
        <w:t xml:space="preserve">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 that identifies</w:t>
      </w:r>
      <w:r>
        <w:t xml:space="preserve"> </w:t>
      </w:r>
      <w:r>
        <w:t xml:space="preserve">which two HMQC peaks are the geminal pair of one residue — enters as a hard</w:t>
      </w:r>
      <w:r>
        <w:t xml:space="preserve"> </w:t>
      </w:r>
      <w:r>
        <w:t xml:space="preserve">constraint tying that pair to a single structural residue. It does not by itself</w:t>
      </w:r>
      <w:r>
        <w:t xml:space="preserve"> </w:t>
      </w:r>
      <w:r>
        <w:t xml:space="preserve">orient δ1 versus δ2 (the constraint admits both orderings); it collapses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 by coupling the pair’s NOE evidence, and hands the</w:t>
      </w:r>
      <w:r>
        <w:t xml:space="preserve"> </w:t>
      </w:r>
      <w:r>
        <w:t xml:space="preserve">orientation to the score. Its net effect on accuracy is target-dependent: it helps</w:t>
      </w:r>
      <w:r>
        <w:t xml:space="preserve"> </w:t>
      </w:r>
      <w:r>
        <w:t xml:space="preserve">MBP (87.5% → 93.2%; Table 1, +HMBC) but on the crowded REC2/REC3 domains the extra</w:t>
      </w:r>
      <w:r>
        <w:t xml:space="preserve"> </w:t>
      </w:r>
      <w:r>
        <w:t xml:space="preserve">hard links reshape the constrained landscape into a different equal-scoring optimum</w:t>
      </w:r>
      <w:r>
        <w:t xml:space="preserve"> </w:t>
      </w:r>
      <w:r>
        <w:t xml:space="preserve">that scores lower, so it too is opt-in. Running the same scoring inside the MAUS</w:t>
      </w:r>
      <w:r>
        <w:t xml:space="preserve"> </w:t>
      </w:r>
      <w:r>
        <w:t xml:space="preserve">bounds thus yields roughly an order of magnitude more single-answer accuracy than</w:t>
      </w:r>
      <w:r>
        <w:t xml:space="preserve"> </w:t>
      </w:r>
      <w:r>
        <w:t xml:space="preserve">scoring over the full space, at no cost to the certainty guarantee, and improves</w:t>
      </w:r>
      <w:r>
        <w:t xml:space="preserve"> </w:t>
      </w:r>
      <w:r>
        <w:t xml:space="preserve">with added experimental input where that input is informative.</w:t>
      </w:r>
    </w:p>
    <w:p>
      <w:pPr>
        <w:pStyle w:val="BodyText"/>
      </w:pPr>
      <w:r>
        <w:t xml:space="preserve">On the real-experimental TNF-α homotrimer the method behaves consistently with</w:t>
      </w:r>
      <w:r>
        <w:t xml:space="preserve"> </w:t>
      </w:r>
      <w:r>
        <w:t xml:space="preserve">the simulated targets while exposing two properties only genuine data reveals</w:t>
      </w:r>
      <w:r>
        <w:t xml:space="preserve"> </w:t>
      </w:r>
      <w:r>
        <w:t xml:space="preserve">(Table 1). First, multimer handling is not optional but load-bearing: parsed as a</w:t>
      </w:r>
      <w:r>
        <w:t xml:space="preserve"> </w:t>
      </w:r>
      <w:r>
        <w:t xml:space="preserve">single protomer the measured inter-subunit NOEs have no structural explanation,</w:t>
      </w:r>
      <w:r>
        <w:t xml:space="preserve"> </w:t>
      </w:r>
      <w:r>
        <w:t xml:space="preserve">the hard constraints become jointly infeasible, and the option sets collapse to a</w:t>
      </w:r>
      <w:r>
        <w:t xml:space="preserve"> </w:t>
      </w:r>
      <w:r>
        <w:t xml:space="preserve">0% envelope; retaining the three chains as symmetry images (contact = minimum</w:t>
      </w:r>
      <w:r>
        <w:t xml:space="preserve"> </w:t>
      </w:r>
      <w:r>
        <w:t xml:space="preserve">distance over subunits) recovers a coherent 92.9% envelope with 6 uniquely</w:t>
      </w:r>
      <w:r>
        <w:t xml:space="preserve"> </w:t>
      </w:r>
      <w:r>
        <w:t xml:space="preserve">determined peaks. Second, the never-exclude guarantee is conditional on the NOEs</w:t>
      </w:r>
      <w:r>
        <w:t xml:space="preserve"> </w:t>
      </w:r>
      <w:r>
        <w:t xml:space="preserve">being consistent with the structure — a condition simulated data satisfies by</w:t>
      </w:r>
      <w:r>
        <w:t xml:space="preserve"> </w:t>
      </w:r>
      <w:r>
        <w:t xml:space="preserve">construction. Measured against an AlphaFold3 model, 6 of 85 peaks (Ala33, Leu75δ2,</w:t>
      </w:r>
      <w:r>
        <w:t xml:space="preserve"> </w:t>
      </w:r>
      <w:r>
        <w:t xml:space="preserve">Val91γ1/γ2, Leu94δ1/δ2) carry NOEs the predicted structure does not support at the</w:t>
      </w:r>
      <w:r>
        <w:t xml:space="preserve"> </w:t>
      </w:r>
      <w:r>
        <w:t xml:space="preserve">6/10 Å cutoffs and fall out of the envelope, so the real-world figure is 92.9%,</w:t>
      </w:r>
      <w:r>
        <w:t xml:space="preserve"> </w:t>
      </w:r>
      <w:r>
        <w:t xml:space="preserve">not 100%. Committed accuracy (30.6%) is lower than the simulated targets, as</w:t>
      </w:r>
      <w:r>
        <w:t xml:space="preserve"> </w:t>
      </w:r>
      <w:r>
        <w:t xml:space="preserve">expected for a boolean-dominated (H)CCH network with raw peak-height intensities</w:t>
      </w:r>
      <w:r>
        <w:t xml:space="preserve"> </w:t>
      </w:r>
      <w:r>
        <w:t xml:space="preserve">scored against a predicted fold. HMBC, finally, is counter-productive here: the</w:t>
      </w:r>
      <w:r>
        <w:t xml:space="preserve"> </w:t>
      </w:r>
      <w:r>
        <w:t xml:space="preserve">measured HMBC shifts resolve poorly at these tolerances (65 of 69 rows unmatched)</w:t>
      </w:r>
      <w:r>
        <w:t xml:space="preserve"> </w:t>
      </w:r>
      <w:r>
        <w:t xml:space="preserve">and the few that match include a wrong geminal pair; because each HMBC link is a</w:t>
      </w:r>
      <w:r>
        <w:t xml:space="preserve"> </w:t>
      </w:r>
      <w:r>
        <w:t xml:space="preserve">hard constraint, a single incorrect one renders the global SAT infeasible and</w:t>
      </w:r>
      <w:r>
        <w:t xml:space="preserve"> </w:t>
      </w:r>
      <w:r>
        <w:t xml:space="preserve">collapses the envelope, so</w:t>
      </w:r>
      <w:r>
        <w:t xml:space="preserve"> </w:t>
      </w:r>
      <w:r>
        <w:rPr>
          <w:rStyle w:val="VerbatimChar"/>
        </w:rPr>
        <w:t xml:space="preserve">--hmbc</w:t>
      </w:r>
      <w:r>
        <w:t xml:space="preserve"> </w:t>
      </w:r>
      <w:r>
        <w:t xml:space="preserve">is not recommended on this dataset — the same</w:t>
      </w:r>
      <w:r>
        <w:t xml:space="preserve"> </w:t>
      </w:r>
      <w:r>
        <w:t xml:space="preserve">target-dependent fragility seen on REC2/REC3, taken to its extreme by real</w:t>
      </w:r>
      <w:r>
        <w:t xml:space="preserve"> </w:t>
      </w:r>
      <w:r>
        <w:t xml:space="preserve">spectral noise.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structure-simulated targets plus one</w:t>
      </w:r>
      <w:r>
        <w:t xml:space="preserve"> </w:t>
      </w:r>
      <w:r>
        <w:t xml:space="preserve">real-experimental multimer (TNF-α), 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 contains the</w:t>
      </w:r>
      <w:r>
        <w:t xml:space="preserve"> </w:t>
      </w:r>
      <w:r>
        <w:t xml:space="preserve">truth (never-exclude guarantee). n.c. = did not converge within a 15-min budget;</w:t>
      </w:r>
      <w:r>
        <w:t xml:space="preserve"> </w:t>
      </w:r>
      <w:r>
        <w:t xml:space="preserve">n.r. = not recommended (see below).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642"/>
        <w:gridCol w:w="642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</w:pPr>
            <w:r>
              <w:t xml:space="preserve">Labeling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TNF-α‡</w:t>
            </w:r>
          </w:p>
        </w:tc>
        <w:tc>
          <w:tcPr/>
          <w:p>
            <w:pPr>
              <w:pStyle w:val="Compact"/>
            </w:pPr>
            <w:r>
              <w:t xml:space="preserve">real / AF3 trimer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92.9%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‡TNF-α is the only real-experimental and only multimeric target:</w:t>
      </w:r>
      <w:r>
        <w:t xml:space="preserve"> </w:t>
      </w:r>
      <w:r>
        <w:t xml:space="preserve">genuine methyl-NMR HMQC/NOESY/HMBC peak lists of the tumour-necrosis-factor-α</w:t>
      </w:r>
      <w:r>
        <w:t xml:space="preserve"> </w:t>
      </w:r>
      <w:r>
        <w:t xml:space="preserve">homotrimer, scored against an AlphaFold3 trimer model. It exposes two properties</w:t>
      </w:r>
      <w:r>
        <w:t xml:space="preserve"> </w:t>
      </w:r>
      <w:r>
        <w:t xml:space="preserve">the simulated targets cannot (detailed below): the never-exclude envelope is</w:t>
      </w:r>
      <w:r>
        <w:t xml:space="preserve"> </w:t>
      </w:r>
      <w:r>
        <w:t xml:space="preserve">conditional on NOE–structure consistency (92.9%, not 100%, against a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structure), and multimer handling — treating the three chains as symmetry images</w:t>
      </w:r>
      <w:r>
        <w:t xml:space="preserve"> </w:t>
      </w:r>
      <w:r>
        <w:t xml:space="preserve">so a contact is the minimum distance over subunits — is required, since a</w:t>
      </w:r>
      <w:r>
        <w:t xml:space="preserve"> </w:t>
      </w:r>
      <w:r>
        <w:t xml:space="preserve">single-protomer parse leaves the real inter-subunit NOEs unexplainable and</w:t>
      </w:r>
      <w:r>
        <w:t xml:space="preserve"> </w:t>
      </w:r>
      <w:r>
        <w:t xml:space="preserve">collapses the SAT to a 0% envelope. HMBC is marked n.r.: real HMBC shifts resolve</w:t>
      </w:r>
      <w:r>
        <w:t xml:space="preserve"> </w:t>
      </w:r>
      <w:r>
        <w:t xml:space="preserve">poorly at these tolerances and one wrongly matched geminal link makes the global</w:t>
      </w:r>
      <w:r>
        <w:t xml:space="preserve"> </w:t>
      </w:r>
      <w:r>
        <w:t xml:space="preserve">SAT infeasible, collapsing the envelope. The MAUS column is the fraction of peaks</w:t>
      </w:r>
      <w:r>
        <w:t xml:space="preserve"> </w:t>
      </w:r>
      <w:r>
        <w:t xml:space="preserve">it commits uniquely (all correct); on the rest it abstains, so its coverage is the</w:t>
      </w:r>
      <w:r>
        <w:t xml:space="preserve"> </w:t>
      </w:r>
      <w:r>
        <w:t xml:space="preserve">Envelope column. The +HMBC column adds an optional HMBC-HMQC geminal-link</w:t>
      </w:r>
      <w:r>
        <w:t xml:space="preserve"> </w:t>
      </w:r>
      <w:r>
        <w:t xml:space="preserve">experiment (</w:t>
      </w:r>
      <w:r>
        <w:rPr>
          <w:rStyle w:val="VerbatimChar"/>
        </w:rPr>
        <w:t xml:space="preserve">--hmbc</w:t>
      </w:r>
      <w:r>
        <w:t xml:space="preserve">) on top of +soft, forcing each Leu/Val geminal pair onto its</w:t>
      </w:r>
      <w:r>
        <w:t xml:space="preserve"> </w:t>
      </w:r>
      <w:r>
        <w:t xml:space="preserve">two structural methyls.</w:t>
      </w:r>
    </w:p>
    <w:p>
      <w:pPr>
        <w:pStyle w:val="BodyText"/>
      </w:pPr>
      <w:r>
        <w:t xml:space="preserve">The labeling scheme (Table 1) shapes the assignment problem in two ways that the</w:t>
      </w:r>
      <w:r>
        <w:t xml:space="preserve"> </w:t>
      </w:r>
      <w:r>
        <w:t xml:space="preserve">residue-resolved accuracy of Table 2 makes explicit. First, because a peak competes</w:t>
      </w:r>
      <w:r>
        <w:t xml:space="preserve"> </w:t>
      </w:r>
      <w:r>
        <w:t xml:space="preserve">only with methyls of its own residue type, the number of labeled types sets the</w:t>
      </w:r>
      <w:r>
        <w:t xml:space="preserve"> </w:t>
      </w:r>
      <w:r>
        <w:t xml:space="preserve">granularity of the candidate partition: the two AILMTV targets (ubiquitin, MBP)</w:t>
      </w:r>
      <w:r>
        <w:t xml:space="preserve"> </w:t>
      </w:r>
      <w:r>
        <w:t xml:space="preserve">spread their peaks over six types, so each peak competes against fewer same-type</w:t>
      </w:r>
      <w:r>
        <w:t xml:space="preserve"> </w:t>
      </w:r>
      <w:r>
        <w:t xml:space="preserve">methyls than in a three-type ILV set. Second, labeling sets the irreducible geminal</w:t>
      </w:r>
      <w:r>
        <w:t xml:space="preserve"> </w:t>
      </w:r>
      <w:r>
        <w:t xml:space="preserve">load: Leu (δ1/δ2) and Val (γ1/γ2) carry prochiral methyl pairs that an achiral NOE</w:t>
      </w:r>
      <w:r>
        <w:t xml:space="preserve"> </w:t>
      </w:r>
      <w:r>
        <w:t xml:space="preserve">network cannot orient, whereas Ile contributes a single δ1 methyl. Table 2 shows the</w:t>
      </w:r>
      <w:r>
        <w:t xml:space="preserve"> </w:t>
      </w:r>
      <w:r>
        <w:t xml:space="preserve">two effects: Ile is the most reliably assigned type — 100% on five of seven targets</w:t>
      </w:r>
      <w:r>
        <w:t xml:space="preserve"> </w:t>
      </w:r>
      <w:r>
        <w:t xml:space="preserve">— because it is single-methyl and, being typically buried, NOE-rich; Leu and Val</w:t>
      </w:r>
      <w:r>
        <w:t xml:space="preserve"> </w:t>
      </w:r>
      <w:r>
        <w:t xml:space="preserve">are the bottleneck, at 100% only where the network is dense (ubiquitin, IL-2) and</w:t>
      </w:r>
      <w:r>
        <w:t xml:space="preserve"> </w:t>
      </w:r>
      <w:r>
        <w:t xml:space="preserve">falling to ~30–50% on the sparse REC3/MSG networks. This is why the residual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tier is dominated by Leu/Val pairs — an orientation the intensity score</w:t>
      </w:r>
      <w:r>
        <w:t xml:space="preserve"> </w:t>
      </w:r>
      <w:r>
        <w:t xml:space="preserve">resolves only when the two methyls make sufficiently different structural contacts,</w:t>
      </w:r>
      <w:r>
        <w:t xml:space="preserve"> </w:t>
      </w:r>
      <w:r>
        <w:t xml:space="preserve">and reports as a coin flip when they do not.</w:t>
      </w:r>
    </w:p>
    <w:p>
      <w:pPr>
        <w:pStyle w:val="BodyText"/>
      </w:pPr>
      <w:r>
        <w:t xml:space="preserve">Being single-methyl, however, is necessary but not sufficient: removing geminal</w:t>
      </w:r>
      <w:r>
        <w:t xml:space="preserve"> </w:t>
      </w:r>
      <w:r>
        <w:t xml:space="preserve">ambiguity and carrying NOE information are independent. On MBP, Ala Cβ (68%) and Thr</w:t>
      </w:r>
      <w:r>
        <w:t xml:space="preserve"> </w:t>
      </w:r>
      <w:r>
        <w:t xml:space="preserve">Cγ2 (70%) are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accurately assigned types (Table 2) despite no prochiral</w:t>
      </w:r>
      <w:r>
        <w:t xml:space="preserve"> </w:t>
      </w:r>
      <w:r>
        <w:t xml:space="preserve">degeneracy, because these often surface-exposed, shift-clustered methyls simply make</w:t>
      </w:r>
      <w:r>
        <w:t xml:space="preserve"> </w:t>
      </w:r>
      <w:r>
        <w:t xml:space="preserve">too few methyl–methyl NOEs to be pinned — whereas Ile on the same protein is 100%.</w:t>
      </w:r>
      <w:r>
        <w:t xml:space="preserve"> </w:t>
      </w:r>
      <w:r>
        <w:t xml:space="preserve">Labeling is therefore not the sole determinant of difficulty; it interacts with NOE</w:t>
      </w:r>
      <w:r>
        <w:t xml:space="preserve"> </w:t>
      </w:r>
      <w:r>
        <w:t xml:space="preserve">information content. IL-2 and REC2 are Leu-rich (71% and 76% Leu) yet reach ~88–90%</w:t>
      </w:r>
      <w:r>
        <w:t xml:space="preserve"> </w:t>
      </w:r>
      <w:r>
        <w:t xml:space="preserve">because their networks are dense, while REC3 and MSG fall to 60% and 30% not from</w:t>
      </w:r>
      <w:r>
        <w:t xml:space="preserve"> </w:t>
      </w:r>
      <w:r>
        <w:t xml:space="preserve">their labeling alone but because sparse carbon-only matching leaves too few firm NOEs</w:t>
      </w:r>
      <w:r>
        <w:t xml:space="preserve"> </w:t>
      </w:r>
      <w:r>
        <w:t xml:space="preserve">to pin the enlarged ILV domains (Section 3, coverage gate). In practice the levers</w:t>
      </w:r>
      <w:r>
        <w:t xml:space="preserve"> </w:t>
      </w:r>
      <w:r>
        <w:t xml:space="preserve">attack different bottlenecks: extending the labeling beyond ILV partitions the</w:t>
      </w:r>
      <w:r>
        <w:t xml:space="preserve"> </w:t>
      </w:r>
      <w:r>
        <w:t xml:space="preserve">problem into finer type classes, an HMBC geminal-link experiment collapses the</w:t>
      </w:r>
      <w:r>
        <w:t xml:space="preserve"> </w:t>
      </w:r>
      <w:r>
        <w:t xml:space="preserve">cross-residue ambiguity by tying each geminal pair to one residue, and the</w:t>
      </w:r>
      <w:r>
        <w:t xml:space="preserve"> </w:t>
      </w:r>
      <w:r>
        <w:t xml:space="preserve">intensity-weighted score is what finally orients δ1/δ2 within the pair — none is a</w:t>
      </w:r>
      <w:r>
        <w:t xml:space="preserve"> </w:t>
      </w:r>
      <w:r>
        <w:t xml:space="preserve">universal fix, and the last two are opt-in.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Methyl-level accuracy of the committed magicmaus call (+soft) resolved</w:t>
      </w:r>
      <w:r>
        <w:t xml:space="preserve"> </w:t>
      </w:r>
      <w:r>
        <w:t xml:space="preserve">by residue type. Each cell is correct/observed for that type; a dash marks a type</w:t>
      </w:r>
      <w:r>
        <w:t xml:space="preserve"> </w:t>
      </w:r>
      <w:r>
        <w:t xml:space="preserve">absent from the target’s labeling. Ile is near-perfect except on the sparse</w:t>
      </w:r>
      <w:r>
        <w:t xml:space="preserve"> </w:t>
      </w:r>
      <w:r>
        <w:t xml:space="preserve">REC3/MSG networks; Leu/Val carry the geminal degeneracy; Ala/Thr, though</w:t>
      </w:r>
      <w:r>
        <w:t xml:space="preserve"> </w:t>
      </w:r>
      <w:r>
        <w:t xml:space="preserve">single-methyl, are NOE-poor on MBP.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</w:t>
            </w:r>
          </w:p>
        </w:tc>
        <w:tc>
          <w:tcPr/>
          <w:p>
            <w:pPr>
              <w:pStyle w:val="Compact"/>
            </w:pPr>
            <w:r>
              <w:t xml:space="preserve">Leu</w:t>
            </w:r>
          </w:p>
        </w:tc>
        <w:tc>
          <w:tcPr/>
          <w:p>
            <w:pPr>
              <w:pStyle w:val="Compact"/>
            </w:pPr>
            <w:r>
              <w:t xml:space="preserve">Val</w:t>
            </w:r>
          </w:p>
        </w:tc>
        <w:tc>
          <w:tcPr/>
          <w:p>
            <w:pPr>
              <w:pStyle w:val="Compact"/>
            </w:pPr>
            <w:r>
              <w:t xml:space="preserve">Ala</w:t>
            </w:r>
          </w:p>
        </w:tc>
        <w:tc>
          <w:tcPr/>
          <w:p>
            <w:pPr>
              <w:pStyle w:val="Compact"/>
            </w:pPr>
            <w:r>
              <w:t xml:space="preserve">Thr</w:t>
            </w:r>
          </w:p>
        </w:tc>
        <w:tc>
          <w:tcPr/>
          <w:p>
            <w:pPr>
              <w:pStyle w:val="Compact"/>
            </w:pPr>
            <w: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(18/18)</w:t>
            </w:r>
          </w:p>
        </w:tc>
        <w:tc>
          <w:tcPr/>
          <w:p>
            <w:pPr>
              <w:pStyle w:val="Compact"/>
            </w:pPr>
            <w:r>
              <w:t xml:space="preserve">100% (8/8)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  <w:tc>
          <w:tcPr/>
          <w:p>
            <w:pPr>
              <w:pStyle w:val="Compact"/>
            </w:pPr>
            <w:r>
              <w:t xml:space="preserve">100% (43/43)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(42/42)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97% (57/59)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(24/28)</w:t>
            </w:r>
          </w:p>
        </w:tc>
        <w:tc>
          <w:tcPr/>
          <w:p>
            <w:pPr>
              <w:pStyle w:val="Compact"/>
            </w:pPr>
            <w:r>
              <w:t xml:space="preserve">75% (12/16)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86% (49/57)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(42/48)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90% (57/63)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(26/50)</w:t>
            </w:r>
          </w:p>
        </w:tc>
        <w:tc>
          <w:tcPr/>
          <w:p>
            <w:pPr>
              <w:pStyle w:val="Compact"/>
            </w:pPr>
            <w:r>
              <w:t xml:space="preserve">73% (16/22)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58% (49/85)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(58/60)</w:t>
            </w:r>
          </w:p>
        </w:tc>
        <w:tc>
          <w:tcPr/>
          <w:p>
            <w:pPr>
              <w:pStyle w:val="Compact"/>
            </w:pPr>
            <w:r>
              <w:t xml:space="preserve">95% (38/40)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  <w:tc>
          <w:tcPr/>
          <w:p>
            <w:pPr>
              <w:pStyle w:val="Compact"/>
            </w:pPr>
            <w:r>
              <w:t xml:space="preserve">88% (168/192)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32% (42/133)</w:t>
            </w:r>
          </w:p>
        </w:tc>
        <w:tc>
          <w:tcPr/>
          <w:p>
            <w:pPr>
              <w:pStyle w:val="Compact"/>
            </w:pPr>
            <w:r>
              <w:t xml:space="preserve">31% (26/83)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33% (86/257)</w:t>
            </w:r>
          </w:p>
        </w:tc>
      </w:tr>
    </w:tbl>
    <w:p>
      <w:pPr>
        <w:pStyle w:val="BodyText"/>
      </w:pPr>
      <w:r>
        <w:t xml:space="preserve">Resolving the accuracy to the individual prochiral methyl (Table 3) confirms that</w:t>
      </w:r>
      <w:r>
        <w:t xml:space="preserve"> </w:t>
      </w:r>
      <w:r>
        <w:t xml:space="preserve">the residual Leu/Val error is a geminal swap rather than random misassignment: on</w:t>
      </w:r>
      <w:r>
        <w:t xml:space="preserve"> </w:t>
      </w:r>
      <w:r>
        <w:t xml:space="preserve">every target the two members of each pair degrade in near-lockstep — HNH Leu δ1 and</w:t>
      </w:r>
      <w:r>
        <w:t xml:space="preserve"> </w:t>
      </w:r>
      <w:r>
        <w:t xml:space="preserve">δ2 are both 86%, its Val γ1 and γ2 both 75%, REC2 Leu δ1/δ2 both 88% — the exact</w:t>
      </w:r>
      <w:r>
        <w:t xml:space="preserve"> </w:t>
      </w:r>
      <w:r>
        <w:t xml:space="preserve">signature of the achiral network placing the pair on the right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but the</w:t>
      </w:r>
      <w:r>
        <w:t xml:space="preserve"> </w:t>
      </w:r>
      <w:r>
        <w:t xml:space="preserve">wrong</w:t>
      </w:r>
      <w:r>
        <w:t xml:space="preserve"> </w:t>
      </w:r>
      <w:r>
        <w:rPr>
          <w:i/>
          <w:iCs/>
        </w:rPr>
        <w:t xml:space="preserve">methyl</w:t>
      </w:r>
      <w:r>
        <w:t xml:space="preserve">. Both members stay inside the MAUS envelope (the truth is never</w:t>
      </w:r>
      <w:r>
        <w:t xml:space="preserve"> </w:t>
      </w:r>
      <w:r>
        <w:t xml:space="preserve">excluded), so the swap is a calibrated coin flip that the confidence tier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that only a signal able to tell δ1 from δ2 can break — the intensity</w:t>
      </w:r>
      <w:r>
        <w:t xml:space="preserve"> </w:t>
      </w:r>
      <w:r>
        <w:t xml:space="preserve">score where their structural contacts differ, or an independent stereospecific</w:t>
      </w:r>
      <w:r>
        <w:t xml:space="preserve"> </w:t>
      </w:r>
      <w:r>
        <w:t xml:space="preserve">assignment where they do not. An HMBC geminal-link experiment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break it:</w:t>
      </w:r>
      <w:r>
        <w:t xml:space="preserve"> </w:t>
      </w:r>
      <w:r>
        <w:t xml:space="preserve">by construction its constraint admits both orderings of the pair (Section 3), so it</w:t>
      </w:r>
      <w:r>
        <w:t xml:space="preserve"> </w:t>
      </w:r>
      <w:r>
        <w:t xml:space="preserve">resolves which residue, not which methyl. Ile δ1, having no geminal partner, carries</w:t>
      </w:r>
      <w:r>
        <w:t xml:space="preserve"> </w:t>
      </w:r>
      <w:r>
        <w:t xml:space="preserve">no such symmetry and is assigned outright wherever the network is dense.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resolved to the individual methyl carbon (magicmaus +soft).</w:t>
      </w:r>
      <w:r>
        <w:t xml:space="preserve"> </w:t>
      </w:r>
      <w:r>
        <w:t xml:space="preserve">Geminal partners (Leu δ1/δ2, Val γ1/γ2) are listed separately; their near-equal</w:t>
      </w:r>
      <w:r>
        <w:t xml:space="preserve"> </w:t>
      </w:r>
      <w:r>
        <w:t xml:space="preserve">columns are the geminal-swap signature. A dash marks a methyl absent from the</w:t>
      </w:r>
      <w:r>
        <w:t xml:space="preserve"> </w:t>
      </w:r>
      <w:r>
        <w:t xml:space="preserve">target’s labeling.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Ile δ1</w:t>
            </w:r>
          </w:p>
        </w:tc>
        <w:tc>
          <w:tcPr/>
          <w:p>
            <w:pPr>
              <w:pStyle w:val="Compact"/>
            </w:pPr>
            <w:r>
              <w:t xml:space="preserve">Leu δ1</w:t>
            </w:r>
          </w:p>
        </w:tc>
        <w:tc>
          <w:tcPr/>
          <w:p>
            <w:pPr>
              <w:pStyle w:val="Compact"/>
            </w:pPr>
            <w:r>
              <w:t xml:space="preserve">Leu δ2</w:t>
            </w:r>
          </w:p>
        </w:tc>
        <w:tc>
          <w:tcPr/>
          <w:p>
            <w:pPr>
              <w:pStyle w:val="Compact"/>
            </w:pPr>
            <w:r>
              <w:t xml:space="preserve">Val γ1</w:t>
            </w:r>
          </w:p>
        </w:tc>
        <w:tc>
          <w:tcPr/>
          <w:p>
            <w:pPr>
              <w:pStyle w:val="Compact"/>
            </w:pPr>
            <w:r>
              <w:t xml:space="preserve">Val γ2</w:t>
            </w:r>
          </w:p>
        </w:tc>
        <w:tc>
          <w:tcPr/>
          <w:p>
            <w:pPr>
              <w:pStyle w:val="Compact"/>
            </w:pPr>
            <w:r>
              <w:t xml:space="preserve">Ala β</w:t>
            </w:r>
          </w:p>
        </w:tc>
        <w:tc>
          <w:tcPr/>
          <w:p>
            <w:pPr>
              <w:pStyle w:val="Compact"/>
            </w:pPr>
            <w:r>
              <w:t xml:space="preserve">Thr γ2</w:t>
            </w:r>
          </w:p>
        </w:tc>
        <w:tc>
          <w:tcPr/>
          <w:p>
            <w:pPr>
              <w:pStyle w:val="Compact"/>
            </w:pPr>
            <w:r>
              <w:t xml:space="preserve">Met ε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100% (1/1)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100% (21/21)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75% (3/4)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</w:t>
            </w:r>
          </w:p>
        </w:tc>
        <w:tc>
          <w:tcPr/>
          <w:p>
            <w:pPr>
              <w:pStyle w:val="Compact"/>
            </w:pPr>
            <w:r>
              <w:t xml:space="preserve">100% (7/7)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86% (12/14)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75% (6/8)</w:t>
            </w:r>
          </w:p>
        </w:tc>
        <w:tc>
          <w:tcPr/>
          <w:p>
            <w:pPr>
              <w:pStyle w:val="Compact"/>
            </w:pPr>
            <w:r>
              <w:t xml:space="preserve">100% (2/2)</w:t>
            </w:r>
          </w:p>
        </w:tc>
        <w:tc>
          <w:tcPr/>
          <w:p>
            <w:pPr>
              <w:pStyle w:val="Compact"/>
            </w:pPr>
            <w:r>
              <w:t xml:space="preserve">100% (4/4)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</w:t>
            </w:r>
          </w:p>
        </w:tc>
        <w:tc>
          <w:tcPr/>
          <w:p>
            <w:pPr>
              <w:pStyle w:val="Compact"/>
            </w:pPr>
            <w:r>
              <w:t xml:space="preserve">100% (9/9)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88% (21/24)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</w:t>
            </w:r>
          </w:p>
        </w:tc>
        <w:tc>
          <w:tcPr/>
          <w:p>
            <w:pPr>
              <w:pStyle w:val="Compact"/>
            </w:pPr>
            <w:r>
              <w:t xml:space="preserve">54% (7/13)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52% (13/25)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73% (8/11)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100% (22/22)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97% (29/30)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95% (19/20)</w:t>
            </w:r>
          </w:p>
        </w:tc>
        <w:tc>
          <w:tcPr/>
          <w:p>
            <w:pPr>
              <w:pStyle w:val="Compact"/>
            </w:pPr>
            <w:r>
              <w:t xml:space="preserve">68% (30/44)</w:t>
            </w:r>
          </w:p>
        </w:tc>
        <w:tc>
          <w:tcPr/>
          <w:p>
            <w:pPr>
              <w:pStyle w:val="Compact"/>
            </w:pPr>
            <w:r>
              <w:t xml:space="preserve">70% (14/20)</w:t>
            </w:r>
          </w:p>
        </w:tc>
        <w:tc>
          <w:tcPr/>
          <w:p>
            <w:pPr>
              <w:pStyle w:val="Compact"/>
            </w:pPr>
            <w:r>
              <w:t xml:space="preserve">100% (6/6)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44% (18/41)</w:t>
            </w:r>
          </w:p>
        </w:tc>
        <w:tc>
          <w:tcPr/>
          <w:p>
            <w:pPr>
              <w:pStyle w:val="Compact"/>
            </w:pPr>
            <w:r>
              <w:t xml:space="preserve">33% (22/67)</w:t>
            </w:r>
          </w:p>
        </w:tc>
        <w:tc>
          <w:tcPr/>
          <w:p>
            <w:pPr>
              <w:pStyle w:val="Compact"/>
            </w:pPr>
            <w:r>
              <w:t xml:space="preserve">30% (20/66)</w:t>
            </w:r>
          </w:p>
        </w:tc>
        <w:tc>
          <w:tcPr/>
          <w:p>
            <w:pPr>
              <w:pStyle w:val="Compact"/>
            </w:pPr>
            <w:r>
              <w:t xml:space="preserve">31% (13/42)</w:t>
            </w:r>
          </w:p>
        </w:tc>
        <w:tc>
          <w:tcPr/>
          <w:p>
            <w:pPr>
              <w:pStyle w:val="Compact"/>
            </w:pPr>
            <w:r>
              <w:t xml:space="preserve">32% (13/41)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same geminal-swap lens revises how the MAUS column should be read. MAUS’s</w:t>
      </w:r>
      <w:r>
        <w:t xml:space="preserve"> </w:t>
      </w:r>
      <w:r>
        <w:t xml:space="preserve">decisive fraction (Table 1, MAUS) counts only peaks pinned to a single</w:t>
      </w:r>
      <w:r>
        <w:t xml:space="preserve"> </w:t>
      </w:r>
      <w:r>
        <w:rPr>
          <w:i/>
          <w:iCs/>
        </w:rPr>
        <w:t xml:space="preserve">methyl</w:t>
      </w:r>
      <w:r>
        <w:t xml:space="preserve">, so</w:t>
      </w:r>
      <w:r>
        <w:t xml:space="preserve"> </w:t>
      </w:r>
      <w:r>
        <w:t xml:space="preserve">it books every geminal-unresolved pair as an abstention — yet such a pair is already</w:t>
      </w:r>
      <w:r>
        <w:t xml:space="preserve"> </w:t>
      </w:r>
      <w:r>
        <w:t xml:space="preserve">decisive at the</w:t>
      </w:r>
      <w:r>
        <w:t xml:space="preserve"> </w:t>
      </w:r>
      <w:r>
        <w:rPr>
          <w:i/>
          <w:iCs/>
        </w:rPr>
        <w:t xml:space="preserve">residue</w:t>
      </w:r>
      <w:r>
        <w:t xml:space="preserve"> </w:t>
      </w:r>
      <w:r>
        <w:t xml:space="preserve">level: the truth’s residue is fixed, only its δ1/δ2 (or</w:t>
      </w:r>
      <w:r>
        <w:t xml:space="preserve"> </w:t>
      </w:r>
      <w:r>
        <w:t xml:space="preserve">γ1/γ2) label is open. Collapsing each option set to its residues, MAUS is in fact</w:t>
      </w:r>
      <w:r>
        <w:t xml:space="preserve"> </w:t>
      </w:r>
      <w:r>
        <w:t xml:space="preserve">residue-decisive — and, by never-exclude, correct — on far more peaks than its</w:t>
      </w:r>
      <w:r>
        <w:t xml:space="preserve"> </w:t>
      </w:r>
      <w:r>
        <w:t xml:space="preserve">methyl-unique count suggests: 88.4% vs 34.9% on ubiquitin, 53.6% vs 26.6% on MBP,</w:t>
      </w:r>
      <w:r>
        <w:t xml:space="preserve"> </w:t>
      </w:r>
      <w:r>
        <w:t xml:space="preserve">and 50.9% vs 26.3% on HNH. This residue-vs-methyl gap is a direct readout of how much</w:t>
      </w:r>
      <w:r>
        <w:t xml:space="preserve"> </w:t>
      </w:r>
      <w:r>
        <w:t xml:space="preserve">of MAUS’s ambiguity is</w:t>
      </w:r>
      <w:r>
        <w:t xml:space="preserve"> </w:t>
      </w:r>
      <w:r>
        <w:rPr>
          <w:i/>
          <w:iCs/>
        </w:rPr>
        <w:t xml:space="preserve">merely geminal</w:t>
      </w:r>
      <w:r>
        <w:t xml:space="preserve"> </w:t>
      </w:r>
      <w:r>
        <w:t xml:space="preserve">— a δ1/δ2 orientation that only the score (or</w:t>
      </w:r>
      <w:r>
        <w:t xml:space="preserve"> </w:t>
      </w:r>
      <w:r>
        <w:t xml:space="preserve">a stereospecific measurement) can settle, since it is the one thing the HMBC link</w:t>
      </w:r>
      <w:r>
        <w:t xml:space="preserve"> </w:t>
      </w:r>
      <w:r>
        <w:t xml:space="preserve">leaves open. Its complement, the fraction still spanning more than one residue, is the</w:t>
      </w:r>
      <w:r>
        <w:t xml:space="preserve"> </w:t>
      </w:r>
      <w:r>
        <w:rPr>
          <w:i/>
          <w:iCs/>
        </w:rPr>
        <w:t xml:space="preserve">cross-residue</w:t>
      </w:r>
      <w:r>
        <w:t xml:space="preserve"> </w:t>
      </w:r>
      <w:r>
        <w:t xml:space="preserve">ambiguity, and it dominates the Leu-crowded ILV targets (IL-2 81%, REC2</w:t>
      </w:r>
      <w:r>
        <w:t xml:space="preserve"> </w:t>
      </w:r>
      <w:r>
        <w:t xml:space="preserve">68%, MSG 94% of peaks) where many Leu compete for one peak. That is exactly the part</w:t>
      </w:r>
      <w:r>
        <w:t xml:space="preserve"> </w:t>
      </w:r>
      <w:r>
        <w:t xml:space="preserve">the HMBC link collapses: tying each geminal pair to one residue couples their NOE</w:t>
      </w:r>
      <w:r>
        <w:t xml:space="preserve"> </w:t>
      </w:r>
      <w:r>
        <w:t xml:space="preserve">evidence and lifts the residue-decisive fraction sharply on those targets (REC2 32% →</w:t>
      </w:r>
      <w:r>
        <w:t xml:space="preserve"> </w:t>
      </w:r>
      <w:r>
        <w:t xml:space="preserve">68%, HNH 51% → 79%). Whether that structural collapse improves the final methyl-level</w:t>
      </w:r>
      <w:r>
        <w:t xml:space="preserve"> </w:t>
      </w:r>
      <w:r>
        <w:t xml:space="preserve">call, however, is target-dependent — it does on MBP but reshapes the crowded REC2/REC3</w:t>
      </w:r>
      <w:r>
        <w:t xml:space="preserve"> </w:t>
      </w:r>
      <w:r>
        <w:t xml:space="preserve">landscapes into a worse-scoring optimum — which, together with the fact that the swap</w:t>
      </w:r>
      <w:r>
        <w:t xml:space="preserve"> </w:t>
      </w:r>
      <w:r>
        <w:t xml:space="preserve">itself is left to the score, is why HMBC is opt-in rather than a universal lever.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36521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3-cycle simulated annealing, commits to a single coherent map with a per-peak confidence tier (unique / scored / ambiguous). (B) Methyl-level accuracy across the seven structure-simulated benchmark targets (43–257 methyls, ordered by size) plus the real-experimental TNF-α homotrimer (real), all engines scored on the same 1/r6 intensity NOESY: magicmaus (+soft, blue) versus MAUS unique-only calls (purple; the constraint layer’s decisive fraction, abstaining elsewhere) and full-space MAGIC (red; hatched n.c.* where scoring did not converge within a 15-min budget). Green markers denote the truth-in-envelope guarantee — 100% on every simulated target, and 92.9% on real TNF-α data, where a predicted structure cannot support 6 measured NOEs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3-cycle simulated annealing,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structure-simulated benchmark targets (43–257 methyls,</w:t>
      </w:r>
      <w:r>
        <w:t xml:space="preserve"> </w:t>
      </w:r>
      <w:r>
        <w:t xml:space="preserve">ordered by size) plus the real-experimental TNF-α homotrimer (</w:t>
      </w:r>
      <w:r>
        <w:rPr>
          <w:i/>
          <w:iCs/>
        </w:rPr>
        <w:t xml:space="preserve">real),</w:t>
      </w:r>
      <w:r>
        <w:rPr>
          <w:i/>
          <w:iCs/>
        </w:rPr>
        <w:t xml:space="preserve"> </w:t>
      </w:r>
      <w:r>
        <w:rPr>
          <w:i/>
          <w:iCs/>
        </w:rPr>
        <w:t xml:space="preserve">all engines scored on the same 1/r</w:t>
      </w:r>
      <w:r>
        <w:rPr>
          <w:i/>
          <w:iCs/>
          <w:vertAlign w:val="superscript"/>
        </w:rPr>
        <w:t xml:space="preserve">6</w:t>
      </w:r>
      <w:r>
        <w:rPr>
          <w:i/>
          <w:iCs/>
        </w:rPr>
        <w:t xml:space="preserve"> </w:t>
      </w:r>
      <w:r>
        <w:rPr>
          <w:i/>
          <w:iCs/>
        </w:rPr>
        <w:t xml:space="preserve">intensity NOESY: magicmaus (+soft, blue)</w:t>
      </w:r>
      <w:r>
        <w:rPr>
          <w:i/>
          <w:iCs/>
        </w:rPr>
        <w:t xml:space="preserve"> </w:t>
      </w:r>
      <w:r>
        <w:rPr>
          <w:i/>
          <w:iCs/>
        </w:rPr>
        <w:t xml:space="preserve">versus MAUS unique-only calls (purple; the constraint layer’s decisive fraction,</w:t>
      </w:r>
      <w:r>
        <w:rPr>
          <w:i/>
          <w:iCs/>
        </w:rPr>
        <w:t xml:space="preserve"> </w:t>
      </w:r>
      <w:r>
        <w:rPr>
          <w:i/>
          <w:iCs/>
        </w:rPr>
        <w:t xml:space="preserve">abstaining elsewhere) and full-space MAGIC (red; hatched</w:t>
      </w:r>
      <w:r>
        <w:rPr>
          <w:i/>
          <w:iCs/>
        </w:rPr>
        <w:t xml:space="preserve"> </w:t>
      </w:r>
      <w:r>
        <w:t xml:space="preserve">n.c.* where scoring did</w:t>
      </w:r>
      <w:r>
        <w:t xml:space="preserve"> </w:t>
      </w:r>
      <w:r>
        <w:t xml:space="preserve">not converge within a 15-min budget). Green markers denote the truth-in-envelope</w:t>
      </w:r>
      <w:r>
        <w:t xml:space="preserve"> </w:t>
      </w:r>
      <w:r>
        <w:t xml:space="preserve">guarantee — 100% on every simulated target, and 92.9% on real TNF-α data, where a</w:t>
      </w:r>
      <w:r>
        <w:t xml:space="preserve"> </w:t>
      </w:r>
      <w:r>
        <w:t xml:space="preserve">predicted structure cannot support 6 measured NOEs.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2026-07-06T06:05:48Z</dcterms:created>
  <dcterms:modified xsi:type="dcterms:W3CDTF">2026-07-06T06:05:48Z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