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29–100%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is well-determined only when the NOESY carries real intensities and most optimised</w:t>
      </w:r>
      <w:r>
        <w:t xml:space="preserve"> </w:t>
      </w:r>
      <w:r>
        <w:t xml:space="preserve">peaks bear a firm NOE, the annealer is gated on both and reduces to the plain ascent</w:t>
      </w:r>
      <w:r>
        <w:t xml:space="preserve"> </w:t>
      </w:r>
      <w:r>
        <w:t xml:space="preserve">otherwise (a boolean network, or under 75% firm-NOE coverage).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That objective is trustworthy only when it is well-determined, which</w:t>
      </w:r>
      <w:r>
        <w:t xml:space="preserve"> </w:t>
      </w:r>
      <w:r>
        <w:t xml:space="preserve">requires two conditions, and magicmaus withholds the annealer — falling back to the</w:t>
      </w:r>
      <w:r>
        <w:t xml:space="preserve"> </w:t>
      </w:r>
      <w:r>
        <w:t xml:space="preserve">plain greedy ascent — when either fails: (i) the NOESY must carry real intensities</w:t>
      </w:r>
      <w:r>
        <w:t xml:space="preserve"> </w:t>
      </w:r>
      <w:r>
        <w:t xml:space="preserve">that pin each contact to its distance (on a boolean network the annealer would</w:t>
      </w:r>
      <w:r>
        <w:t xml:space="preserve"> </w:t>
      </w:r>
      <w:r>
        <w:t xml:space="preserve">merely overfit to structural-contact density), and (ii) most of the peaks being</w:t>
      </w:r>
      <w:r>
        <w:t xml:space="preserve"> </w:t>
      </w:r>
      <w:r>
        <w:t xml:space="preserve">optimised must actually carry a firm NOE. The hard cases are the targets whose 3D</w:t>
      </w:r>
      <w:r>
        <w:t xml:space="preserve"> </w:t>
      </w:r>
      <w:r>
        <w:t xml:space="preserve">(H)CCH network yields few firm NOEs: REC3 (60.0%; 50 of 85 methyls Leu) and above</w:t>
      </w:r>
      <w:r>
        <w:t xml:space="preserve"> </w:t>
      </w:r>
      <w:r>
        <w:t xml:space="preserve">all MSG, where only 262 cross peaks resolve to a firm constraint so 95 of 257 peaks</w:t>
      </w:r>
      <w:r>
        <w:t xml:space="preserve"> </w:t>
      </w:r>
      <w:r>
        <w:t xml:space="preserve">carry none — below magicmaus’s 75% firm-NOE coverage cut, so the annealer is</w:t>
      </w:r>
      <w:r>
        <w:t xml:space="preserve"> </w:t>
      </w:r>
      <w:r>
        <w:t xml:space="preserve">withheld and the greedy ascent commits 29.6% (38.5% with HMBC) where MAGIC does not</w:t>
      </w:r>
      <w:r>
        <w:t xml:space="preserve"> </w:t>
      </w:r>
      <w:r>
        <w:t xml:space="preserve">converge at all, still under the 100% envelope. On these, an achiral NOE network</w:t>
      </w:r>
      <w:r>
        <w:t xml:space="preserve"> </w:t>
      </w:r>
      <w:r>
        <w:t xml:space="preserve">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links each</w:t>
      </w:r>
      <w:r>
        <w:t xml:space="preserve"> </w:t>
      </w:r>
      <w:r>
        <w:t xml:space="preserve">Leu/Val geminal pair — lifts accuracy where geminal pairs dominate the residual</w:t>
      </w:r>
      <w:r>
        <w:t xml:space="preserve"> </w:t>
      </w:r>
      <w:r>
        <w:t xml:space="preserve">(MBP 87.5% → 93.2%; Table 1, +HMBC) but reshapes the constrained landscape into a</w:t>
      </w:r>
      <w:r>
        <w:t xml:space="preserve"> </w:t>
      </w:r>
      <w:r>
        <w:t xml:space="preserve">different equal-scoring optimum where the degeneracy is symmetric rather than</w:t>
      </w:r>
      <w:r>
        <w:t xml:space="preserve"> </w:t>
      </w:r>
      <w:r>
        <w:t xml:space="preserve">geminal (REC2, REC3), so it too is opt-in.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2"/>
        <w:gridCol w:w="642"/>
        <w:gridCol w:w="642"/>
        <w:gridCol w:w="856"/>
        <w:gridCol w:w="856"/>
        <w:gridCol w:w="856"/>
        <w:gridCol w:w="856"/>
        <w:gridCol w:w="856"/>
        <w:gridCol w:w="856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</w:pPr>
            <w:r>
              <w:t xml:space="preserve">Labeling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</w:pPr>
            <w:r>
              <w:t xml:space="preserve">AILTV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</w:pPr>
            <w:r>
              <w:t xml:space="preserve">AILMTV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</w:pPr>
            <w:r>
              <w:t xml:space="preserve">ILV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2026-07-05T17:41:09Z</dcterms:created>
  <dcterms:modified xsi:type="dcterms:W3CDTF">2026-07-05T17:41:09Z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