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five benchmark targets (57–192</w:t>
      </w:r>
      <w:r>
        <w:t xml:space="preserve"> </w:t>
      </w:r>
      <w:r>
        <w:t xml:space="preserve">methyls) built from real BMRB shifts and structures, magicmaus commits a single</w:t>
      </w:r>
      <w:r>
        <w:t xml:space="preserve"> </w:t>
      </w:r>
      <w:r>
        <w:t xml:space="preserve">answer for every peak at 33–90%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~1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3D (H)CCH network is simulated from</w:t>
      </w:r>
      <w:r>
        <w:t xml:space="preserve"> </w:t>
      </w:r>
      <w:r>
        <w:t xml:space="preserve">the structure (a cross peak for every methyl 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five targets: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 and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spanning 57–192</w:t>
      </w:r>
      <w:r>
        <w:t xml:space="preserve"> </w:t>
      </w:r>
      <w:r>
        <w:t xml:space="preserve">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it did not return within a</w:t>
      </w:r>
      <w:r>
        <w:t xml:space="preserve"> </w:t>
      </w:r>
      <w:r>
        <w:t xml:space="preserve">15-min budget, itself illustrating the cost of unbounded scoring. MAUS resolved</w:t>
      </w:r>
      <w:r>
        <w:t xml:space="preserve"> </w:t>
      </w:r>
      <w:r>
        <w:t xml:space="preserve">8–27% of peaks uniquely (all correct) and abstained on the rest, with the truth</w:t>
      </w:r>
      <w:r>
        <w:t xml:space="preserve"> </w:t>
      </w:r>
      <w:r>
        <w:t xml:space="preserve">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73–90%</w:t>
      </w:r>
      <w:r>
        <w:t xml:space="preserve"> </w:t>
      </w:r>
      <w:r>
        <w:t xml:space="preserve">methyl-level accuracy on the four</w:t>
      </w:r>
      <w:r>
        <w:t xml:space="preserve"> </w:t>
      </w:r>
      <w:r>
        <w:t xml:space="preserve">smaller targets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 order of magnitude above scoring</w:t>
      </w:r>
      <w:r>
        <w:t xml:space="preserve"> </w:t>
      </w:r>
      <w:r>
        <w:t xml:space="preserve">over the full space. The one hard case is REC3, the largest and most degenerate</w:t>
      </w:r>
      <w:r>
        <w:t xml:space="preserve"> </w:t>
      </w:r>
      <w:r>
        <w:t xml:space="preserve">(50 of 85 methyls are Leu), at 32.9%: an achiral NOE network leaves many geminal</w:t>
      </w:r>
      <w:r>
        <w:t xml:space="preserve"> </w:t>
      </w:r>
      <w:r>
        <w:t xml:space="preserve">pairs and 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</w:t>
      </w:r>
      <w:r>
        <w:t xml:space="preserve"> </w:t>
      </w:r>
      <w:r>
        <w:t xml:space="preserve">Running the same scoring inside the MAUS bounds thus yields roughly an order of</w:t>
      </w:r>
      <w:r>
        <w:t xml:space="preserve"> </w:t>
      </w:r>
      <w:r>
        <w:t xml:space="preserve">magnitude more single-answer accuracy than scoring over the full space, at no</w:t>
      </w:r>
      <w:r>
        <w:t xml:space="preserve"> </w:t>
      </w:r>
      <w:r>
        <w:t xml:space="preserve">cost to the certainty guarantee.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five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140750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on maltose-binding protein (192 methyls), all engines scored on the same 1/r6 intensity NOESY. MAUS is decisive on 26.6% of peaks (rest abstain); MAGIC and magicmaus commit on all 192. Green markers denote the 100% truth-in-envelope guarantee, preserved by MAUS and magicmaus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on maltose-binding protein (192 methyls), all engines scored on the same</w:t>
      </w:r>
      <w:r>
        <w:t xml:space="preserve"> </w:t>
      </w:r>
      <w:r>
        <w:t xml:space="preserve">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MAUS is decisive on 26.6% of peaks (rest abstain); MAGIC</w:t>
      </w:r>
      <w:r>
        <w:t xml:space="preserve"> </w:t>
      </w:r>
      <w:r>
        <w:t xml:space="preserve">and magicmaus commit on all 192. Green markers denote the 100% truth-in-envelope</w:t>
      </w:r>
      <w:r>
        <w:t xml:space="preserve"> </w:t>
      </w:r>
      <w:r>
        <w:t xml:space="preserve">guarantee, preserved by MAUS and magicmaus.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2026-07-05T04:39:37Z</dcterms:created>
  <dcterms:modified xsi:type="dcterms:W3CDTF">2026-07-05T04:39:37Z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