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structure-simulated benchmark</w:t>
      </w:r>
      <w:r>
        <w:t xml:space="preserve"> </w:t>
      </w:r>
      <w:r>
        <w:t xml:space="preserve">targets (43–257 methyls) built from real shifts and structures, magicmaus commits</w:t>
      </w:r>
      <w:r>
        <w:t xml:space="preserve"> </w:t>
      </w:r>
      <w:r>
        <w:t xml:space="preserve">a single answer for every peak at 29–100% methyl-level accuracy — up to an order</w:t>
      </w:r>
      <w:r>
        <w:t xml:space="preserve"> </w:t>
      </w:r>
      <w:r>
        <w:t xml:space="preserve">of 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 A further</w:t>
      </w:r>
      <w:r>
        <w:t xml:space="preserve"> </w:t>
      </w:r>
      <w:r>
        <w:t xml:space="preserve">real-experimental multimer (the TNF-α homotrimer, scored against an AlphaFold3</w:t>
      </w:r>
      <w:r>
        <w:t xml:space="preserve"> </w:t>
      </w:r>
      <w:r>
        <w:t xml:space="preserve">model) demonstrates the method on genuine spectra and honestly bounds it: reciprocal</w:t>
      </w:r>
      <w:r>
        <w:t xml:space="preserve"> </w:t>
      </w:r>
      <w:r>
        <w:t xml:space="preserve">symmetric NOESY pairing reaches a 98.8% never-exclude envelope (one peak carries an</w:t>
      </w:r>
      <w:r>
        <w:t xml:space="preserve"> </w:t>
      </w:r>
      <w:r>
        <w:t xml:space="preserve">NOE the predicted structure cannot support), while the plain carbon-only match is</w:t>
      </w:r>
      <w:r>
        <w:t xml:space="preserve"> </w:t>
      </w:r>
      <w:r>
        <w:t xml:space="preserve">UNSAT on this dense trimer — conditional, unlike the simulated targets, on the</w:t>
      </w:r>
      <w:r>
        <w:t xml:space="preserve"> </w:t>
      </w:r>
      <w:r>
        <w:t xml:space="preserve">measured NOEs being consistent with the (predicted) structure — and treating</w:t>
      </w:r>
      <w:r>
        <w:t xml:space="preserve"> </w:t>
      </w:r>
      <w:r>
        <w:t xml:space="preserve">the trimer’s chains as symmetry images is required to explain the inter-subunit</w:t>
      </w:r>
      <w:r>
        <w:t xml:space="preserve"> </w:t>
      </w:r>
      <w:r>
        <w:t xml:space="preserve">NOEs, recovering 6 further peaks in the envelope.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 This is</w:t>
      </w:r>
      <w:r>
        <w:t xml:space="preserve"> </w:t>
      </w:r>
      <w:r>
        <w:t xml:space="preserve">also why the tempting shortcut of assigning a peak to the last unclaimed methyl of</w:t>
      </w:r>
      <w:r>
        <w:t xml:space="preserve"> </w:t>
      </w:r>
      <w:r>
        <w:t xml:space="preserve">its type is unsound: the structure routinely carries many more methyls of a type</w:t>
      </w:r>
      <w:r>
        <w:t xml:space="preserve"> </w:t>
      </w:r>
      <w:r>
        <w:t xml:space="preserve">than are observed (REC3, for instance, has 292 Leu methyls but only 50 Leu peaks),</w:t>
      </w:r>
      <w:r>
        <w:t xml:space="preserve"> </w:t>
      </w:r>
      <w:r>
        <w:t xml:space="preserve">so an unclaimed methyl may simply be unobserved rather than the peak’s answer.</w:t>
      </w:r>
      <w:r>
        <w:t xml:space="preserve"> </w:t>
      </w:r>
      <w:r>
        <w:t xml:space="preserve">Because MAUS models a methyl as free to go unassigned, its enumeration already</w:t>
      </w:r>
      <w:r>
        <w:t xml:space="preserve"> </w:t>
      </w:r>
      <w:r>
        <w:t xml:space="preserve">performs every elimination that injectivity licenses — but no more — and thereby</w:t>
      </w:r>
      <w:r>
        <w:t xml:space="preserve"> </w:t>
      </w:r>
      <w:r>
        <w:t xml:space="preserve">keeps the truth in the set instead of forcing a wrong pin.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 To test the method on</w:t>
      </w:r>
      <w:r>
        <w:t xml:space="preserve"> </w:t>
      </w:r>
      <w:r>
        <w:t xml:space="preserve">genuine spectra rather than a simulated network we add one real-experimental</w:t>
      </w:r>
      <w:r>
        <w:t xml:space="preserve"> </w:t>
      </w:r>
      <w:r>
        <w:t xml:space="preserve">target: measured AILTV methyl HMQC, 3D (H)CCH NOESY-HMQC and HMBC-HMQC peak lists</w:t>
      </w:r>
      <w:r>
        <w:t xml:space="preserve"> </w:t>
      </w:r>
      <w:r>
        <w:t xml:space="preserve">of the tumour-necrosis-factor-α homotrimer (85 assigned methyls), scored against</w:t>
      </w:r>
      <w:r>
        <w:t xml:space="preserve"> </w:t>
      </w:r>
      <w:r>
        <w:t xml:space="preserve">an AlphaFold3 model of the trimer. This target is also our only multimer; because</w:t>
      </w:r>
      <w:r>
        <w:t xml:space="preserve"> </w:t>
      </w:r>
      <w:r>
        <w:t xml:space="preserve">the three protomers are magnetically equivalent, each residue gives one HMQC peak</w:t>
      </w:r>
      <w:r>
        <w:t xml:space="preserve"> </w:t>
      </w:r>
      <w:r>
        <w:t xml:space="preserve">whose NOE partners may lie in the same or a neighbouring subunit, so</w:t>
      </w:r>
      <w:r>
        <w:t xml:space="preserve"> </w:t>
      </w:r>
      <w:r>
        <w:rPr>
          <w:rStyle w:val="VerbatimChar"/>
        </w:rPr>
        <w:t xml:space="preserve">parse_structure</w:t>
      </w:r>
      <w:r>
        <w:t xml:space="preserve"> </w:t>
      </w:r>
      <w:r>
        <w:t xml:space="preserve">retains all three chains as symmetry images of each methyl and scores every</w:t>
      </w:r>
      <w:r>
        <w:t xml:space="preserve"> </w:t>
      </w:r>
      <w:r>
        <w:t xml:space="preserve">structural contact by the minimum distance over subunit pairs.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identifies</w:t>
      </w:r>
      <w:r>
        <w:t xml:space="preserve"> </w:t>
      </w:r>
      <w:r>
        <w:t xml:space="preserve">which two HMQC peaks are the geminal pair of one residue — enters as a hard</w:t>
      </w:r>
      <w:r>
        <w:t xml:space="preserve"> </w:t>
      </w:r>
      <w:r>
        <w:t xml:space="preserve">constraint tying that pair to a single structural residue. It does not by itself</w:t>
      </w:r>
      <w:r>
        <w:t xml:space="preserve"> </w:t>
      </w:r>
      <w:r>
        <w:t xml:space="preserve">orient δ1 versus δ2 (the constraint admits both orderings); it collapses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 by coupling the pair’s NOE evidence, and hands the</w:t>
      </w:r>
      <w:r>
        <w:t xml:space="preserve"> </w:t>
      </w:r>
      <w:r>
        <w:t xml:space="preserve">orientation to the score. Its net effect on accuracy is target-dependent: it helps</w:t>
      </w:r>
      <w:r>
        <w:t xml:space="preserve"> </w:t>
      </w:r>
      <w:r>
        <w:t xml:space="preserve">MBP (87.5% → 93.2%; Table 1, +HMBC) but on the crowded REC2/REC3 domains the extra</w:t>
      </w:r>
      <w:r>
        <w:t xml:space="preserve"> </w:t>
      </w:r>
      <w:r>
        <w:t xml:space="preserve">hard links reshape the constrained landscape into a different equal-scoring optimum</w:t>
      </w:r>
      <w:r>
        <w:t xml:space="preserve"> </w:t>
      </w:r>
      <w:r>
        <w:t xml:space="preserve">that scores lower, so it too is opt-in. Running the same scoring inside the MAUS</w:t>
      </w:r>
      <w:r>
        <w:t xml:space="preserve"> </w:t>
      </w:r>
      <w:r>
        <w:t xml:space="preserve">bounds thus yields roughly an order of magnitude more single-answer accuracy than</w:t>
      </w:r>
      <w:r>
        <w:t xml:space="preserve"> </w:t>
      </w:r>
      <w:r>
        <w:t xml:space="preserve">scoring over the full space, at no cost to the certainty guarantee, and improves</w:t>
      </w:r>
      <w:r>
        <w:t xml:space="preserve"> </w:t>
      </w:r>
      <w:r>
        <w:t xml:space="preserve">with added experimental input where that input is informative.</w:t>
      </w:r>
    </w:p>
    <w:p>
      <w:pPr>
        <w:pStyle w:val="BodyText"/>
      </w:pPr>
      <w:r>
        <w:t xml:space="preserve">On the real-experimental TNF-α homotrimer (matched at H±0.01/C±0.05 with reciprocal</w:t>
      </w:r>
      <w:r>
        <w:t xml:space="preserve"> </w:t>
      </w:r>
      <w:r>
        <w:t xml:space="preserve">symmetric NOESY pairing) the method behaves consistently with the</w:t>
      </w:r>
      <w:r>
        <w:t xml:space="preserve"> </w:t>
      </w:r>
      <w:r>
        <w:t xml:space="preserve">simulated targets while exposing two properties only genuine data reveals</w:t>
      </w:r>
      <w:r>
        <w:t xml:space="preserve"> </w:t>
      </w:r>
      <w:r>
        <w:t xml:space="preserve">(Table 1). First, multimer handling is load-bearing: with the same reciprocal</w:t>
      </w:r>
      <w:r>
        <w:t xml:space="preserve"> </w:t>
      </w:r>
      <w:r>
        <w:t xml:space="preserve">symmetric NOE edges, parsing the structure as a single protomer leaves 10 measured</w:t>
      </w:r>
      <w:r>
        <w:t xml:space="preserve"> </w:t>
      </w:r>
      <w:r>
        <w:t xml:space="preserve">inter-subunit contacts without a structural home and drops them from the envelope</w:t>
      </w:r>
      <w:r>
        <w:t xml:space="preserve"> </w:t>
      </w:r>
      <w:r>
        <w:t xml:space="preserve">(75/85 = 88.2%); retaining the three chains as symmetry images (contact = minimum</w:t>
      </w:r>
      <w:r>
        <w:t xml:space="preserve"> </w:t>
      </w:r>
      <w:r>
        <w:t xml:space="preserve">distance over subunits) explains 9 of them and recovers a 98.8% envelope (84/85).</w:t>
      </w:r>
      <w:r>
        <w:t xml:space="preserve"> </w:t>
      </w:r>
      <w:r>
        <w:t xml:space="preserve">Second, the never-exclude guarantee is conditional on the NOEs being consistent with</w:t>
      </w:r>
      <w:r>
        <w:t xml:space="preserve"> </w:t>
      </w:r>
      <w:r>
        <w:t xml:space="preserve">the structure — a condition simulated data satisfies by construction. Measured</w:t>
      </w:r>
      <w:r>
        <w:t xml:space="preserve"> </w:t>
      </w:r>
      <w:r>
        <w:t xml:space="preserve">against an AlphaFold3 model, one peak (Leu76δ2) carries a symmetric-confirmed NOE the</w:t>
      </w:r>
      <w:r>
        <w:t xml:space="preserve"> </w:t>
      </w:r>
      <w:r>
        <w:t xml:space="preserve">predicted structure does not support at the 6/10 Å cutoffs and falls out of the</w:t>
      </w:r>
      <w:r>
        <w:t xml:space="preserve"> </w:t>
      </w:r>
      <w:r>
        <w:t xml:space="preserve">envelope, so the real-world figure is 98.8%, not 100%. (Reciprocal symmetric pairing</w:t>
      </w:r>
      <w:r>
        <w:t xml:space="preserve"> </w:t>
      </w:r>
      <w:r>
        <w:t xml:space="preserve">is what makes even this bound attainable: the plain carbon-only firm match — resolving</w:t>
      </w:r>
      <w:r>
        <w:t xml:space="preserve"> </w:t>
      </w:r>
      <w:r>
        <w:t xml:space="preserve">the partner by carbon alone — collects mutually inconsistent hard edges on this dense</w:t>
      </w:r>
      <w:r>
        <w:t xml:space="preserve"> </w:t>
      </w:r>
      <w:r>
        <w:t xml:space="preserve">trimer and is UNSAT outright, so it commits nothing; pairing each row with its</w:t>
      </w:r>
      <w:r>
        <w:t xml:space="preserve"> </w:t>
      </w:r>
      <w:r>
        <w:t xml:space="preserve">reciprocal resolves both ends by full (C,H) and every retained edge is a real</w:t>
      </w:r>
      <w:r>
        <w:t xml:space="preserve"> </w:t>
      </w:r>
      <w:r>
        <w:t xml:space="preserve">methyl–methyl contact.) Committed accuracy is 34.1% methyl (31.8% before soft</w:t>
      </w:r>
      <w:r>
        <w:t xml:space="preserve"> </w:t>
      </w:r>
      <w:r>
        <w:t xml:space="preserve">evidence) and 55.3% at residue level — short of the simulated targets, as expected for</w:t>
      </w:r>
      <w:r>
        <w:t xml:space="preserve"> </w:t>
      </w:r>
      <w:r>
        <w:t xml:space="preserve">a boolean-dominated (H)CCH network scored against a predicted fold. The 21-point</w:t>
      </w:r>
      <w:r>
        <w:t xml:space="preserve"> </w:t>
      </w:r>
      <w:r>
        <w:t xml:space="preserve">methyl-vs-residue gap is entirely geminal swaps: right residue, wrong δ1/δ2 or γ1/γ2</w:t>
      </w:r>
      <w:r>
        <w:t xml:space="preserve"> </w:t>
      </w:r>
      <w:r>
        <w:t xml:space="preserve">(Table 3). The optional HMBC lever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help this run — only one geminal link</w:t>
      </w:r>
      <w:r>
        <w:t xml:space="preserve"> </w:t>
      </w:r>
      <w:r>
        <w:t xml:space="preserve">matches the peaks at H±0.01/C±0.05, and adding it to the already max-feasible commit</w:t>
      </w:r>
      <w:r>
        <w:t xml:space="preserve"> </w:t>
      </w:r>
      <w:r>
        <w:t xml:space="preserve">set tips the SAT infeasible rather than orienting the pairs (Table 1, n.r.).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structure-simulated targets plus one</w:t>
      </w:r>
      <w:r>
        <w:t xml:space="preserve"> </w:t>
      </w:r>
      <w:r>
        <w:t xml:space="preserve">real-experimental multimer (TNF-α), 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 contains the</w:t>
      </w:r>
      <w:r>
        <w:t xml:space="preserve"> </w:t>
      </w:r>
      <w:r>
        <w:t xml:space="preserve">truth (never-exclude guarantee). n.c. = did not converge within a 15-min budget;</w:t>
      </w:r>
      <w:r>
        <w:t xml:space="preserve"> </w:t>
      </w:r>
      <w:r>
        <w:t xml:space="preserve">n.r. = not reported (the single matched HMBC link over-constrains TNF-α’s</w:t>
      </w:r>
      <w:r>
        <w:t xml:space="preserve"> </w:t>
      </w:r>
      <w:r>
        <w:t xml:space="preserve">max-feasible commit set, tipping the SAT infeasible).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TNF-α‡</w:t>
            </w:r>
          </w:p>
        </w:tc>
        <w:tc>
          <w:tcPr/>
          <w:p>
            <w:pPr>
              <w:pStyle w:val="Compact"/>
            </w:pPr>
            <w:r>
              <w:t xml:space="preserve">real / AF3 trimer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‡TNF-α is the only real-experimental and only multimeric target:</w:t>
      </w:r>
      <w:r>
        <w:t xml:space="preserve"> </w:t>
      </w:r>
      <w:r>
        <w:t xml:space="preserve">genuine methyl-NMR HMQC/NOESY/HMBC peak lists of the tumour-necrosis-factor-α</w:t>
      </w:r>
      <w:r>
        <w:t xml:space="preserve"> </w:t>
      </w:r>
      <w:r>
        <w:t xml:space="preserve">homotrimer, scored against an AlphaFold3 trimer model, and matched at H±0.01/C±0.05</w:t>
      </w:r>
      <w:r>
        <w:t xml:space="preserve"> </w:t>
      </w:r>
      <w:r>
        <w:t xml:space="preserve">like the rest. Its NOESY match uses</w:t>
      </w:r>
      <w:r>
        <w:t xml:space="preserve"> </w:t>
      </w:r>
      <w:r>
        <w:rPr>
          <w:b/>
          <w:bCs/>
        </w:rPr>
        <w:t xml:space="preserve">reciprocal symmetric pairing</w:t>
      </w:r>
      <w:r>
        <w:t xml:space="preserve">: a 3D (H)CCH row</w:t>
      </w:r>
      <w:r>
        <w:t xml:space="preserve"> </w:t>
      </w:r>
      <w:r>
        <w:t xml:space="preserve">gives the partner only by carbon, but the reciprocal row supplies the partner’s</w:t>
      </w:r>
      <w:r>
        <w:t xml:space="preserve"> </w:t>
      </w:r>
      <w:r>
        <w:t xml:space="preserve">proton, so pairing the two resolves both NOE ends by full (C,H) and every firm edge</w:t>
      </w:r>
      <w:r>
        <w:t xml:space="preserve"> </w:t>
      </w:r>
      <w:r>
        <w:t xml:space="preserve">is a correct methyl–methyl contact — the envelope reaches 98.8% with no wrong hard</w:t>
      </w:r>
      <w:r>
        <w:t xml:space="preserve"> </w:t>
      </w:r>
      <w:r>
        <w:t xml:space="preserve">constraint (the plain carbon-only firm match is UNSAT on this dense trimer). Multimer</w:t>
      </w:r>
      <w:r>
        <w:t xml:space="preserve"> </w:t>
      </w:r>
      <w:r>
        <w:t xml:space="preserve">handling is load-bearing: treating the three chains as symmetry images (a contact is</w:t>
      </w:r>
      <w:r>
        <w:t xml:space="preserve"> </w:t>
      </w:r>
      <w:r>
        <w:t xml:space="preserve">the minimum distance over subunits) explains the inter-subunit NOEs; with the same</w:t>
      </w:r>
      <w:r>
        <w:t xml:space="preserve"> </w:t>
      </w:r>
      <w:r>
        <w:t xml:space="preserve">symmetric edges the trimer parse recovers 84/85 vs 75/85 single-protomer, and the one</w:t>
      </w:r>
      <w:r>
        <w:t xml:space="preserve"> </w:t>
      </w:r>
      <w:r>
        <w:t xml:space="preserve">remaining peak (Leu76δ2) carries an NOE 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structure does not support</w:t>
      </w:r>
      <w:r>
        <w:t xml:space="preserve"> </w:t>
      </w:r>
      <w:r>
        <w:t xml:space="preserve">(the conditional-envelope caveat below). The commit engine grows a max-feasible hard</w:t>
      </w:r>
      <w:r>
        <w:t xml:space="preserve"> </w:t>
      </w:r>
      <w:r>
        <w:t xml:space="preserve">set — the symmetric seed plus the carbon-only firm edges that keep the SAT feasible —</w:t>
      </w:r>
      <w:r>
        <w:t xml:space="preserve"> </w:t>
      </w:r>
      <w:r>
        <w:t xml:space="preserve">so it prunes enough to commit (its own envelope drops, but the reported Envelope column</w:t>
      </w:r>
      <w:r>
        <w:t xml:space="preserve"> </w:t>
      </w:r>
      <w:r>
        <w:t xml:space="preserve">is engE’s 98.8%). The MAUS column is the fraction of peaks committed uniquely (all</w:t>
      </w:r>
      <w:r>
        <w:t xml:space="preserve"> </w:t>
      </w:r>
      <w:r>
        <w:t xml:space="preserve">correct); none is uniquely forced here, so its coverage is entirely the Envelope</w:t>
      </w:r>
      <w:r>
        <w:t xml:space="preserve"> </w:t>
      </w:r>
      <w:r>
        <w:t xml:space="preserve">column. The +HMBC column would add the optional HMBC-HMQC geminal-link experiment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--hmbc</w:t>
      </w:r>
      <w:r>
        <w:t xml:space="preserve">) on top of +soft; only one geminal link matches at this tolerance and adding</w:t>
      </w:r>
      <w:r>
        <w:t xml:space="preserve"> </w:t>
      </w:r>
      <w:r>
        <w:t xml:space="preserve">it to the already max-feasible commit set tips the SAT infeasible, so it is not reported</w:t>
      </w:r>
      <w:r>
        <w:t xml:space="preserve"> </w:t>
      </w:r>
      <w:r>
        <w:t xml:space="preserve">(n.r.).</w:t>
      </w:r>
    </w:p>
    <w:p>
      <w:pPr>
        <w:pStyle w:val="BodyText"/>
      </w:pPr>
      <w:r>
        <w:t xml:space="preserve">The labeling scheme (Table 1) shapes the assignment problem in two ways that the</w:t>
      </w:r>
      <w:r>
        <w:t xml:space="preserve"> </w:t>
      </w:r>
      <w:r>
        <w:t xml:space="preserve">residue-resolved accuracy of Table 2 makes explicit. First, because a peak competes</w:t>
      </w:r>
      <w:r>
        <w:t xml:space="preserve"> </w:t>
      </w:r>
      <w:r>
        <w:t xml:space="preserve">only with methyls of its own residue type, the number of labeled types sets the</w:t>
      </w:r>
      <w:r>
        <w:t xml:space="preserve"> </w:t>
      </w:r>
      <w:r>
        <w:t xml:space="preserve">granularity of the candidate partition: the two AILMTV targets (ubiquitin, MBP)</w:t>
      </w:r>
      <w:r>
        <w:t xml:space="preserve"> </w:t>
      </w:r>
      <w:r>
        <w:t xml:space="preserve">spread their peaks over six types, so each peak competes against fewer same-type</w:t>
      </w:r>
      <w:r>
        <w:t xml:space="preserve"> </w:t>
      </w:r>
      <w:r>
        <w:t xml:space="preserve">methyls than in a three-type ILV set. Second, labeling sets the irreducible geminal</w:t>
      </w:r>
      <w:r>
        <w:t xml:space="preserve"> </w:t>
      </w:r>
      <w:r>
        <w:t xml:space="preserve">load: Leu (δ1/δ2) and Val (γ1/γ2) carry prochiral methyl pairs that an achiral NOE</w:t>
      </w:r>
      <w:r>
        <w:t xml:space="preserve"> </w:t>
      </w:r>
      <w:r>
        <w:t xml:space="preserve">network cannot orient, whereas Ile contributes a single δ1 methyl. Table 2 shows the</w:t>
      </w:r>
      <w:r>
        <w:t xml:space="preserve"> </w:t>
      </w:r>
      <w:r>
        <w:t xml:space="preserve">two effects: Ile is the most reliably assigned type — 100% on five of seven targets</w:t>
      </w:r>
      <w:r>
        <w:t xml:space="preserve"> </w:t>
      </w:r>
      <w:r>
        <w:t xml:space="preserve">— because it is single-methyl and, being typically buried, NOE-rich; Leu and Val</w:t>
      </w:r>
      <w:r>
        <w:t xml:space="preserve"> </w:t>
      </w:r>
      <w:r>
        <w:t xml:space="preserve">are the bottleneck, at 100% only where the network is dense (ubiquitin, IL-2) and</w:t>
      </w:r>
      <w:r>
        <w:t xml:space="preserve"> </w:t>
      </w:r>
      <w:r>
        <w:t xml:space="preserve">falling to ~30–50% on the sparse REC3/MSG networks. This is why the residual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tier is dominated by Leu/Val pairs — an orientation the intensity score</w:t>
      </w:r>
      <w:r>
        <w:t xml:space="preserve"> </w:t>
      </w:r>
      <w:r>
        <w:t xml:space="preserve">resolves only when the two methyls make sufficiently different structural contacts,</w:t>
      </w:r>
      <w:r>
        <w:t xml:space="preserve"> </w:t>
      </w:r>
      <w:r>
        <w:t xml:space="preserve">and reports as a coin flip when they do not.</w:t>
      </w:r>
    </w:p>
    <w:p>
      <w:pPr>
        <w:pStyle w:val="BodyText"/>
      </w:pPr>
      <w:r>
        <w:t xml:space="preserve">Being single-methyl, however, is necessary but not sufficient: removing geminal</w:t>
      </w:r>
      <w:r>
        <w:t xml:space="preserve"> </w:t>
      </w:r>
      <w:r>
        <w:t xml:space="preserve">ambiguity and carrying NOE information are independent. On MBP, Ala Cβ (68%) and Thr</w:t>
      </w:r>
      <w:r>
        <w:t xml:space="preserve"> </w:t>
      </w:r>
      <w:r>
        <w:t xml:space="preserve">Cγ2 (70%) are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accurately assigned types (Table 2) despite no prochiral</w:t>
      </w:r>
      <w:r>
        <w:t xml:space="preserve"> </w:t>
      </w:r>
      <w:r>
        <w:t xml:space="preserve">degeneracy, because these often surface-exposed, shift-clustered methyls simply make</w:t>
      </w:r>
      <w:r>
        <w:t xml:space="preserve"> </w:t>
      </w:r>
      <w:r>
        <w:t xml:space="preserve">too few methyl–methyl NOEs to be pinned — whereas Ile on the same protein is 100%.</w:t>
      </w:r>
      <w:r>
        <w:t xml:space="preserve"> </w:t>
      </w:r>
      <w:r>
        <w:t xml:space="preserve">Labeling is therefore not the sole determinant of difficulty; it interacts with NOE</w:t>
      </w:r>
      <w:r>
        <w:t xml:space="preserve"> </w:t>
      </w:r>
      <w:r>
        <w:t xml:space="preserve">information content. IL-2 and REC2 are Leu-rich (71% and 76% Leu) yet reach ~88–90%</w:t>
      </w:r>
      <w:r>
        <w:t xml:space="preserve"> </w:t>
      </w:r>
      <w:r>
        <w:t xml:space="preserve">because their networks are dense, while REC3 and MSG fall to 60% and 30% not from</w:t>
      </w:r>
      <w:r>
        <w:t xml:space="preserve"> </w:t>
      </w:r>
      <w:r>
        <w:t xml:space="preserve">their labeling alone but because sparse carbon-only matching leaves too few firm NOEs</w:t>
      </w:r>
      <w:r>
        <w:t xml:space="preserve"> </w:t>
      </w:r>
      <w:r>
        <w:t xml:space="preserve">to pin the enlarged ILV domains (Section 3, coverage gate). In practice the levers</w:t>
      </w:r>
      <w:r>
        <w:t xml:space="preserve"> </w:t>
      </w:r>
      <w:r>
        <w:t xml:space="preserve">attack different bottlenecks: extending the labeling beyond ILV partitions the</w:t>
      </w:r>
      <w:r>
        <w:t xml:space="preserve"> </w:t>
      </w:r>
      <w:r>
        <w:t xml:space="preserve">problem into finer type classes, an HMBC geminal-link experiment collapses the</w:t>
      </w:r>
      <w:r>
        <w:t xml:space="preserve"> </w:t>
      </w:r>
      <w:r>
        <w:t xml:space="preserve">cross-residue ambiguity by tying each geminal pair to one residue, and the</w:t>
      </w:r>
      <w:r>
        <w:t xml:space="preserve"> </w:t>
      </w:r>
      <w:r>
        <w:t xml:space="preserve">intensity-weighted score is what finally orients δ1/δ2 within the pair — none is a</w:t>
      </w:r>
      <w:r>
        <w:t xml:space="preserve"> </w:t>
      </w:r>
      <w:r>
        <w:t xml:space="preserve">universal fix, and the last two are opt-in.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Methyl-level accuracy of the committed magicmaus call (+soft) resolved</w:t>
      </w:r>
      <w:r>
        <w:t xml:space="preserve"> </w:t>
      </w:r>
      <w:r>
        <w:t xml:space="preserve">by residue type. Each cell is correct/observed for that type; a dash marks a type</w:t>
      </w:r>
      <w:r>
        <w:t xml:space="preserve"> </w:t>
      </w:r>
      <w:r>
        <w:t xml:space="preserve">absent from the target’s labeling. Ile is near-perfect except on the sparse</w:t>
      </w:r>
      <w:r>
        <w:t xml:space="preserve"> </w:t>
      </w:r>
      <w:r>
        <w:t xml:space="preserve">REC3/MSG networks; Leu/Val carry the geminal degeneracy; Ala/Thr, though</w:t>
      </w:r>
      <w:r>
        <w:t xml:space="preserve"> </w:t>
      </w:r>
      <w:r>
        <w:t xml:space="preserve">single-methyl, are NOE-poor on MBP.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Leu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Ala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(18/18)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  <w:tc>
          <w:tcPr/>
          <w:p>
            <w:pPr>
              <w:pStyle w:val="Compact"/>
            </w:pPr>
            <w:r>
              <w:t xml:space="preserve">100% (43/43)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(42/42)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97% (57/59)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(24/28)</w:t>
            </w:r>
          </w:p>
        </w:tc>
        <w:tc>
          <w:tcPr/>
          <w:p>
            <w:pPr>
              <w:pStyle w:val="Compact"/>
            </w:pPr>
            <w:r>
              <w:t xml:space="preserve">75% (12/16)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86% (49/57)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(42/48)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90% (57/63)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(26/50)</w:t>
            </w:r>
          </w:p>
        </w:tc>
        <w:tc>
          <w:tcPr/>
          <w:p>
            <w:pPr>
              <w:pStyle w:val="Compact"/>
            </w:pPr>
            <w:r>
              <w:t xml:space="preserve">73% (16/22)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58% (49/85)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(58/60)</w:t>
            </w:r>
          </w:p>
        </w:tc>
        <w:tc>
          <w:tcPr/>
          <w:p>
            <w:pPr>
              <w:pStyle w:val="Compact"/>
            </w:pPr>
            <w:r>
              <w:t xml:space="preserve">95% (38/40)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88% (168/192)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32% (42/133)</w:t>
            </w:r>
          </w:p>
        </w:tc>
        <w:tc>
          <w:tcPr/>
          <w:p>
            <w:pPr>
              <w:pStyle w:val="Compact"/>
            </w:pPr>
            <w:r>
              <w:t xml:space="preserve">31% (26/83)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33% (86/257)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25% (9/36)</w:t>
            </w:r>
          </w:p>
        </w:tc>
        <w:tc>
          <w:tcPr/>
          <w:p>
            <w:pPr>
              <w:pStyle w:val="Compact"/>
            </w:pPr>
            <w:r>
              <w:t xml:space="preserve">19% (5/26)</w:t>
            </w:r>
          </w:p>
        </w:tc>
        <w:tc>
          <w:tcPr/>
          <w:p>
            <w:pPr>
              <w:pStyle w:val="Compact"/>
            </w:pPr>
            <w:r>
              <w:t xml:space="preserve">50% (6/12)</w:t>
            </w:r>
          </w:p>
        </w:tc>
        <w:tc>
          <w:tcPr/>
          <w:p>
            <w:pPr>
              <w:pStyle w:val="Compact"/>
            </w:pPr>
            <w:r>
              <w:t xml:space="preserve">33% (1/3)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34% (29/85)</w:t>
            </w:r>
          </w:p>
        </w:tc>
      </w:tr>
    </w:tbl>
    <w:p>
      <w:pPr>
        <w:pStyle w:val="BodyText"/>
      </w:pPr>
      <w:r>
        <w:t xml:space="preserve">The real-data TNF-α row (symmetric-NOESY engine at H±0.01/C±0.05) makes the type</w:t>
      </w:r>
      <w:r>
        <w:t xml:space="preserve"> </w:t>
      </w:r>
      <w:r>
        <w:t xml:space="preserve">dependence stark even as overall accuracy is modest on this sparse network: Ile (no</w:t>
      </w:r>
      <w:r>
        <w:t xml:space="preserve"> </w:t>
      </w:r>
      <w:r>
        <w:t xml:space="preserve">geminal partner) is assigned outright at 100% (8/8), while Leu (25%) and Val (19%)</w:t>
      </w:r>
      <w:r>
        <w:t xml:space="preserve"> </w:t>
      </w:r>
      <w:r>
        <w:t xml:space="preserve">lag — the firm NOEs cannot orient the geminal pairs, so most Leu/Val calls are the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coin flip landing on the wrong δ/γ methyl (they stay inside the MAUS</w:t>
      </w:r>
      <w:r>
        <w:t xml:space="preserve"> </w:t>
      </w:r>
      <w:r>
        <w:t xml:space="preserve">envelope; only the intensity signal, weak here, could break the tie). The</w:t>
      </w:r>
      <w:r>
        <w:t xml:space="preserve"> </w:t>
      </w:r>
      <w:r>
        <w:t xml:space="preserve">residue-level accuracy is 55% (47/85): the 21-point gap to the 34% methyl-level</w:t>
      </w:r>
      <w:r>
        <w:t xml:space="preserve"> </w:t>
      </w:r>
      <w:r>
        <w:t xml:space="preserve">figure is entirely geminal swaps — right residue, wrong δ1/δ2 or γ1/γ2.</w:t>
      </w:r>
    </w:p>
    <w:p>
      <w:pPr>
        <w:pStyle w:val="BodyText"/>
      </w:pPr>
      <w:r>
        <w:t xml:space="preserve">Resolving the accuracy to the individual prochiral methyl (Table 3) confirms that</w:t>
      </w:r>
      <w:r>
        <w:t xml:space="preserve"> </w:t>
      </w:r>
      <w:r>
        <w:t xml:space="preserve">the residual Leu/Val error is a geminal swap rather than random misassignment: on</w:t>
      </w:r>
      <w:r>
        <w:t xml:space="preserve"> </w:t>
      </w:r>
      <w:r>
        <w:t xml:space="preserve">every target the two members of each pair degrade in near-lockstep — HNH Leu δ1 and</w:t>
      </w:r>
      <w:r>
        <w:t xml:space="preserve"> </w:t>
      </w:r>
      <w:r>
        <w:t xml:space="preserve">δ2 are both 86%, its Val γ1 and γ2 both 75%, REC2 Leu δ1/δ2 both 88% — the exact</w:t>
      </w:r>
      <w:r>
        <w:t xml:space="preserve"> </w:t>
      </w:r>
      <w:r>
        <w:t xml:space="preserve">signature of the achiral network placing the pair on the right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but the</w:t>
      </w:r>
      <w:r>
        <w:t xml:space="preserve"> </w:t>
      </w:r>
      <w:r>
        <w:t xml:space="preserve">wrong</w:t>
      </w:r>
      <w:r>
        <w:t xml:space="preserve"> </w:t>
      </w:r>
      <w:r>
        <w:rPr>
          <w:i/>
          <w:iCs/>
        </w:rPr>
        <w:t xml:space="preserve">methyl</w:t>
      </w:r>
      <w:r>
        <w:t xml:space="preserve">. Both members stay inside the MAUS envelope (the truth is never</w:t>
      </w:r>
      <w:r>
        <w:t xml:space="preserve"> </w:t>
      </w:r>
      <w:r>
        <w:t xml:space="preserve">excluded), so the swap is a calibrated coin flip that the confidence tier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that only a signal able to tell δ1 from δ2 can break — the intensity</w:t>
      </w:r>
      <w:r>
        <w:t xml:space="preserve"> </w:t>
      </w:r>
      <w:r>
        <w:t xml:space="preserve">score where their structural contacts differ, or an independent stereospecific</w:t>
      </w:r>
      <w:r>
        <w:t xml:space="preserve"> </w:t>
      </w:r>
      <w:r>
        <w:t xml:space="preserve">assignment where they do not. An HMBC geminal-link experiment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break it:</w:t>
      </w:r>
      <w:r>
        <w:t xml:space="preserve"> </w:t>
      </w:r>
      <w:r>
        <w:t xml:space="preserve">by construction its constraint admits both orderings of the pair (Section 3), so it</w:t>
      </w:r>
      <w:r>
        <w:t xml:space="preserve"> </w:t>
      </w:r>
      <w:r>
        <w:t xml:space="preserve">resolves which residue, not which methyl. Ile δ1, having no geminal partner, carries</w:t>
      </w:r>
      <w:r>
        <w:t xml:space="preserve"> </w:t>
      </w:r>
      <w:r>
        <w:t xml:space="preserve">no such symmetry and is assigned outright wherever the network is dense.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resolved to the individual methyl carbon (magicmaus +soft).</w:t>
      </w:r>
      <w:r>
        <w:t xml:space="preserve"> </w:t>
      </w:r>
      <w:r>
        <w:t xml:space="preserve">Geminal partners (Leu δ1/δ2, Val γ1/γ2) are listed separately; their near-equal</w:t>
      </w:r>
      <w:r>
        <w:t xml:space="preserve"> </w:t>
      </w:r>
      <w:r>
        <w:t xml:space="preserve">columns are the geminal-swap signature. A dash marks a methyl absent from the</w:t>
      </w:r>
      <w:r>
        <w:t xml:space="preserve"> </w:t>
      </w:r>
      <w:r>
        <w:t xml:space="preserve">target’s labeling.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 δ1</w:t>
            </w:r>
          </w:p>
        </w:tc>
        <w:tc>
          <w:tcPr/>
          <w:p>
            <w:pPr>
              <w:pStyle w:val="Compact"/>
            </w:pPr>
            <w:r>
              <w:t xml:space="preserve">Leu δ1</w:t>
            </w:r>
          </w:p>
        </w:tc>
        <w:tc>
          <w:tcPr/>
          <w:p>
            <w:pPr>
              <w:pStyle w:val="Compact"/>
            </w:pPr>
            <w:r>
              <w:t xml:space="preserve">Leu δ2</w:t>
            </w:r>
          </w:p>
        </w:tc>
        <w:tc>
          <w:tcPr/>
          <w:p>
            <w:pPr>
              <w:pStyle w:val="Compact"/>
            </w:pPr>
            <w:r>
              <w:t xml:space="preserve">Val γ1</w:t>
            </w:r>
          </w:p>
        </w:tc>
        <w:tc>
          <w:tcPr/>
          <w:p>
            <w:pPr>
              <w:pStyle w:val="Compact"/>
            </w:pPr>
            <w:r>
              <w:t xml:space="preserve">Val γ2</w:t>
            </w:r>
          </w:p>
        </w:tc>
        <w:tc>
          <w:tcPr/>
          <w:p>
            <w:pPr>
              <w:pStyle w:val="Compact"/>
            </w:pPr>
            <w:r>
              <w:t xml:space="preserve">Ala β</w:t>
            </w:r>
          </w:p>
        </w:tc>
        <w:tc>
          <w:tcPr/>
          <w:p>
            <w:pPr>
              <w:pStyle w:val="Compact"/>
            </w:pPr>
            <w:r>
              <w:t xml:space="preserve">Thr γ2</w:t>
            </w:r>
          </w:p>
        </w:tc>
        <w:tc>
          <w:tcPr/>
          <w:p>
            <w:pPr>
              <w:pStyle w:val="Compact"/>
            </w:pPr>
            <w:r>
              <w:t xml:space="preserve">Met 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33% (22/67)</w:t>
            </w:r>
          </w:p>
        </w:tc>
        <w:tc>
          <w:tcPr/>
          <w:p>
            <w:pPr>
              <w:pStyle w:val="Compact"/>
            </w:pPr>
            <w:r>
              <w:t xml:space="preserve">30% (20/66)</w:t>
            </w:r>
          </w:p>
        </w:tc>
        <w:tc>
          <w:tcPr/>
          <w:p>
            <w:pPr>
              <w:pStyle w:val="Compact"/>
            </w:pPr>
            <w:r>
              <w:t xml:space="preserve">31% (13/42)</w:t>
            </w:r>
          </w:p>
        </w:tc>
        <w:tc>
          <w:tcPr/>
          <w:p>
            <w:pPr>
              <w:pStyle w:val="Compact"/>
            </w:pPr>
            <w:r>
              <w:t xml:space="preserve">32% (13/41)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22% (4/18)</w:t>
            </w:r>
          </w:p>
        </w:tc>
        <w:tc>
          <w:tcPr/>
          <w:p>
            <w:pPr>
              <w:pStyle w:val="Compact"/>
            </w:pPr>
            <w:r>
              <w:t xml:space="preserve">28% (5/18)</w:t>
            </w:r>
          </w:p>
        </w:tc>
        <w:tc>
          <w:tcPr/>
          <w:p>
            <w:pPr>
              <w:pStyle w:val="Compact"/>
            </w:pPr>
            <w:r>
              <w:t xml:space="preserve">15% (2/13)</w:t>
            </w:r>
          </w:p>
        </w:tc>
        <w:tc>
          <w:tcPr/>
          <w:p>
            <w:pPr>
              <w:pStyle w:val="Compact"/>
            </w:pPr>
            <w:r>
              <w:t xml:space="preserve">23% (3/13)</w:t>
            </w:r>
          </w:p>
        </w:tc>
        <w:tc>
          <w:tcPr/>
          <w:p>
            <w:pPr>
              <w:pStyle w:val="Compact"/>
            </w:pPr>
            <w:r>
              <w:t xml:space="preserve">50% (6/12)</w:t>
            </w:r>
          </w:p>
        </w:tc>
        <w:tc>
          <w:tcPr/>
          <w:p>
            <w:pPr>
              <w:pStyle w:val="Compact"/>
            </w:pPr>
            <w:r>
              <w:t xml:space="preserve">33% (1/3)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same geminal-swap lens revises how the MAUS column should be read. MAUS’s</w:t>
      </w:r>
      <w:r>
        <w:t xml:space="preserve"> </w:t>
      </w:r>
      <w:r>
        <w:t xml:space="preserve">decisive fraction (Table 1, MAUS) counts only peaks pinned to a single</w:t>
      </w:r>
      <w:r>
        <w:t xml:space="preserve"> </w:t>
      </w:r>
      <w:r>
        <w:rPr>
          <w:i/>
          <w:iCs/>
        </w:rPr>
        <w:t xml:space="preserve">methyl</w:t>
      </w:r>
      <w:r>
        <w:t xml:space="preserve">, so</w:t>
      </w:r>
      <w:r>
        <w:t xml:space="preserve"> </w:t>
      </w:r>
      <w:r>
        <w:t xml:space="preserve">it books every geminal-unresolved pair as an abstention — yet such a pair is already</w:t>
      </w:r>
      <w:r>
        <w:t xml:space="preserve"> </w:t>
      </w:r>
      <w:r>
        <w:t xml:space="preserve">decisive at the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level: the truth’s residue is fixed, only its δ1/δ2 (or</w:t>
      </w:r>
      <w:r>
        <w:t xml:space="preserve"> </w:t>
      </w:r>
      <w:r>
        <w:t xml:space="preserve">γ1/γ2) label is open. Collapsing each option set to its residues, MAUS is in fact</w:t>
      </w:r>
      <w:r>
        <w:t xml:space="preserve"> </w:t>
      </w:r>
      <w:r>
        <w:t xml:space="preserve">residue-decisive — and, by never-exclude, correct — on far more peaks than its</w:t>
      </w:r>
      <w:r>
        <w:t xml:space="preserve"> </w:t>
      </w:r>
      <w:r>
        <w:t xml:space="preserve">methyl-unique count suggests: 88.4% vs 34.9% on ubiquitin, 53.6% vs 26.6% on MBP,</w:t>
      </w:r>
      <w:r>
        <w:t xml:space="preserve"> </w:t>
      </w:r>
      <w:r>
        <w:t xml:space="preserve">and 50.9% vs 26.3% on HNH. This residue-vs-methyl gap is a direct readout of how much</w:t>
      </w:r>
      <w:r>
        <w:t xml:space="preserve"> </w:t>
      </w:r>
      <w:r>
        <w:t xml:space="preserve">of MAUS’s ambiguity is</w:t>
      </w:r>
      <w:r>
        <w:t xml:space="preserve"> </w:t>
      </w:r>
      <w:r>
        <w:rPr>
          <w:i/>
          <w:iCs/>
        </w:rPr>
        <w:t xml:space="preserve">merely geminal</w:t>
      </w:r>
      <w:r>
        <w:t xml:space="preserve"> </w:t>
      </w:r>
      <w:r>
        <w:t xml:space="preserve">— a δ1/δ2 orientation that only the score (or</w:t>
      </w:r>
      <w:r>
        <w:t xml:space="preserve"> </w:t>
      </w:r>
      <w:r>
        <w:t xml:space="preserve">a stereospecific measurement) can settle, since it is the one thing the HMBC link</w:t>
      </w:r>
      <w:r>
        <w:t xml:space="preserve"> </w:t>
      </w:r>
      <w:r>
        <w:t xml:space="preserve">leaves open. Its complement, the fraction still spanning more than one residue, is the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ambiguity, and it dominates the Leu-crowded ILV targets (IL-2 81%, REC2</w:t>
      </w:r>
      <w:r>
        <w:t xml:space="preserve"> </w:t>
      </w:r>
      <w:r>
        <w:t xml:space="preserve">68%, MSG 94% of peaks) where many Leu compete for one peak. That is exactly the part</w:t>
      </w:r>
      <w:r>
        <w:t xml:space="preserve"> </w:t>
      </w:r>
      <w:r>
        <w:t xml:space="preserve">the HMBC link collapses: tying each geminal pair to one residue couples their NOE</w:t>
      </w:r>
      <w:r>
        <w:t xml:space="preserve"> </w:t>
      </w:r>
      <w:r>
        <w:t xml:space="preserve">evidence and lifts the residue-decisive fraction sharply on those targets (REC2 32% →</w:t>
      </w:r>
      <w:r>
        <w:t xml:space="preserve"> </w:t>
      </w:r>
      <w:r>
        <w:t xml:space="preserve">68%, HNH 51% → 79%). Whether that structural collapse improves the final methyl-level</w:t>
      </w:r>
      <w:r>
        <w:t xml:space="preserve"> </w:t>
      </w:r>
      <w:r>
        <w:t xml:space="preserve">call, however, is target-dependent — it does on MBP but reshapes the crowded REC2/REC3</w:t>
      </w:r>
      <w:r>
        <w:t xml:space="preserve"> </w:t>
      </w:r>
      <w:r>
        <w:t xml:space="preserve">landscapes into a worse-scoring optimum — which, together with the fact that the swap</w:t>
      </w:r>
      <w:r>
        <w:t xml:space="preserve"> </w:t>
      </w:r>
      <w:r>
        <w:t xml:space="preserve">itself is left to the score, is why HMBC is opt-in rather than a universal lever.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structure-simulated benchmark targets (43–257 methyls, ordered by size) plus the real-experimental TNF-α homotrimer (real), all engines scored on the same 1/r6 intensity NOESY: magicmaus (+soft, blue) versus MAUS unique-only calls (purple; the constraint layer’s decisive fraction, abstaining elsewhere) and full-space MAGIC (red; hatched n.c.* where scoring did not converge within a 15-min budget). Green markers denote the truth-in-envelope guarantee — 100% on every simulated target, and 98.8% on real TNF-α data via reciprocal symmetric NOESY pairing (one peak carries an NOE the predicted structure cannot support; the plain carbon-only match is UNSAT on the dense trimer)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structure-simulated benchmark targets (43–257 methyls,</w:t>
      </w:r>
      <w:r>
        <w:t xml:space="preserve"> </w:t>
      </w:r>
      <w:r>
        <w:t xml:space="preserve">ordered by size) plus the real-experimental TNF-α homotrimer (</w:t>
      </w:r>
      <w:r>
        <w:rPr>
          <w:i/>
          <w:iCs/>
        </w:rPr>
        <w:t xml:space="preserve">real),</w:t>
      </w:r>
      <w:r>
        <w:rPr>
          <w:i/>
          <w:iCs/>
        </w:rPr>
        <w:t xml:space="preserve"> </w:t>
      </w:r>
      <w:r>
        <w:rPr>
          <w:i/>
          <w:iCs/>
        </w:rPr>
        <w:t xml:space="preserve">all engines scored on the same 1/r</w:t>
      </w:r>
      <w:r>
        <w:rPr>
          <w:i/>
          <w:iCs/>
          <w:vertAlign w:val="superscript"/>
        </w:rPr>
        <w:t xml:space="preserve">6</w:t>
      </w:r>
      <w:r>
        <w:rPr>
          <w:i/>
          <w:iCs/>
        </w:rPr>
        <w:t xml:space="preserve"> </w:t>
      </w:r>
      <w:r>
        <w:rPr>
          <w:i/>
          <w:iCs/>
        </w:rPr>
        <w:t xml:space="preserve">intensity NOESY: magicmaus (+soft, blue)</w:t>
      </w:r>
      <w:r>
        <w:rPr>
          <w:i/>
          <w:iCs/>
        </w:rPr>
        <w:t xml:space="preserve"> </w:t>
      </w:r>
      <w:r>
        <w:rPr>
          <w:i/>
          <w:iCs/>
        </w:rPr>
        <w:t xml:space="preserve">versus MAUS unique-only calls (purple; the constraint layer’s decisive fraction,</w:t>
      </w:r>
      <w:r>
        <w:rPr>
          <w:i/>
          <w:iCs/>
        </w:rPr>
        <w:t xml:space="preserve"> </w:t>
      </w:r>
      <w:r>
        <w:rPr>
          <w:i/>
          <w:iCs/>
        </w:rPr>
        <w:t xml:space="preserve">abstaining elsewhere) and full-space MAGIC (red; hatched</w:t>
      </w:r>
      <w:r>
        <w:rPr>
          <w:i/>
          <w:iCs/>
        </w:rPr>
        <w:t xml:space="preserve"> </w:t>
      </w:r>
      <w:r>
        <w:t xml:space="preserve">n.c.* where scoring did</w:t>
      </w:r>
      <w:r>
        <w:t xml:space="preserve"> </w:t>
      </w:r>
      <w:r>
        <w:t xml:space="preserve">not converge within a 15-min budget). Green markers denote the truth-in-envelope</w:t>
      </w:r>
      <w:r>
        <w:t xml:space="preserve"> </w:t>
      </w:r>
      <w:r>
        <w:t xml:space="preserve">guarantee — 100% on every simulated target, and 98.8% on real TNF-α data via</w:t>
      </w:r>
      <w:r>
        <w:t xml:space="preserve"> </w:t>
      </w:r>
      <w:r>
        <w:t xml:space="preserve">reciprocal symmetric NOESY pairing (one peak carries an NOE the predicted structure</w:t>
      </w:r>
      <w:r>
        <w:t xml:space="preserve"> </w:t>
      </w:r>
      <w:r>
        <w:t xml:space="preserve">cannot support; the plain carbon-only match is UNSAT on the dense trimer).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2026-07-06T12:09:44Z</dcterms:created>
  <dcterms:modified xsi:type="dcterms:W3CDTF">2026-07-06T12:09:44Z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