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On maltose-binding protein (192 methyls),</w:t>
      </w:r>
      <w:r>
        <w:t xml:space="preserve"> </w:t>
      </w:r>
      <w:r>
        <w:t xml:space="preserve">scored on an identical intensity NOESY, magicmaus assigns 72.9% of methyls</w:t>
      </w:r>
      <w:r>
        <w:t xml:space="preserve"> </w:t>
      </w:r>
      <w:r>
        <w:t xml:space="preserve">correctly (79.7% with ambiguous-NOE evidence) versus 5.7% for the scoring method</w:t>
      </w:r>
      <w:r>
        <w:t xml:space="preserve"> </w:t>
      </w:r>
      <w:r>
        <w:t xml:space="preserve">alone, while retaining the constraint method’s 100% never-exclude guarantee as an</w:t>
      </w:r>
      <w:r>
        <w:t xml:space="preserve"> </w:t>
      </w:r>
      <w:r>
        <w:t xml:space="preserve">explicit ambiguity envelope.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machines: methyl-TROSY spectroscopy yields sharp signals well beyond</w:t>
      </w:r>
      <w:r>
        <w:t xml:space="preserve"> </w:t>
      </w:r>
      <w:r>
        <w:t xml:space="preserve">100 kDa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2003). Exploiting them requires assigning each</w:t>
      </w:r>
      <w:r>
        <w:t xml:space="preserve"> </w:t>
      </w:r>
      <w:r>
        <w:t xml:space="preserve">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 cross peak to a specific methyl in the protein</w:t>
      </w:r>
      <w:r>
        <w:t xml:space="preserve"> </w:t>
      </w:r>
      <w:r>
        <w:t xml:space="preserve">structure, a laborious step that has motivated several automated,</w:t>
      </w:r>
      <w:r>
        <w:t xml:space="preserve"> </w:t>
      </w:r>
      <w:r>
        <w:t xml:space="preserve">structure-based methods driven by methyl–methyl NOEs.</w:t>
      </w:r>
    </w:p>
    <w:p>
      <w:pPr>
        <w:pStyle w:val="BodyText"/>
      </w:pPr>
      <w:r>
        <w:t xml:space="preserve">Two paradigms dominate.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scores a global</w:t>
      </w:r>
      <w:r>
        <w:t xml:space="preserve"> </w:t>
      </w:r>
      <w:r>
        <w:t xml:space="preserve">peak→methyl map with a confidence-weighted NOE objective and returns the highest</w:t>
      </w:r>
      <w:r>
        <w:t xml:space="preserve"> </w:t>
      </w:r>
      <w:r>
        <w:t xml:space="preserve">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casts the same</w:t>
      </w:r>
      <w:r>
        <w:t xml:space="preserve"> </w:t>
      </w:r>
      <w:r>
        <w:t xml:space="preserve">problem as subgraph isomorphism and solves it with a SAT solver, returning for</w:t>
      </w:r>
      <w:r>
        <w:t xml:space="preserve"> </w:t>
      </w:r>
      <w:r>
        <w:t xml:space="preserve">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 hard constraint, and</w:t>
      </w:r>
      <w:r>
        <w:t xml:space="preserve"> </w:t>
      </w:r>
      <w:r>
        <w:t xml:space="preserve">provably never excluding the correct assignment.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(Glucose; Audemard and Simon,</w:t>
      </w:r>
      <w:r>
        <w:t xml:space="preserve"> </w:t>
      </w:r>
      <w:r>
        <w:t xml:space="preserve">2009).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~1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We benchmarked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(MBP) using experimental</w:t>
      </w:r>
      <w:r>
        <w:t xml:space="preserve"> </w:t>
      </w:r>
      <w:r>
        <w:t xml:space="preserve">methyl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C/</w:t>
      </w:r>
      <w:r>
        <w:rPr>
          <w:vertAlign w:val="superscript"/>
        </w:rPr>
        <w:t xml:space="preserve">1</w:t>
      </w:r>
      <w:r>
        <w:t xml:space="preserve">H shifts from BMRB entry 7114 and structure PDB 1ANF (192</w:t>
      </w:r>
      <w:r>
        <w:t xml:space="preserve"> </w:t>
      </w:r>
      <w:r>
        <w:t xml:space="preserve">methyls: 44 Ala, 22 Ile, 60 Leu, 6 Met, 20 Thr, 40 Val). As BMRB deposits no</w:t>
      </w:r>
      <w:r>
        <w:t xml:space="preserve"> </w:t>
      </w:r>
      <w:r>
        <w:t xml:space="preserve">NOESY peak list, a 3D (H)CCH network was simulated from 1ANF geometry with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was supplied to all three engines</w:t>
      </w:r>
      <w:r>
        <w:t xml:space="preserve"> </w:t>
      </w:r>
      <w:r>
        <w:t xml:space="preserve">(Fig. 1B).</w:t>
      </w:r>
    </w:p>
    <w:p>
      <w:pPr>
        <w:pStyle w:val="BodyText"/>
      </w:pPr>
      <w:r>
        <w:t xml:space="preserve">The scoring method (MAGIC) assigned 5.7% of methyls correctly (10.4% at</w:t>
      </w:r>
      <w:r>
        <w:t xml:space="preserve"> </w:t>
      </w:r>
      <w:r>
        <w:t xml:space="preserve">residue level), consistent with its reported 4–10% on structure-simulated NOESY</w:t>
      </w:r>
      <w:r>
        <w:t xml:space="preserve"> </w:t>
      </w:r>
      <w:r>
        <w:t xml:space="preserve">and with the near-flat-landscape limitation of full-space scoring. The</w:t>
      </w:r>
      <w:r>
        <w:t xml:space="preserve"> </w:t>
      </w:r>
      <w:r>
        <w:t xml:space="preserve">constraint method (MAUS) resolved 26.6% of peaks uniquely — all correct — and</w:t>
      </w:r>
      <w:r>
        <w:t xml:space="preserve"> </w:t>
      </w:r>
      <w:r>
        <w:t xml:space="preserve">abstained on the remaining 73%, with the truth in the option set for 100% of</w:t>
      </w:r>
      <w:r>
        <w:t xml:space="preserve"> </w:t>
      </w:r>
      <w:r>
        <w:t xml:space="preserve">peaks; its result was unchanged by the intensity column, as its boolean</w:t>
      </w:r>
      <w:r>
        <w:t xml:space="preserve"> </w:t>
      </w:r>
      <w:r>
        <w:t xml:space="preserve">constraints cannot use it. magicmaus committed a single answer for all 192 peaks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correct (</w:t>
      </w:r>
      <w:r>
        <w:rPr>
          <w:b/>
          <w:bCs/>
        </w:rPr>
        <w:t xml:space="preserve">79.2%</w:t>
      </w:r>
      <w:r>
        <w:t xml:space="preserve"> </w:t>
      </w:r>
      <w:r>
        <w:t xml:space="preserve">at residue level), rising to</w:t>
      </w:r>
      <w:r>
        <w:t xml:space="preserve"> </w:t>
      </w:r>
      <w:r>
        <w:rPr>
          <w:b/>
          <w:bCs/>
        </w:rPr>
        <w:t xml:space="preserve">79.7%</w:t>
      </w:r>
      <w:r>
        <w:t xml:space="preserve"> </w:t>
      </w:r>
      <w:r>
        <w:t xml:space="preserve">(85.4%)</w:t>
      </w:r>
      <w:r>
        <w:t xml:space="preserve"> </w:t>
      </w:r>
      <w:r>
        <w:t xml:space="preserve">when the discarded ambiguous NOEs were included, while preserving the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throughout. The residual errors are dominated by geminal</w:t>
      </w:r>
      <w:r>
        <w:t xml:space="preserve"> </w:t>
      </w:r>
      <w:r>
        <w:t xml:space="preserve">methyl pairs and shift-degenerate peaks — genuine symmetries an achiral NOE</w:t>
      </w:r>
      <w:r>
        <w:t xml:space="preserve"> </w:t>
      </w:r>
      <w:r>
        <w:t xml:space="preserve">network cannot resolve —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</w:t>
      </w:r>
      <w:r>
        <w:t xml:space="preserve"> </w:t>
      </w:r>
      <w:r>
        <w:t xml:space="preserve">option sets rather than guessing. Running the same scoring inside the MAUS bounds</w:t>
      </w:r>
      <w:r>
        <w:t xml:space="preserve"> </w:t>
      </w:r>
      <w:r>
        <w:t xml:space="preserve">thus yields ~13× the single-answer accuracy of scoring over the full space, at no</w:t>
      </w:r>
      <w:r>
        <w:t xml:space="preserve"> </w:t>
      </w:r>
      <w:r>
        <w:t xml:space="preserve">cost to the certainty guarantee.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IJCAI</w:t>
      </w:r>
      <w:r>
        <w:t xml:space="preserve">, 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Proc. SAT</w:t>
      </w:r>
      <w:r>
        <w:t xml:space="preserve">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2026-07-04T14:17:15Z</dcterms:created>
  <dcterms:modified xsi:type="dcterms:W3CDTF">2026-07-04T14:17:15Z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