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magicmaus: certainty-bounded, score-committed assignment of methyl NMR resonances</w:t>
      </w:r>
    </w:p>
    <w:p>
      <w:pPr>
        <w:pStyle w:val="FirstParagraph"/>
      </w:pPr>
      <w:r>
        <w:rPr>
          <w:b/>
          <w:bCs/>
        </w:rPr>
        <w:t xml:space="preserve">Structural bioinformatics</w:t>
      </w:r>
    </w:p>
    <w:bookmarkStart w:id="21" w:name="X32f9384308fffd6da93cfa87d2db732cab9912d"/>
    <w:p>
      <w:pPr>
        <w:pStyle w:val="Heading1"/>
      </w:pPr>
      <w:r>
        <w:t xml:space="preserve">magicmaus: certainty-bounded, score-committed assignment of methyl NMR resonances</w:t>
      </w:r>
    </w:p>
    <w:p>
      <w:pPr>
        <w:pStyle w:val="FirstParagraph"/>
      </w:pPr>
      <w:r>
        <w:rPr>
          <w:b/>
          <w:bCs/>
        </w:rPr>
        <w:t xml:space="preserve">Donghan Lee</w:t>
      </w:r>
      <w:r>
        <w:t xml:space="preserve"> </w:t>
      </w:r>
      <w:r>
        <w:rPr>
          <w:vertAlign w:val="superscript"/>
        </w:rPr>
        <w:t xml:space="preserve">1,*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Korea Basic Science Institute, Ochang, Republic of Korea.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To whom correspondence should be addressed.</w:t>
      </w:r>
    </w:p>
    <w:p>
      <w:pPr>
        <w:pStyle w:val="BodyText"/>
      </w:pPr>
      <w:r>
        <w:t xml:space="preserve">Associate Editor: (to be assigned)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Automated assignment of methyl NMR probes in large proteins is</w:t>
      </w:r>
      <w:r>
        <w:t xml:space="preserve"> </w:t>
      </w:r>
      <w:r>
        <w:t xml:space="preserve">approached in two irreconcilable ways: as a constraint-satisfaction problem</w:t>
      </w:r>
      <w:r>
        <w:t xml:space="preserve"> </w:t>
      </w:r>
      <w:r>
        <w:t xml:space="preserve">(MAUS), which returns for every peak the set of methyls consistent with all hard</w:t>
      </w:r>
      <w:r>
        <w:t xml:space="preserve"> </w:t>
      </w:r>
      <w:r>
        <w:t xml:space="preserve">constraints and provably never excludes the correct one, but abstains on any</w:t>
      </w:r>
      <w:r>
        <w:t xml:space="preserve"> </w:t>
      </w:r>
      <w:r>
        <w:t xml:space="preserve">residual degeneracy; and as a scoring problem (MAGIC), which commits to a single</w:t>
      </w:r>
      <w:r>
        <w:t xml:space="preserve"> </w:t>
      </w:r>
      <w:r>
        <w:t xml:space="preserve">best assignment but, over the full candidate space, does so on a near-flat</w:t>
      </w:r>
      <w:r>
        <w:t xml:space="preserve"> </w:t>
      </w:r>
      <w:r>
        <w:t xml:space="preserve">objective and is frequently wrong. We present</w:t>
      </w:r>
      <w:r>
        <w:t xml:space="preserve"> </w:t>
      </w:r>
      <w:r>
        <w:rPr>
          <w:b/>
          <w:bCs/>
        </w:rPr>
        <w:t xml:space="preserve">magicmaus</w:t>
      </w:r>
      <w:r>
        <w:t xml:space="preserve">, a hybrid that uses</w:t>
      </w:r>
      <w:r>
        <w:t xml:space="preserve"> </w:t>
      </w:r>
      <w:r>
        <w:t xml:space="preserve">the satisfiability layer to bound the search to a certifiably truth-containing</w:t>
      </w:r>
      <w:r>
        <w:t xml:space="preserve"> </w:t>
      </w:r>
      <w:r>
        <w:t xml:space="preserve">set of per-peak candidates, then applies an intensity-weighted NOE score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those bounds to commit to a single, globally coherent, injective assignment</w:t>
      </w:r>
      <w:r>
        <w:t xml:space="preserve"> </w:t>
      </w:r>
      <w:r>
        <w:t xml:space="preserve">carrying a per-peak confidence tier. Across five benchmark targets (57–192</w:t>
      </w:r>
      <w:r>
        <w:t xml:space="preserve"> </w:t>
      </w:r>
      <w:r>
        <w:t xml:space="preserve">methyls) built from real BMRB shifts and structures, magicmaus commits a single</w:t>
      </w:r>
      <w:r>
        <w:t xml:space="preserve"> </w:t>
      </w:r>
      <w:r>
        <w:t xml:space="preserve">answer for every peak at 33–90% methyl-level accuracy — up to an order of</w:t>
      </w:r>
      <w:r>
        <w:t xml:space="preserve"> </w:t>
      </w:r>
      <w:r>
        <w:t xml:space="preserve">magnitude above the scoring method — while retaining the constraint method’s</w:t>
      </w:r>
      <w:r>
        <w:t xml:space="preserve"> </w:t>
      </w:r>
      <w:r>
        <w:t xml:space="preserve">100% never-exclude guarantee as an explicit ambiguity envelope. On</w:t>
      </w:r>
      <w:r>
        <w:t xml:space="preserve"> </w:t>
      </w:r>
      <w:r>
        <w:t xml:space="preserve">maltose-binding protein (192 methyls) it assigns 72.9% of methyls correctly</w:t>
      </w:r>
      <w:r>
        <w:t xml:space="preserve"> </w:t>
      </w:r>
      <w:r>
        <w:t xml:space="preserve">(79.7% with ambiguous-NOE evidence) versus 5.7% for scoring alone.</w:t>
      </w:r>
    </w:p>
    <w:p>
      <w:pPr>
        <w:pStyle w:val="BodyText"/>
      </w:pPr>
      <w:r>
        <w:rPr>
          <w:b/>
          <w:bCs/>
        </w:rPr>
        <w:t xml:space="preserve">Availability and implementation:</w:t>
      </w:r>
      <w:r>
        <w:t xml:space="preserve"> </w:t>
      </w:r>
      <w:r>
        <w:t xml:space="preserve">magicmaus is implemented in Python 3 (NumPy,</w:t>
      </w:r>
      <w:r>
        <w:t xml:space="preserve"> </w:t>
      </w:r>
      <w:r>
        <w:t xml:space="preserve">PySAT) and released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https://github.com/deepnmr/magicmaus</w:t>
        </w:r>
      </w:hyperlink>
      <w:r>
        <w:t xml:space="preserve">, with tutorials and the benchmark data.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kbsi.bionmr@gmail.com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Methyl groups are the workhorse probes of solution NMR on large proteins and</w:t>
      </w:r>
      <w:r>
        <w:t xml:space="preserve"> </w:t>
      </w:r>
      <w:r>
        <w:t xml:space="preserve">molecular machines. Selective</w:t>
      </w:r>
      <w:r>
        <w:t xml:space="preserve"> </w:t>
      </w:r>
      <w:r>
        <w:rPr>
          <w:vertAlign w:val="superscript"/>
        </w:rPr>
        <w:t xml:space="preserve">13</w:t>
      </w:r>
      <w:r>
        <w:t xml:space="preserve">CH</w:t>
      </w:r>
      <w:r>
        <w:rPr>
          <w:vertAlign w:val="subscript"/>
        </w:rPr>
        <w:t xml:space="preserve">3</w:t>
      </w:r>
      <w:r>
        <w:t xml:space="preserve"> </w:t>
      </w:r>
      <w:r>
        <w:t xml:space="preserve">labelling of Ile/Leu/Val (and Ala, Met,</w:t>
      </w:r>
      <w:r>
        <w:t xml:space="preserve"> </w:t>
      </w:r>
      <w:r>
        <w:t xml:space="preserve">Thr) methyls on a perdeuterated background (Tugarinov and Kay, 2004), combined</w:t>
      </w:r>
      <w:r>
        <w:t xml:space="preserve"> </w:t>
      </w:r>
      <w:r>
        <w:t xml:space="preserve">with methyl-TROSY spectroscopy, yields sharp signals well beyond 100 kDa and up</w:t>
      </w:r>
      <w:r>
        <w:t xml:space="preserve"> </w:t>
      </w:r>
      <w:r>
        <w:t xml:space="preserve">to the ~1 MDa regime (Tugarinov</w:t>
      </w:r>
      <w:r>
        <w:t xml:space="preserve"> </w:t>
      </w:r>
      <w:r>
        <w:rPr>
          <w:i/>
          <w:iCs/>
        </w:rPr>
        <w:t xml:space="preserve">et al.</w:t>
      </w:r>
      <w:r>
        <w:t xml:space="preserve">, 2003; Rosenzweig and Kay, 2014).</w:t>
      </w:r>
      <w:r>
        <w:t xml:space="preserve"> </w:t>
      </w:r>
      <w:r>
        <w:t xml:space="preserve">Exploiting these probes requires assigning each observed methyl</w:t>
      </w:r>
      <w:r>
        <w:t xml:space="preserve"> </w:t>
      </w:r>
      <w:r>
        <w:rPr>
          <w:vertAlign w:val="superscript"/>
        </w:rPr>
        <w:t xml:space="preserve">1</w:t>
      </w:r>
      <w:r>
        <w:t xml:space="preserve">H/</w:t>
      </w:r>
      <w:r>
        <w:rPr>
          <w:vertAlign w:val="superscript"/>
        </w:rPr>
        <w:t xml:space="preserve">13</w:t>
      </w:r>
      <w:r>
        <w:t xml:space="preserve">C HMQC</w:t>
      </w:r>
      <w:r>
        <w:t xml:space="preserve"> </w:t>
      </w:r>
      <w:r>
        <w:t xml:space="preserve">cross peak to a specific methyl in the protein structure — a laborious,</w:t>
      </w:r>
      <w:r>
        <w:t xml:space="preserve"> </w:t>
      </w:r>
      <w:r>
        <w:t xml:space="preserve">error-prone step widely regarded as the principal bottleneck of methyl NMR, which</w:t>
      </w:r>
      <w:r>
        <w:t xml:space="preserve"> </w:t>
      </w:r>
      <w:r>
        <w:t xml:space="preserve">has motivated a family of automated, structure-based methods that match an</w:t>
      </w:r>
      <w:r>
        <w:t xml:space="preserve"> </w:t>
      </w:r>
      <w:r>
        <w:t xml:space="preserve">experimental methyl–methyl NOE network onto the contact graph of a known</w:t>
      </w:r>
      <w:r>
        <w:t xml:space="preserve"> </w:t>
      </w:r>
      <w:r>
        <w:t xml:space="preserve">structure (reviewed in Pritišanac</w:t>
      </w:r>
      <w:r>
        <w:t xml:space="preserve"> </w:t>
      </w:r>
      <w:r>
        <w:rPr>
          <w:i/>
          <w:iCs/>
        </w:rPr>
        <w:t xml:space="preserve">et al.</w:t>
      </w:r>
      <w:r>
        <w:t xml:space="preserve">, 2020).</w:t>
      </w:r>
    </w:p>
    <w:p>
      <w:pPr>
        <w:pStyle w:val="BodyText"/>
      </w:pPr>
      <w:r>
        <w:t xml:space="preserve">These methods differ chiefly in how they treat residual ambiguity, and magicmaus</w:t>
      </w:r>
      <w:r>
        <w:t xml:space="preserve"> </w:t>
      </w:r>
      <w:r>
        <w:t xml:space="preserve">builds on one representative of each of two paradigms.</w:t>
      </w:r>
      <w:r>
        <w:t xml:space="preserve"> </w:t>
      </w:r>
      <w:r>
        <w:rPr>
          <w:b/>
          <w:bCs/>
        </w:rPr>
        <w:t xml:space="preserve">MAGIC</w:t>
      </w:r>
      <w:r>
        <w:t xml:space="preserve"> </w:t>
      </w:r>
      <w:r>
        <w:t xml:space="preserve">(Monneau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t xml:space="preserve">, 2017) scores a global peak→methyl map with a confidence-weighted NOE</w:t>
      </w:r>
      <w:r>
        <w:t xml:space="preserve"> </w:t>
      </w:r>
      <w:r>
        <w:t xml:space="preserve">objective and returns the highest scorer — a single answer per peak.</w:t>
      </w:r>
      <w:r>
        <w:t xml:space="preserve"> </w:t>
      </w:r>
      <w:r>
        <w:rPr>
          <w:b/>
          <w:bCs/>
        </w:rPr>
        <w:t xml:space="preserve">MAUS</w:t>
      </w:r>
      <w:r>
        <w:t xml:space="preserve"> </w:t>
      </w:r>
      <w:r>
        <w:t xml:space="preserve">(Nerli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2021) — following the graph-matching formulation of MAGMA</w:t>
      </w:r>
      <w:r>
        <w:t xml:space="preserve"> </w:t>
      </w:r>
      <w:r>
        <w:t xml:space="preserve">(Pritišanac</w:t>
      </w:r>
      <w:r>
        <w:t xml:space="preserve"> </w:t>
      </w:r>
      <w:r>
        <w:rPr>
          <w:i/>
          <w:iCs/>
        </w:rPr>
        <w:t xml:space="preserve">et al.</w:t>
      </w:r>
      <w:r>
        <w:t xml:space="preserve">, 2017) but recast as Boolean satisfiability and solved with</w:t>
      </w:r>
      <w:r>
        <w:t xml:space="preserve"> </w:t>
      </w:r>
      <w:r>
        <w:t xml:space="preserve">a SAT solver — returns for each peak the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of methyls consistent with every</w:t>
      </w:r>
      <w:r>
        <w:t xml:space="preserve"> </w:t>
      </w:r>
      <w:r>
        <w:t xml:space="preserve">hard constraint, provably never excluding the correct assignment. Other tools</w:t>
      </w:r>
      <w:r>
        <w:t xml:space="preserve"> </w:t>
      </w:r>
      <w:r>
        <w:t xml:space="preserve">occupy intermediate points but demand richer experimental input; MethylFLYA</w:t>
      </w:r>
      <w:r>
        <w:t xml:space="preserve"> </w:t>
      </w:r>
      <w:r>
        <w:t xml:space="preserve">(Pritišanac</w:t>
      </w:r>
      <w:r>
        <w:t xml:space="preserve"> </w:t>
      </w:r>
      <w:r>
        <w:rPr>
          <w:i/>
          <w:iCs/>
        </w:rPr>
        <w:t xml:space="preserve">et al.</w:t>
      </w:r>
      <w:r>
        <w:t xml:space="preserve">, 2019), for instance, reaches ~1% error by consensus over</w:t>
      </w:r>
      <w:r>
        <w:t xml:space="preserve"> </w:t>
      </w:r>
      <w:r>
        <w:t xml:space="preserve">many statistical runs on multi-spectrum data.</w:t>
      </w:r>
    </w:p>
    <w:p>
      <w:pPr>
        <w:pStyle w:val="BodyText"/>
      </w:pPr>
      <w:r>
        <w:t xml:space="preserve">The two have complementary failure modes. MAUS is safe but indecisive: where the</w:t>
      </w:r>
      <w:r>
        <w:t xml:space="preserve"> </w:t>
      </w:r>
      <w:r>
        <w:t xml:space="preserve">data do not force a unique answer — geminal methyl pairs, shift-degenerate peaks</w:t>
      </w:r>
      <w:r>
        <w:t xml:space="preserve"> </w:t>
      </w:r>
      <w:r>
        <w:t xml:space="preserve">— it reports the full option set and commits to nothing. MAGIC is decisive but,</w:t>
      </w:r>
      <w:r>
        <w:t xml:space="preserve"> </w:t>
      </w:r>
      <w:r>
        <w:t xml:space="preserve">searching the entire type-matched candidate space, sits on an objective whose</w:t>
      </w:r>
      <w:r>
        <w:t xml:space="preserve"> </w:t>
      </w:r>
      <w:r>
        <w:t xml:space="preserve">runner-up assignments lie within ~1–2% of the true optimum on structure-derived</w:t>
      </w:r>
      <w:r>
        <w:t xml:space="preserve"> </w:t>
      </w:r>
      <w:r>
        <w:t xml:space="preserve">NOE data (Monneau</w:t>
      </w:r>
      <w:r>
        <w:t xml:space="preserve"> </w:t>
      </w:r>
      <w:r>
        <w:rPr>
          <w:i/>
          <w:iCs/>
        </w:rPr>
        <w:t xml:space="preserve">et al.</w:t>
      </w:r>
      <w:r>
        <w:t xml:space="preserve">, 2017), so its bounded search commits to</w:t>
      </w:r>
      <w:r>
        <w:t xml:space="preserve"> </w:t>
      </w:r>
      <w:r>
        <w:t xml:space="preserve">near-optimal-but-wrong answers for most peaks. Neither is dominant. We show that</w:t>
      </w:r>
      <w:r>
        <w:t xml:space="preserve"> </w:t>
      </w:r>
      <w:r>
        <w:t xml:space="preserve">the natural synthesis — bound the space with certainty, then score within the</w:t>
      </w:r>
      <w:r>
        <w:t xml:space="preserve"> </w:t>
      </w:r>
      <w:r>
        <w:t xml:space="preserve">residual degeneracy — is both simple and decisively better than either parent.</w:t>
      </w:r>
    </w:p>
    <w:bookmarkEnd w:id="11"/>
    <w:bookmarkStart w:id="12" w:name="approach"/>
    <w:p>
      <w:pPr>
        <w:pStyle w:val="Heading2"/>
      </w:pPr>
      <w:r>
        <w:t xml:space="preserve">2 Approach</w:t>
      </w:r>
    </w:p>
    <w:p>
      <w:pPr>
        <w:pStyle w:val="FirstParagraph"/>
      </w:pPr>
      <w:r>
        <w:t xml:space="preserve">magicmaus runs the two layers in sequence (Fig. 1A).</w:t>
      </w:r>
    </w:p>
    <w:p>
      <w:pPr>
        <w:pStyle w:val="BodyText"/>
      </w:pPr>
      <w:r>
        <w:rPr>
          <w:b/>
          <w:bCs/>
        </w:rPr>
        <w:t xml:space="preserve">Layer 1 (bound).</w:t>
      </w:r>
      <w:r>
        <w:t xml:space="preserve"> </w:t>
      </w:r>
      <w:r>
        <w:t xml:space="preserve">The MAUS SAT encoding is reused verbatim: variables map each</w:t>
      </w:r>
      <w:r>
        <w:t xml:space="preserve"> </w:t>
      </w:r>
      <w:r>
        <w:t xml:space="preserve">HMQC peak to a candidate methyl of the matching residue type; hard clauses</w:t>
      </w:r>
      <w:r>
        <w:t xml:space="preserve"> </w:t>
      </w:r>
      <w:r>
        <w:t xml:space="preserve">enforce exactly-one assignment per peak, injectivity, and that every firm NOE</w:t>
      </w:r>
      <w:r>
        <w:t xml:space="preserve"> </w:t>
      </w:r>
      <w:r>
        <w:t xml:space="preserve">cross peak lands on a structural contact within the distance cutoff. For each</w:t>
      </w:r>
      <w:r>
        <w:t xml:space="preserve"> </w:t>
      </w:r>
      <w:r>
        <w:t xml:space="preserve">peak the set of methyls appearing in at least one satisfying assignment is</w:t>
      </w:r>
      <w:r>
        <w:t xml:space="preserve"> </w:t>
      </w:r>
      <w:r>
        <w:t xml:space="preserve">enumerated with the solver’s assumption interface (Glucose, Audemard and Simon,</w:t>
      </w:r>
      <w:r>
        <w:t xml:space="preserve"> </w:t>
      </w:r>
      <w:r>
        <w:t xml:space="preserve">2009, via PySAT, Ignatiev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2018). Because the correct global assignment is itself a model, the true methyl</w:t>
      </w:r>
      <w:r>
        <w:t xml:space="preserve"> </w:t>
      </w:r>
      <w:r>
        <w:t xml:space="preserve">is present in every peak’s option set — the</w:t>
      </w:r>
      <w:r>
        <w:t xml:space="preserve"> </w:t>
      </w:r>
      <w:r>
        <w:rPr>
          <w:i/>
          <w:iCs/>
        </w:rPr>
        <w:t xml:space="preserve">never-exclude</w:t>
      </w:r>
      <w:r>
        <w:t xml:space="preserve"> </w:t>
      </w:r>
      <w:r>
        <w:t xml:space="preserve">guarantee — and the</w:t>
      </w:r>
      <w:r>
        <w:t xml:space="preserve"> </w:t>
      </w:r>
      <w:r>
        <w:t xml:space="preserve">option sets prune each peak’s candidates from up to ~60 to typically 1–3.</w:t>
      </w:r>
    </w:p>
    <w:p>
      <w:pPr>
        <w:pStyle w:val="BodyText"/>
      </w:pPr>
      <w:r>
        <w:rPr>
          <w:b/>
          <w:bCs/>
        </w:rPr>
        <w:t xml:space="preserve">Layer 2 (commit).</w:t>
      </w:r>
      <w:r>
        <w:t xml:space="preserve"> </w:t>
      </w:r>
      <w:r>
        <w:t xml:space="preserve">The per-peak option sets are enumerated</w:t>
      </w:r>
      <w:r>
        <w:t xml:space="preserve"> </w:t>
      </w:r>
      <w:r>
        <w:rPr>
          <w:i/>
          <w:iCs/>
        </w:rPr>
        <w:t xml:space="preserve">independently</w:t>
      </w:r>
      <w:r>
        <w:t xml:space="preserve">, so</w:t>
      </w:r>
      <w:r>
        <w:t xml:space="preserve"> </w:t>
      </w:r>
      <w:r>
        <w:t xml:space="preserve">their product is not jointly realizable and does not identify a single best map.</w:t>
      </w:r>
      <w:r>
        <w:t xml:space="preserve"> </w:t>
      </w:r>
      <w:r>
        <w:t xml:space="preserve">This is precisely the question a score answers. Restricting every peak’s domain</w:t>
      </w:r>
      <w:r>
        <w:t xml:space="preserve"> </w:t>
      </w:r>
      <w:r>
        <w:t xml:space="preserve">to its option set — which removes only methyls appearing in no satisfying map,</w:t>
      </w:r>
      <w:r>
        <w:t xml:space="preserve"> </w:t>
      </w:r>
      <w:r>
        <w:t xml:space="preserve">and so preserves the solution space and the truth — magicmaus obtains one</w:t>
      </w:r>
      <w:r>
        <w:t xml:space="preserve"> </w:t>
      </w:r>
      <w:r>
        <w:t xml:space="preserve">jointly-consistent assignment from the SAT solver and refines it by</w:t>
      </w:r>
      <w:r>
        <w:t xml:space="preserve"> </w:t>
      </w:r>
      <w:r>
        <w:t xml:space="preserve">feasibility-preserving coordinate ascent on a MAGIC-style objective: each firm</w:t>
      </w:r>
      <w:r>
        <w:t xml:space="preserve"> </w:t>
      </w:r>
      <w:r>
        <w:t xml:space="preserve">NOE contributes intensity·(1/r</w:t>
      </w:r>
      <w:r>
        <w:rPr>
          <w:vertAlign w:val="superscript"/>
        </w:rPr>
        <w:t xml:space="preserve">6</w:t>
      </w:r>
      <w:r>
        <w:t xml:space="preserve">) for the structural contact it is placed on, so</w:t>
      </w:r>
      <w:r>
        <w:t xml:space="preserve"> </w:t>
      </w:r>
      <w:r>
        <w:t xml:space="preserve">a strong NOE is driven onto a close contact. Every move stays injective and</w:t>
      </w:r>
      <w:r>
        <w:t xml:space="preserve"> </w:t>
      </w:r>
      <w:r>
        <w:t xml:space="preserve">NOE-consistent, so the output is always a valid bijection — a property a naïve</w:t>
      </w:r>
      <w:r>
        <w:t xml:space="preserve"> </w:t>
      </w:r>
      <w:r>
        <w:t xml:space="preserve">per-cluster search cannot guarantee on the single 138-peak degeneracy cluster of</w:t>
      </w:r>
      <w:r>
        <w:t xml:space="preserve"> </w:t>
      </w:r>
      <w:r>
        <w:t xml:space="preserve">the benchmark below. Optionally, the ambiguous NOE cross peaks MAUS discards are</w:t>
      </w:r>
      <w:r>
        <w:t xml:space="preserve"> </w:t>
      </w:r>
      <w:r>
        <w:t xml:space="preserve">folded back in as diluted, intensity-weighted soft evidence.</w:t>
      </w:r>
    </w:p>
    <w:p>
      <w:pPr>
        <w:pStyle w:val="BodyText"/>
      </w:pPr>
      <w:r>
        <w:t xml:space="preserve">Each peak is reported three ways (Fig. 1A): the committed single call; its MAUS</w:t>
      </w:r>
      <w:r>
        <w:t xml:space="preserve"> </w:t>
      </w:r>
      <w:r>
        <w:t xml:space="preserve">option set, retained as an explicit ambiguity envelope; and a confidence tier</w:t>
      </w:r>
      <w:r>
        <w:t xml:space="preserve"> </w:t>
      </w:r>
      <w:r>
        <w:t xml:space="preserve">from the local scoring margin —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(forced by hard constraints),</w:t>
      </w:r>
      <w:r>
        <w:t xml:space="preserve"> </w:t>
      </w:r>
      <w:r>
        <w:rPr>
          <w:b/>
          <w:bCs/>
        </w:rPr>
        <w:t xml:space="preserve">scored</w:t>
      </w:r>
      <w:r>
        <w:t xml:space="preserve"> </w:t>
      </w:r>
      <w:r>
        <w:t xml:space="preserve">(resolved by the NOE score), or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(a tied alternative</w:t>
      </w:r>
      <w:r>
        <w:t xml:space="preserve"> </w:t>
      </w:r>
      <w:r>
        <w:t xml:space="preserve">exists, i.e. a genuine symmetry). Because the scored search runs only over the</w:t>
      </w:r>
      <w:r>
        <w:t xml:space="preserve"> </w:t>
      </w:r>
      <w:r>
        <w:t xml:space="preserve">tiny pruned domains, the whole pipeline completes in ~1 s for 192 methyls.</w:t>
      </w:r>
    </w:p>
    <w:bookmarkEnd w:id="12"/>
    <w:bookmarkStart w:id="13" w:name="results"/>
    <w:p>
      <w:pPr>
        <w:pStyle w:val="Heading2"/>
      </w:pPr>
      <w:r>
        <w:t xml:space="preserve">3 Results</w:t>
      </w:r>
    </w:p>
    <w:p>
      <w:pPr>
        <w:pStyle w:val="FirstParagraph"/>
      </w:pPr>
      <w:r>
        <w:rPr>
          <w:b/>
          <w:bCs/>
        </w:rPr>
        <w:t xml:space="preserve">Benchmark construction.</w:t>
      </w:r>
      <w:r>
        <w:t xml:space="preserve"> </w:t>
      </w:r>
      <w:r>
        <w:t xml:space="preserve">All inputs are built by</w:t>
      </w:r>
      <w:r>
        <w:t xml:space="preserve"> </w:t>
      </w:r>
      <w:r>
        <w:rPr>
          <w:rStyle w:val="VerbatimChar"/>
        </w:rPr>
        <w:t xml:space="preserve">make_peaklists.py</w:t>
      </w:r>
      <w:r>
        <w:t xml:space="preserve"> </w:t>
      </w:r>
      <w:r>
        <w:t xml:space="preserve">from a</w:t>
      </w:r>
      <w:r>
        <w:t xml:space="preserve"> </w:t>
      </w:r>
      <w:r>
        <w:t xml:space="preserve">PDB structure and the matching BMRB chemical-shift deposition: methyl carbon</w:t>
      </w:r>
      <w:r>
        <w:t xml:space="preserve"> </w:t>
      </w:r>
      <w:r>
        <w:t xml:space="preserve">shifts are the deposited carbon values, methyl proton shifts the mean of the</w:t>
      </w:r>
      <w:r>
        <w:t xml:space="preserve"> </w:t>
      </w:r>
      <w:r>
        <w:t xml:space="preserve">three methyl protons, and each observed methyl becomes an anonymous HMQC peak</w:t>
      </w:r>
      <w:r>
        <w:t xml:space="preserve"> </w:t>
      </w:r>
      <w:r>
        <w:t xml:space="preserve">(P1…Pn) whose structural identity is written only to a separate truth key.</w:t>
      </w:r>
      <w:r>
        <w:t xml:space="preserve"> </w:t>
      </w:r>
      <w:r>
        <w:t xml:space="preserve">Because BMRB deposits no NOESY peak list, a 3D (H)CCH network is simulated from</w:t>
      </w:r>
      <w:r>
        <w:t xml:space="preserve"> </w:t>
      </w:r>
      <w:r>
        <w:t xml:space="preserve">the structure (a cross peak for every methyl pair within 7.9 Å, both directions)</w:t>
      </w:r>
      <w:r>
        <w:t xml:space="preserve"> </w:t>
      </w:r>
      <w:r>
        <w:t xml:space="preserve">with 1/r</w:t>
      </w:r>
      <w:r>
        <w:rPr>
          <w:vertAlign w:val="superscript"/>
        </w:rPr>
        <w:t xml:space="preserve">6</w:t>
      </w:r>
      <w:r>
        <w:t xml:space="preserve"> </w:t>
      </w:r>
      <w:r>
        <w:t xml:space="preserve">intensities; the identical network is supplied to all three engines.</w:t>
      </w:r>
      <w:r>
        <w:t xml:space="preserve"> </w:t>
      </w:r>
      <w:r>
        <w:t xml:space="preserve">We benchmark five targets: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maltose-binding protein (MBP; BMRB 7114, PDB</w:t>
      </w:r>
      <w:r>
        <w:t xml:space="preserve"> </w:t>
      </w:r>
      <w:r>
        <w:t xml:space="preserve">1ANF; Ulrich</w:t>
      </w:r>
      <w:r>
        <w:t xml:space="preserve"> </w:t>
      </w:r>
      <w:r>
        <w:rPr>
          <w:i/>
          <w:iCs/>
        </w:rPr>
        <w:t xml:space="preserve">et al.</w:t>
      </w:r>
      <w:r>
        <w:t xml:space="preserve">, 2008; Spurlino</w:t>
      </w:r>
      <w:r>
        <w:t xml:space="preserve"> </w:t>
      </w:r>
      <w:r>
        <w:rPr>
          <w:i/>
          <w:iCs/>
        </w:rPr>
        <w:t xml:space="preserve">et al.</w:t>
      </w:r>
      <w:r>
        <w:t xml:space="preserve">, 1991; 192 methyls) and the four</w:t>
      </w:r>
      <w:r>
        <w:t xml:space="preserve"> </w:t>
      </w:r>
      <w:r>
        <w:t xml:space="preserve">de-novo blind targets of the MAUS study (Nerli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2021) — interleukin-2</w:t>
      </w:r>
      <w:r>
        <w:t xml:space="preserve"> </w:t>
      </w:r>
      <w:r>
        <w:t xml:space="preserve">and the HNH, REC2 and REC3 domains of</w:t>
      </w:r>
      <w:r>
        <w:t xml:space="preserve"> </w:t>
      </w:r>
      <w:r>
        <w:rPr>
          <w:i/>
          <w:iCs/>
        </w:rPr>
        <w:t xml:space="preserve">S. pyogenes</w:t>
      </w:r>
      <w:r>
        <w:t xml:space="preserve"> </w:t>
      </w:r>
      <w:r>
        <w:t xml:space="preserve">Cas9 — spanning 57–192</w:t>
      </w:r>
      <w:r>
        <w:t xml:space="preserve"> </w:t>
      </w:r>
      <w:r>
        <w:t xml:space="preserve">observed methyls (Table 1).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MAGIC, scoring over the full type-matched space, assigned 6–12% of</w:t>
      </w:r>
      <w:r>
        <w:t xml:space="preserve"> </w:t>
      </w:r>
      <w:r>
        <w:t xml:space="preserve">methyls correctly where it converged (Table 1) — consistent with its reported</w:t>
      </w:r>
      <w:r>
        <w:t xml:space="preserve"> </w:t>
      </w:r>
      <w:r>
        <w:t xml:space="preserve">4–10% on structure-simulated NOESY and with the near-flat-landscape limitation of</w:t>
      </w:r>
      <w:r>
        <w:t xml:space="preserve"> </w:t>
      </w:r>
      <w:r>
        <w:t xml:space="preserve">full-space scoring; on the two Leu-dense Cas9 domains it did not return within a</w:t>
      </w:r>
      <w:r>
        <w:t xml:space="preserve"> </w:t>
      </w:r>
      <w:r>
        <w:t xml:space="preserve">15-min budget, itself illustrating the cost of unbounded scoring. MAUS resolved</w:t>
      </w:r>
      <w:r>
        <w:t xml:space="preserve"> </w:t>
      </w:r>
      <w:r>
        <w:t xml:space="preserve">8–27% of peaks uniquely (all correct) and abstained on the rest, with the truth</w:t>
      </w:r>
      <w:r>
        <w:t xml:space="preserve"> </w:t>
      </w:r>
      <w:r>
        <w:t xml:space="preserve">in the option set for 100% of peaks on every target; its result was unchanged by</w:t>
      </w:r>
      <w:r>
        <w:t xml:space="preserve"> </w:t>
      </w:r>
      <w:r>
        <w:t xml:space="preserve">the intensity column, as its boolean constraints cannot use it. magicmaus</w:t>
      </w:r>
      <w:r>
        <w:t xml:space="preserve"> </w:t>
      </w:r>
      <w:r>
        <w:t xml:space="preserve">committed a single answer for every peak while preserving that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never-exclude envelope throughout, at</w:t>
      </w:r>
      <w:r>
        <w:t xml:space="preserve"> </w:t>
      </w:r>
      <w:r>
        <w:rPr>
          <w:b/>
          <w:bCs/>
        </w:rPr>
        <w:t xml:space="preserve">73–90%</w:t>
      </w:r>
      <w:r>
        <w:t xml:space="preserve"> </w:t>
      </w:r>
      <w:r>
        <w:t xml:space="preserve">methyl-level accuracy on the four</w:t>
      </w:r>
      <w:r>
        <w:t xml:space="preserve"> </w:t>
      </w:r>
      <w:r>
        <w:t xml:space="preserve">smaller targets and</w:t>
      </w:r>
      <w:r>
        <w:t xml:space="preserve"> </w:t>
      </w:r>
      <w:r>
        <w:rPr>
          <w:b/>
          <w:bCs/>
        </w:rPr>
        <w:t xml:space="preserve">72.9%</w:t>
      </w:r>
      <w:r>
        <w:t xml:space="preserve"> </w:t>
      </w:r>
      <w:r>
        <w:t xml:space="preserve">on MBP — up to an order of magnitude above scoring</w:t>
      </w:r>
      <w:r>
        <w:t xml:space="preserve"> </w:t>
      </w:r>
      <w:r>
        <w:t xml:space="preserve">over the full space. The one hard case is REC3, the largest and most degenerate</w:t>
      </w:r>
      <w:r>
        <w:t xml:space="preserve"> </w:t>
      </w:r>
      <w:r>
        <w:t xml:space="preserve">(50 of 85 methyls are Leu), at 32.9%: an achiral NOE network leaves many geminal</w:t>
      </w:r>
      <w:r>
        <w:t xml:space="preserve"> </w:t>
      </w:r>
      <w:r>
        <w:t xml:space="preserve">pairs and shift-degenerate peaks genuinely unresolvable, which magicmaus flags as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and reports as full option sets rather than guessing. Folding the</w:t>
      </w:r>
      <w:r>
        <w:t xml:space="preserve"> </w:t>
      </w:r>
      <w:r>
        <w:t xml:space="preserve">discarded ambiguous NOEs back in as soft evidence (</w:t>
      </w:r>
      <w:r>
        <w:rPr>
          <w:rStyle w:val="VerbatimChar"/>
        </w:rPr>
        <w:t xml:space="preserve">--soft-ambiguous</w:t>
      </w:r>
      <w:r>
        <w:t xml:space="preserve">) helped on</w:t>
      </w:r>
      <w:r>
        <w:t xml:space="preserve"> </w:t>
      </w:r>
      <w:r>
        <w:t xml:space="preserve">the sparser targets (IL-2, REC2, MBP: +1–7 points) but not on the densely</w:t>
      </w:r>
      <w:r>
        <w:t xml:space="preserve"> </w:t>
      </w:r>
      <w:r>
        <w:t xml:space="preserve">degenerate ones (HNH, REC3), so it is offered as an option, not a default. Adding</w:t>
      </w:r>
      <w:r>
        <w:t xml:space="preserve"> </w:t>
      </w:r>
      <w:r>
        <w:t xml:space="preserve">one further optional input — an HMBC-HMQC experiment (</w:t>
      </w:r>
      <w:r>
        <w:rPr>
          <w:rStyle w:val="VerbatimChar"/>
        </w:rPr>
        <w:t xml:space="preserve">--hmbc</w:t>
      </w:r>
      <w:r>
        <w:t xml:space="preserve">) that links each</w:t>
      </w:r>
      <w:r>
        <w:t xml:space="preserve"> </w:t>
      </w:r>
      <w:r>
        <w:t xml:space="preserve">Leu/Val geminal pair — lifts accuracy on every target (Table 1, +HMBC), most where</w:t>
      </w:r>
      <w:r>
        <w:t xml:space="preserve"> </w:t>
      </w:r>
      <w:r>
        <w:t xml:space="preserve">degeneracy is worst: REC3 rises 28.2% → 45.9% and MBP 79.7% → 89.1%, since geminal</w:t>
      </w:r>
      <w:r>
        <w:t xml:space="preserve"> </w:t>
      </w:r>
      <w:r>
        <w:t xml:space="preserve">ambiguity is precisely what an achiral NOE network cannot break. Running the same</w:t>
      </w:r>
      <w:r>
        <w:t xml:space="preserve"> </w:t>
      </w:r>
      <w:r>
        <w:t xml:space="preserve">scoring inside the MAUS bounds thus yields roughly an order of magnitude more</w:t>
      </w:r>
      <w:r>
        <w:t xml:space="preserve"> </w:t>
      </w:r>
      <w:r>
        <w:t xml:space="preserve">single-answer accuracy than scoring over the full space, at no cost to the</w:t>
      </w:r>
      <w:r>
        <w:t xml:space="preserve"> </w:t>
      </w:r>
      <w:r>
        <w:t xml:space="preserve">certainty guarantee, and improves monotonically as experimental input is added.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Methyl-level accuracy on five targets, all engines scored on the</w:t>
      </w:r>
      <w:r>
        <w:t xml:space="preserve"> </w:t>
      </w:r>
      <w:r>
        <w:t xml:space="preserve">same 1/r</w:t>
      </w:r>
      <w:r>
        <w:rPr>
          <w:vertAlign w:val="superscript"/>
        </w:rPr>
        <w:t xml:space="preserve">6</w:t>
      </w:r>
      <w:r>
        <w:t xml:space="preserve"> </w:t>
      </w:r>
      <w:r>
        <w:t xml:space="preserve">intensity NOESY. Envelope = fraction of peaks whose MAUS option set</w:t>
      </w:r>
      <w:r>
        <w:t xml:space="preserve"> </w:t>
      </w:r>
      <w:r>
        <w:t xml:space="preserve">contains the truth (never-exclude guarantee). n.c. = did not converge within a</w:t>
      </w:r>
      <w:r>
        <w:t xml:space="preserve"> </w:t>
      </w:r>
      <w:r>
        <w:t xml:space="preserve">15-min budget.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698"/>
        <w:gridCol w:w="931"/>
        <w:gridCol w:w="931"/>
        <w:gridCol w:w="931"/>
        <w:gridCol w:w="931"/>
        <w:gridCol w:w="931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BMRB / PDB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Methyls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magicmaus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+soft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+HMBC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IL-2</w:t>
            </w:r>
          </w:p>
        </w:tc>
        <w:tc>
          <w:tcPr/>
          <w:p>
            <w:pPr>
              <w:pStyle w:val="Compact"/>
            </w:pPr>
            <w:r>
              <w:t xml:space="preserve">28104 / 1M47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HNH (Cas9)</w:t>
            </w:r>
          </w:p>
        </w:tc>
        <w:tc>
          <w:tcPr/>
          <w:p>
            <w:pPr>
              <w:pStyle w:val="Compact"/>
            </w:pPr>
            <w:r>
              <w:t xml:space="preserve">27949 / 6O56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REC2 (Cas9)</w:t>
            </w:r>
          </w:p>
        </w:tc>
        <w:tc>
          <w:tcPr/>
          <w:p>
            <w:pPr>
              <w:pStyle w:val="Compact"/>
            </w:pPr>
            <w:r>
              <w:t xml:space="preserve">28105 / 4CMP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REC3 (Cas9)</w:t>
            </w:r>
          </w:p>
        </w:tc>
        <w:tc>
          <w:tcPr/>
          <w:p>
            <w:pPr>
              <w:pStyle w:val="Compact"/>
            </w:pPr>
            <w:r>
              <w:t xml:space="preserve">28110 / 4ZT0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n.c.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MBP</w:t>
            </w:r>
          </w:p>
        </w:tc>
        <w:tc>
          <w:tcPr/>
          <w:p>
            <w:pPr>
              <w:pStyle w:val="Compact"/>
            </w:pPr>
            <w:r>
              <w:t xml:space="preserve">7114 / 1ANF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The MAUS column is the fraction of peaks it commits uniquely (all correct); on the</w:t>
      </w:r>
      <w:r>
        <w:t xml:space="preserve"> </w:t>
      </w:r>
      <w:r>
        <w:t xml:space="preserve">rest it abstains, so its coverage is the Envelope column (100%). The +HMBC column</w:t>
      </w:r>
      <w:r>
        <w:t xml:space="preserve"> </w:t>
      </w:r>
      <w:r>
        <w:t xml:space="preserve">adds an optional HMBC-HMQC geminal-link experiment (</w:t>
      </w:r>
      <w:r>
        <w:rPr>
          <w:rStyle w:val="VerbatimChar"/>
        </w:rPr>
        <w:t xml:space="preserve">--hmbc</w:t>
      </w:r>
      <w:r>
        <w:t xml:space="preserve">) on top of +soft,</w:t>
      </w:r>
      <w:r>
        <w:t xml:space="preserve"> </w:t>
      </w:r>
      <w:r>
        <w:t xml:space="preserve">forcing each Leu/Val geminal pair onto its two structural methyls.</w:t>
      </w:r>
    </w:p>
    <w:bookmarkEnd w:id="13"/>
    <w:bookmarkStart w:id="14" w:name="conclusion"/>
    <w:p>
      <w:pPr>
        <w:pStyle w:val="Heading2"/>
      </w:pPr>
      <w:r>
        <w:t xml:space="preserve">4 Conclusion</w:t>
      </w:r>
    </w:p>
    <w:p>
      <w:pPr>
        <w:pStyle w:val="FirstParagraph"/>
      </w:pPr>
      <w:r>
        <w:t xml:space="preserve">magicmaus shows that constraint satisfaction and scoring are not competing</w:t>
      </w:r>
      <w:r>
        <w:t xml:space="preserve"> </w:t>
      </w:r>
      <w:r>
        <w:t xml:space="preserve">solutions to methyl assignment but complementary stages of one: SAT to bound the</w:t>
      </w:r>
      <w:r>
        <w:t xml:space="preserve"> </w:t>
      </w:r>
      <w:r>
        <w:t xml:space="preserve">answer with certainty, an intensity-weighted NOE score to commit within the</w:t>
      </w:r>
      <w:r>
        <w:t xml:space="preserve"> </w:t>
      </w:r>
      <w:r>
        <w:t xml:space="preserve">bound. The result is a single, coherent assignment with calibrated per-peak</w:t>
      </w:r>
      <w:r>
        <w:t xml:space="preserve"> </w:t>
      </w:r>
      <w:r>
        <w:t xml:space="preserve">confidence and an always-correct ambiguity envelope, obtained in seconds. The</w:t>
      </w:r>
      <w:r>
        <w:t xml:space="preserve"> </w:t>
      </w:r>
      <w:r>
        <w:t xml:space="preserve">scoring layer is intensity-aware, so the approach improves directly with the</w:t>
      </w:r>
      <w:r>
        <w:t xml:space="preserve"> </w:t>
      </w:r>
      <w:r>
        <w:t xml:space="preserve">information content of the NOESY — from a boolean network to real intensities to</w:t>
      </w:r>
      <w:r>
        <w:t xml:space="preserve"> </w:t>
      </w:r>
      <w:r>
        <w:t xml:space="preserve">4D experiments — and accepts tentative anchors that propagate through both</w:t>
      </w:r>
      <w:r>
        <w:t xml:space="preserve"> </w:t>
      </w:r>
      <w:r>
        <w:t xml:space="preserve">layers. The two clean-room parent implementations and magicmaus are released</w:t>
      </w:r>
      <w:r>
        <w:t xml:space="preserve"> </w:t>
      </w:r>
      <w:r>
        <w:t xml:space="preserve">together to support reuse and further hybridization.</w:t>
      </w:r>
    </w:p>
    <w:bookmarkEnd w:id="14"/>
    <w:bookmarkStart w:id="1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maintainers of PySAT and the BMRB.</w:t>
      </w:r>
    </w:p>
    <w:bookmarkEnd w:id="15"/>
    <w:bookmarkStart w:id="16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None declared.</w:t>
      </w:r>
    </w:p>
    <w:p>
      <w:pPr>
        <w:pStyle w:val="BodyText"/>
      </w:pPr>
      <w:r>
        <w:rPr>
          <w:i/>
          <w:iCs/>
        </w:rPr>
        <w:t xml:space="preserve">Conflict of Interest:</w:t>
      </w:r>
      <w:r>
        <w:t xml:space="preserve"> </w:t>
      </w:r>
      <w:r>
        <w:t xml:space="preserve">none declared.</w:t>
      </w:r>
    </w:p>
    <w:bookmarkEnd w:id="16"/>
    <w:bookmarkStart w:id="2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Audemard,G. and Simon,L. (2009) Predicting learnt clauses quality in modern SAT</w:t>
      </w:r>
      <w:r>
        <w:t xml:space="preserve"> </w:t>
      </w:r>
      <w:r>
        <w:t xml:space="preserve">solvers. In</w:t>
      </w:r>
      <w:r>
        <w:t xml:space="preserve"> </w:t>
      </w:r>
      <w:r>
        <w:rPr>
          <w:i/>
          <w:iCs/>
        </w:rPr>
        <w:t xml:space="preserve">Proc. 21st Int. Joint Conf. on Artificial Intelligence (IJCAI)</w:t>
      </w:r>
      <w:r>
        <w:t xml:space="preserve">,</w:t>
      </w:r>
      <w:r>
        <w:t xml:space="preserve"> </w:t>
      </w:r>
      <w:r>
        <w:t xml:space="preserve">pp. 399–404.</w:t>
      </w:r>
    </w:p>
    <w:p>
      <w:pPr>
        <w:pStyle w:val="BodyText"/>
      </w:pPr>
      <w:r>
        <w:t xml:space="preserve">Ignatiev,A., Morgado,A. and Marques-Silva,J. (2018) PySAT: a Python toolkit for</w:t>
      </w:r>
      <w:r>
        <w:t xml:space="preserve"> </w:t>
      </w:r>
      <w:r>
        <w:t xml:space="preserve">prototyping with SAT oracles. In</w:t>
      </w:r>
      <w:r>
        <w:t xml:space="preserve"> </w:t>
      </w:r>
      <w:r>
        <w:rPr>
          <w:i/>
          <w:iCs/>
        </w:rPr>
        <w:t xml:space="preserve">Theory and Applications of Satisfiability</w:t>
      </w:r>
      <w:r>
        <w:rPr>
          <w:i/>
          <w:iCs/>
        </w:rPr>
        <w:t xml:space="preserve"> </w:t>
      </w:r>
      <w:r>
        <w:rPr>
          <w:i/>
          <w:iCs/>
        </w:rPr>
        <w:t xml:space="preserve">Testing (SAT 2018)</w:t>
      </w:r>
      <w:r>
        <w:t xml:space="preserve">, LNCS 10929, pp. 428–437.</w:t>
      </w:r>
    </w:p>
    <w:p>
      <w:pPr>
        <w:pStyle w:val="BodyText"/>
      </w:pPr>
      <w:r>
        <w:t xml:space="preserve">Monneau,Y.R.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(2017) Automatic methyl assignment in large proteins by the</w:t>
      </w:r>
      <w:r>
        <w:t xml:space="preserve"> </w:t>
      </w:r>
      <w:r>
        <w:t xml:space="preserve">MAGIC algorithm.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,</w:t>
      </w:r>
      <w:r>
        <w:t xml:space="preserve"> </w:t>
      </w:r>
      <w:r>
        <w:rPr>
          <w:b/>
          <w:bCs/>
        </w:rPr>
        <w:t xml:space="preserve">69</w:t>
      </w:r>
      <w:r>
        <w:t xml:space="preserve">, 215–227.</w:t>
      </w:r>
    </w:p>
    <w:p>
      <w:pPr>
        <w:pStyle w:val="BodyText"/>
      </w:pPr>
      <w:r>
        <w:t xml:space="preserve">Nerli,S., De Paula,V.S., McShan,A.C. and Sgourakis,N.G. (2021)</w:t>
      </w:r>
      <w:r>
        <w:t xml:space="preserve"> </w:t>
      </w:r>
      <w:r>
        <w:t xml:space="preserve">Backbone-independent NMR resonance assignments of methyl probes in large</w:t>
      </w:r>
      <w:r>
        <w:t xml:space="preserve"> </w:t>
      </w:r>
      <w:r>
        <w:t xml:space="preserve">proteins.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,</w:t>
      </w:r>
      <w:r>
        <w:t xml:space="preserve"> </w:t>
      </w:r>
      <w:r>
        <w:rPr>
          <w:b/>
          <w:bCs/>
        </w:rPr>
        <w:t xml:space="preserve">12</w:t>
      </w:r>
      <w:r>
        <w:t xml:space="preserve">, 691.</w:t>
      </w:r>
    </w:p>
    <w:p>
      <w:pPr>
        <w:pStyle w:val="BodyText"/>
      </w:pPr>
      <w:r>
        <w:t xml:space="preserve">Pritišanac,I.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(2017) Automatic assignment of methyl-NMR spectra of</w:t>
      </w:r>
      <w:r>
        <w:t xml:space="preserve"> </w:t>
      </w:r>
      <w:r>
        <w:t xml:space="preserve">supramolecular machines using graph theory.</w:t>
      </w:r>
      <w:r>
        <w:t xml:space="preserve"> </w:t>
      </w:r>
      <w:r>
        <w:rPr>
          <w:i/>
          <w:iCs/>
        </w:rPr>
        <w:t xml:space="preserve">J. Am. Chem. Soc.</w:t>
      </w:r>
      <w:r>
        <w:t xml:space="preserve">,</w:t>
      </w:r>
      <w:r>
        <w:t xml:space="preserve"> </w:t>
      </w:r>
      <w:r>
        <w:rPr>
          <w:b/>
          <w:bCs/>
        </w:rPr>
        <w:t xml:space="preserve">139</w:t>
      </w:r>
      <w:r>
        <w:t xml:space="preserve">,</w:t>
      </w:r>
      <w:r>
        <w:t xml:space="preserve"> </w:t>
      </w:r>
      <w:r>
        <w:t xml:space="preserve">9523–9533.</w:t>
      </w:r>
    </w:p>
    <w:p>
      <w:pPr>
        <w:pStyle w:val="BodyText"/>
      </w:pPr>
      <w:r>
        <w:t xml:space="preserve">Pritišanac,I., Würz,J.M., Alderson,T.R. and Güntert,P. (2019) Automatic</w:t>
      </w:r>
      <w:r>
        <w:t xml:space="preserve"> </w:t>
      </w:r>
      <w:r>
        <w:t xml:space="preserve">structure-based NMR methyl resonance assignment in large proteins.</w:t>
      </w:r>
      <w: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Commun.</w:t>
      </w:r>
      <w:r>
        <w:t xml:space="preserve">,</w:t>
      </w:r>
      <w:r>
        <w:t xml:space="preserve"> </w:t>
      </w:r>
      <w:r>
        <w:rPr>
          <w:b/>
          <w:bCs/>
        </w:rPr>
        <w:t xml:space="preserve">10</w:t>
      </w:r>
      <w:r>
        <w:t xml:space="preserve">, 4922.</w:t>
      </w:r>
    </w:p>
    <w:p>
      <w:pPr>
        <w:pStyle w:val="BodyText"/>
      </w:pPr>
      <w:r>
        <w:t xml:space="preserve">Pritišanac,I., Alderson,T.R. and Güntert,P. (2020) Automated assignment of methyl</w:t>
      </w:r>
      <w:r>
        <w:t xml:space="preserve"> </w:t>
      </w:r>
      <w:r>
        <w:t xml:space="preserve">NMR spectra from large proteins.</w:t>
      </w:r>
      <w:r>
        <w:t xml:space="preserve"> </w:t>
      </w:r>
      <w:r>
        <w:rPr>
          <w:i/>
          <w:iCs/>
        </w:rPr>
        <w:t xml:space="preserve">Prog. Nucl. Magn. Reson. Spectrosc.</w:t>
      </w:r>
      <w:r>
        <w:t xml:space="preserve">,</w:t>
      </w:r>
      <w:r>
        <w:t xml:space="preserve"> </w:t>
      </w:r>
      <w:r>
        <w:rPr>
          <w:b/>
          <w:bCs/>
        </w:rPr>
        <w:t xml:space="preserve">118–119</w:t>
      </w:r>
      <w:r>
        <w:t xml:space="preserve">, 54–73.</w:t>
      </w:r>
    </w:p>
    <w:p>
      <w:pPr>
        <w:pStyle w:val="BodyText"/>
      </w:pPr>
      <w:r>
        <w:t xml:space="preserve">Rosenzweig,R. and Kay,L.E. (2014) Bringing dynamic molecular machines into focus</w:t>
      </w:r>
      <w:r>
        <w:t xml:space="preserve"> </w:t>
      </w:r>
      <w:r>
        <w:t xml:space="preserve">by methyl-TROSY NMR.</w:t>
      </w:r>
      <w:r>
        <w:t xml:space="preserve"> </w:t>
      </w:r>
      <w:r>
        <w:rPr>
          <w:i/>
          <w:iCs/>
        </w:rPr>
        <w:t xml:space="preserve">Annu. Rev. Biochem.</w:t>
      </w:r>
      <w:r>
        <w:t xml:space="preserve">,</w:t>
      </w:r>
      <w:r>
        <w:t xml:space="preserve"> </w:t>
      </w:r>
      <w:r>
        <w:rPr>
          <w:b/>
          <w:bCs/>
        </w:rPr>
        <w:t xml:space="preserve">83</w:t>
      </w:r>
      <w:r>
        <w:t xml:space="preserve">, 291–315.</w:t>
      </w:r>
    </w:p>
    <w:p>
      <w:pPr>
        <w:pStyle w:val="BodyText"/>
      </w:pPr>
      <w:r>
        <w:t xml:space="preserve">Spurlino,J.C., Lu,G.-Y. and Quiocho,F.A. (1991) The 2.3-Å resolution structure of</w:t>
      </w:r>
      <w:r>
        <w:t xml:space="preserve"> </w:t>
      </w:r>
      <w:r>
        <w:t xml:space="preserve">the maltose- or maltodextrin-binding protein, a primary receptor of bacterial</w:t>
      </w:r>
      <w:r>
        <w:t xml:space="preserve"> </w:t>
      </w:r>
      <w:r>
        <w:t xml:space="preserve">active transport and chemotaxis.</w:t>
      </w:r>
      <w:r>
        <w:t xml:space="preserve"> </w:t>
      </w:r>
      <w:r>
        <w:rPr>
          <w:i/>
          <w:iCs/>
        </w:rPr>
        <w:t xml:space="preserve">J. Biol. Chem.</w:t>
      </w:r>
      <w:r>
        <w:t xml:space="preserve">,</w:t>
      </w:r>
      <w:r>
        <w:t xml:space="preserve"> </w:t>
      </w:r>
      <w:r>
        <w:rPr>
          <w:b/>
          <w:bCs/>
        </w:rPr>
        <w:t xml:space="preserve">266</w:t>
      </w:r>
      <w:r>
        <w:t xml:space="preserve">, 5202–5219.</w:t>
      </w:r>
    </w:p>
    <w:p>
      <w:pPr>
        <w:pStyle w:val="BodyText"/>
      </w:pPr>
      <w:r>
        <w:t xml:space="preserve">Tugarinov,V. and Kay,L.E. (2004) An isotope labeling strategy for methyl TROSY</w:t>
      </w:r>
      <w:r>
        <w:t xml:space="preserve"> </w:t>
      </w:r>
      <w:r>
        <w:t xml:space="preserve">spectroscopy.</w:t>
      </w:r>
      <w:r>
        <w:t xml:space="preserve"> </w:t>
      </w:r>
      <w:r>
        <w:rPr>
          <w:i/>
          <w:iCs/>
        </w:rPr>
        <w:t xml:space="preserve">J. Biomol. NMR</w:t>
      </w:r>
      <w:r>
        <w:t xml:space="preserve">,</w:t>
      </w:r>
      <w:r>
        <w:t xml:space="preserve"> </w:t>
      </w:r>
      <w:r>
        <w:rPr>
          <w:b/>
          <w:bCs/>
        </w:rPr>
        <w:t xml:space="preserve">28</w:t>
      </w:r>
      <w:r>
        <w:t xml:space="preserve">, 165–172.</w:t>
      </w:r>
    </w:p>
    <w:p>
      <w:pPr>
        <w:pStyle w:val="BodyText"/>
      </w:pPr>
      <w:r>
        <w:t xml:space="preserve">Tugarinov,V., Hwang,P.M., Ollerenshaw,J.E. and Kay,L.E. (2003) Cross-correlated</w:t>
      </w:r>
      <w:r>
        <w:t xml:space="preserve"> </w:t>
      </w:r>
      <w:r>
        <w:t xml:space="preserve">relaxation enhanced</w:t>
      </w:r>
      <w:r>
        <w:t xml:space="preserve"> </w:t>
      </w:r>
      <w:r>
        <w:rPr>
          <w:vertAlign w:val="superscript"/>
        </w:rPr>
        <w:t xml:space="preserve">1</w:t>
      </w:r>
      <w:r>
        <w:t xml:space="preserve">H–</w:t>
      </w:r>
      <w:r>
        <w:rPr>
          <w:vertAlign w:val="superscript"/>
        </w:rPr>
        <w:t xml:space="preserve">13</w:t>
      </w:r>
      <w:r>
        <w:t xml:space="preserve">C NMR spectroscopy of methyl groups in very high</w:t>
      </w:r>
      <w:r>
        <w:t xml:space="preserve"> </w:t>
      </w:r>
      <w:r>
        <w:t xml:space="preserve">molecular weight proteins and protein complexes.</w:t>
      </w:r>
      <w:r>
        <w:t xml:space="preserve"> </w:t>
      </w:r>
      <w:r>
        <w:rPr>
          <w:i/>
          <w:iCs/>
        </w:rPr>
        <w:t xml:space="preserve">J. Am. Chem. Soc.</w:t>
      </w:r>
      <w:r>
        <w:t xml:space="preserve">,</w:t>
      </w:r>
      <w:r>
        <w:t xml:space="preserve"> </w:t>
      </w:r>
      <w:r>
        <w:rPr>
          <w:b/>
          <w:bCs/>
        </w:rPr>
        <w:t xml:space="preserve">125</w:t>
      </w:r>
      <w:r>
        <w:t xml:space="preserve">,</w:t>
      </w:r>
      <w:r>
        <w:t xml:space="preserve"> </w:t>
      </w:r>
      <w:r>
        <w:t xml:space="preserve">10420–10428.</w:t>
      </w:r>
    </w:p>
    <w:p>
      <w:pPr>
        <w:pStyle w:val="BodyText"/>
      </w:pPr>
      <w:r>
        <w:t xml:space="preserve">Ulrich,E.L.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(2008) BioMagResBank.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,</w:t>
      </w:r>
      <w:r>
        <w:t xml:space="preserve"> </w:t>
      </w:r>
      <w:r>
        <w:rPr>
          <w:b/>
          <w:bCs/>
        </w:rPr>
        <w:t xml:space="preserve">36</w:t>
      </w:r>
      <w:r>
        <w:t xml:space="preserve">,</w:t>
      </w:r>
      <w:r>
        <w:t xml:space="preserve"> </w:t>
      </w:r>
      <w:r>
        <w:t xml:space="preserve">D402–D408.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140750"/>
            <wp:effectExtent b="0" l="0" r="0" t="0"/>
            <wp:docPr descr="Fig. 1. (A) The magicmaus pipeline. A SAT layer (MAUS) bounds each peak to a per-peak option set that provably contains the truth (100% envelope) and prunes candidates from up to ~60 to 1–3; an intensity-weighted NOE score (MAGIC-style), applied only within those bounds via a SAT-feasible seed and feasibility-preserving coordinate ascent, commits to a single coherent map with a per-peak confidence tier (unique / scored / ambiguous). (B) Methyl-level accuracy on maltose-binding protein (192 methyls), all engines scored on the same 1/r6 intensity NOESY. MAUS is decisive on 26.6% of peaks (rest abstain); MAGIC and magicmaus commit on all 192. Green markers denote the 100% truth-in-envelope guarantee, preserved by MAUS and magicmaus." title="" id="18" name="Picture"/>
            <a:graphic>
              <a:graphicData uri="http://schemas.openxmlformats.org/drawingml/2006/picture">
                <pic:pic>
                  <pic:nvPicPr>
                    <pic:cNvPr descr="figure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1.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The magicmaus pipeline. A SAT layer (MAUS) bounds each peak</w:t>
      </w:r>
      <w:r>
        <w:t xml:space="preserve"> </w:t>
      </w:r>
      <w:r>
        <w:t xml:space="preserve">to a per-peak option set that provably contains the truth (100% envelope) and</w:t>
      </w:r>
      <w:r>
        <w:t xml:space="preserve"> </w:t>
      </w:r>
      <w:r>
        <w:t xml:space="preserve">prunes candidates from up to ~60 to 1–3; an intensity-weighted NOE score</w:t>
      </w:r>
      <w:r>
        <w:t xml:space="preserve"> </w:t>
      </w:r>
      <w:r>
        <w:t xml:space="preserve">(MAGIC-style), applied only within those bounds via a SAT-feasible seed and</w:t>
      </w:r>
      <w:r>
        <w:t xml:space="preserve"> </w:t>
      </w:r>
      <w:r>
        <w:t xml:space="preserve">feasibility-preserving coordinate ascent, commits to a single coherent map with a</w:t>
      </w:r>
      <w:r>
        <w:t xml:space="preserve"> </w:t>
      </w:r>
      <w:r>
        <w:t xml:space="preserve">per-peak confidence tier (unique / scored / ambiguous). (</w:t>
      </w:r>
      <w:r>
        <w:rPr>
          <w:b/>
          <w:bCs/>
        </w:rPr>
        <w:t xml:space="preserve">B</w:t>
      </w:r>
      <w:r>
        <w:t xml:space="preserve">) Methyl-level</w:t>
      </w:r>
      <w:r>
        <w:t xml:space="preserve"> </w:t>
      </w:r>
      <w:r>
        <w:t xml:space="preserve">accuracy on maltose-binding protein (192 methyls), all engines scored on the same</w:t>
      </w:r>
      <w:r>
        <w:t xml:space="preserve"> </w:t>
      </w:r>
      <w:r>
        <w:t xml:space="preserve">1/r</w:t>
      </w:r>
      <w:r>
        <w:rPr>
          <w:vertAlign w:val="superscript"/>
        </w:rPr>
        <w:t xml:space="preserve">6</w:t>
      </w:r>
      <w:r>
        <w:t xml:space="preserve"> </w:t>
      </w:r>
      <w:r>
        <w:t xml:space="preserve">intensity NOESY. MAUS is decisive on 26.6% of peaks (rest abstain); MAGIC</w:t>
      </w:r>
      <w:r>
        <w:t xml:space="preserve"> </w:t>
      </w:r>
      <w:r>
        <w:t xml:space="preserve">and magicmaus commit on all 192. Green markers denote the 100% truth-in-envelope</w:t>
      </w:r>
      <w:r>
        <w:t xml:space="preserve"> </w:t>
      </w:r>
      <w:r>
        <w:t xml:space="preserve">guarantee, preserved by MAUS and magicmaus.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9" Target="https://github.com/deepnmr/magicma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deepnmr/magicma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magicmaus: certainty-bounded, score-committed assignment of methyl NMR resonances</dc:title>
  <dc:creator/>
  <cp:keywords/>
  <dcterms:created xsi:type="dcterms:W3CDTF">2026-07-05T07:04:57Z</dcterms:created>
  <dcterms:modified xsi:type="dcterms:W3CDTF">2026-07-05T07:04:57Z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