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magicmaus: certainty-bounded, score-committed assignment of methyl NMR resonances</w:t>
      </w:r>
    </w:p>
    <w:p>
      <w:pPr>
        <w:pStyle w:val="FirstParagraph"/>
      </w:pPr>
      <w:r>
        <w:rPr>
          <w:b/>
          <w:bCs/>
        </w:rPr>
        <w:t xml:space="preserve">Structural bioinformatics</w:t>
      </w:r>
    </w:p>
    <w:bookmarkStart w:id="23" w:name="X32f9384308fffd6da93cfa87d2db732cab9912d"/>
    <w:p>
      <w:pPr>
        <w:pStyle w:val="Heading1"/>
      </w:pPr>
      <w:r>
        <w:t xml:space="preserve">magicmaus: certainty-bounded, score-committed assignment of methyl NMR resonances</w:t>
      </w:r>
    </w:p>
    <w:p>
      <w:pPr>
        <w:pStyle w:val="FirstParagraph"/>
      </w:pPr>
      <w:r>
        <w:t xml:space="preserve">Joonhyeok Choi</w:t>
      </w:r>
      <w:r>
        <w:t xml:space="preserve"> </w:t>
      </w:r>
      <w:r>
        <w:rPr>
          <w:vertAlign w:val="superscript"/>
        </w:rPr>
        <w:t xml:space="preserve">1,2,†</w:t>
      </w:r>
      <w:r>
        <w:t xml:space="preserve">, Sang-Yeop Lee</w:t>
      </w:r>
      <w:r>
        <w:t xml:space="preserve"> </w:t>
      </w:r>
      <w:r>
        <w:rPr>
          <w:vertAlign w:val="superscript"/>
        </w:rPr>
        <w:t xml:space="preserve">3,4,†</w:t>
      </w:r>
      <w:r>
        <w:t xml:space="preserve">, Sooho Koh</w:t>
      </w:r>
      <w:r>
        <w:t xml:space="preserve"> </w:t>
      </w:r>
      <w:r>
        <w:rPr>
          <w:vertAlign w:val="superscript"/>
        </w:rPr>
        <w:t xml:space="preserve">1</w:t>
      </w:r>
      <w:r>
        <w:t xml:space="preserve">, Minjune Yang</w:t>
      </w:r>
      <w:r>
        <w:t xml:space="preserve"> </w:t>
      </w:r>
      <w:r>
        <w:rPr>
          <w:vertAlign w:val="superscript"/>
        </w:rPr>
        <w:t xml:space="preserve">1</w:t>
      </w:r>
      <w:r>
        <w:t xml:space="preserve">, Kyoung-Seok Ryu</w:t>
      </w:r>
      <w:r>
        <w:t xml:space="preserve"> </w:t>
      </w:r>
      <w:r>
        <w:rPr>
          <w:vertAlign w:val="superscript"/>
        </w:rPr>
        <w:t xml:space="preserve">1,4</w:t>
      </w:r>
      <w:r>
        <w:t xml:space="preserve">, Donghan Lee</w:t>
      </w:r>
      <w:r>
        <w:t xml:space="preserve"> </w:t>
      </w:r>
      <w:r>
        <w:rPr>
          <w:vertAlign w:val="superscript"/>
        </w:rPr>
        <w:t xml:space="preserve">1,4,*</w:t>
      </w:r>
    </w:p>
    <w:p>
      <w:pPr>
        <w:pStyle w:val="BodyText"/>
      </w:pPr>
      <w:r>
        <w:rPr>
          <w:vertAlign w:val="superscript"/>
        </w:rPr>
        <w:t xml:space="preserve">1</w:t>
      </w:r>
      <w:r>
        <w:t xml:space="preserve"> </w:t>
      </w:r>
      <w:r>
        <w:t xml:space="preserve">Center for Protein Structure and Drug Mechanism Research, Korea Basic Science Institute, Cheongju, 28119, Republic of Korea</w:t>
      </w:r>
    </w:p>
    <w:p>
      <w:pPr>
        <w:pStyle w:val="BodyText"/>
      </w:pPr>
      <w:r>
        <w:rPr>
          <w:vertAlign w:val="superscript"/>
        </w:rPr>
        <w:t xml:space="preserve">2</w:t>
      </w:r>
      <w:r>
        <w:t xml:space="preserve"> </w:t>
      </w:r>
      <w:r>
        <w:t xml:space="preserve">Department of Applied Pharmacy, College of Pharmacy, Chungbuk National University, Cheongju, 28160, Republic of Korea</w:t>
      </w:r>
    </w:p>
    <w:p>
      <w:pPr>
        <w:pStyle w:val="BodyText"/>
      </w:pPr>
      <w:r>
        <w:rPr>
          <w:vertAlign w:val="superscript"/>
        </w:rPr>
        <w:t xml:space="preserve">3</w:t>
      </w:r>
      <w:r>
        <w:t xml:space="preserve"> </w:t>
      </w:r>
      <w:r>
        <w:t xml:space="preserve">Center for Target-to-Therapeutics Research, Korea Basic Science Institute, Cheongju, 28119, Republic of Korea</w:t>
      </w:r>
    </w:p>
    <w:p>
      <w:pPr>
        <w:pStyle w:val="BodyText"/>
      </w:pPr>
      <w:r>
        <w:rPr>
          <w:vertAlign w:val="superscript"/>
        </w:rPr>
        <w:t xml:space="preserve">4</w:t>
      </w:r>
      <w:r>
        <w:t xml:space="preserve"> </w:t>
      </w:r>
      <w:r>
        <w:t xml:space="preserve">Department of Convergent Analytical Science, University of Science and Technology, Daejeon, 34113, Republic of Korea</w:t>
      </w:r>
    </w:p>
    <w:p>
      <w:pPr>
        <w:pStyle w:val="BodyText"/>
      </w:pPr>
      <w:r>
        <w:rPr>
          <w:vertAlign w:val="superscript"/>
        </w:rPr>
        <w:t xml:space="preserve">*</w:t>
      </w:r>
      <w:r>
        <w:t xml:space="preserve"> </w:t>
      </w:r>
      <w:r>
        <w:t xml:space="preserve">Corresponding author. Donghan Lee, Center for Protein Structure and Drug Mechanism Research, Korea Basic Science Institute, Cheongju, 28119, Republic of Korea; Department of Convergent Analytical Science, University of Science and Technology, Daejeon, 34113, Republic of Korea (dlee04@kbsi.re.kr)</w:t>
      </w:r>
    </w:p>
    <w:p>
      <w:pPr>
        <w:pStyle w:val="BodyText"/>
      </w:pPr>
      <w:r>
        <w:rPr>
          <w:vertAlign w:val="superscript"/>
        </w:rPr>
        <w:t xml:space="preserve">†</w:t>
      </w:r>
      <w:r>
        <w:t xml:space="preserve"> </w:t>
      </w:r>
      <w:r>
        <w:t xml:space="preserve">These authors contributed equally.</w:t>
      </w:r>
    </w:p>
    <w:p>
      <w:pPr>
        <w:pStyle w:val="BodyText"/>
      </w:pPr>
      <w:r>
        <w:t xml:space="preserve">Associate Editor: (to be assigned)</w:t>
      </w:r>
    </w:p>
    <w:p>
      <w:r>
        <w:pict>
          <v:rect style="width:0;height:1.5pt" o:hralign="center" o:hrstd="t" o:hr="t"/>
        </w:pict>
      </w:r>
    </w:p>
    <w:bookmarkStart w:id="10" w:name="abstract"/>
    <w:p>
      <w:pPr>
        <w:pStyle w:val="Heading2"/>
      </w:pPr>
      <w:r>
        <w:t xml:space="preserve">Abstract</w:t>
      </w:r>
    </w:p>
    <w:p>
      <w:pPr>
        <w:pStyle w:val="FirstParagraph"/>
      </w:pPr>
      <w:r>
        <w:rPr>
          <w:b/>
          <w:bCs/>
        </w:rPr>
        <w:t xml:space="preserve">Summary:</w:t>
      </w:r>
      <w:r>
        <w:t xml:space="preserve"> </w:t>
      </w:r>
      <w:r>
        <w:t xml:space="preserve">Automated assignment of methyl NMR probes in large proteins is</w:t>
      </w:r>
      <w:r>
        <w:t xml:space="preserve"> </w:t>
      </w:r>
      <w:r>
        <w:t xml:space="preserve">approached in two irreconcilable ways: as a constraint-satisfaction problem</w:t>
      </w:r>
      <w:r>
        <w:t xml:space="preserve"> </w:t>
      </w:r>
      <w:r>
        <w:t xml:space="preserve">(MAUS), which returns for every peak the set of methyls consistent with all hard</w:t>
      </w:r>
      <w:r>
        <w:t xml:space="preserve"> </w:t>
      </w:r>
      <w:r>
        <w:t xml:space="preserve">constraints and provably never excludes the correct one but abstains on any</w:t>
      </w:r>
      <w:r>
        <w:t xml:space="preserve"> </w:t>
      </w:r>
      <w:r>
        <w:t xml:space="preserve">residual degeneracy; and as a scoring problem (MAGIC), which commits to a single</w:t>
      </w:r>
      <w:r>
        <w:t xml:space="preserve"> </w:t>
      </w:r>
      <w:r>
        <w:t xml:space="preserve">best assignment but, searching the full candidate space, does so on a near-flat</w:t>
      </w:r>
      <w:r>
        <w:t xml:space="preserve"> </w:t>
      </w:r>
      <w:r>
        <w:t xml:space="preserve">objective and is frequently wrong. We present</w:t>
      </w:r>
      <w:r>
        <w:t xml:space="preserve"> </w:t>
      </w:r>
      <w:r>
        <w:rPr>
          <w:b/>
          <w:bCs/>
        </w:rPr>
        <w:t xml:space="preserve">magicmaus</w:t>
      </w:r>
      <w:r>
        <w:t xml:space="preserve">, a hybrid that uses</w:t>
      </w:r>
      <w:r>
        <w:t xml:space="preserve"> </w:t>
      </w:r>
      <w:r>
        <w:t xml:space="preserve">the satisfiability layer to bound the search to a certifiably truth-containing set</w:t>
      </w:r>
      <w:r>
        <w:t xml:space="preserve"> </w:t>
      </w:r>
      <w:r>
        <w:t xml:space="preserve">of per-peak candidates, then maximises an intensity-weighted NOE score</w:t>
      </w:r>
      <w:r>
        <w:t xml:space="preserve"> </w:t>
      </w:r>
      <w:r>
        <w:rPr>
          <w:i/>
          <w:iCs/>
        </w:rPr>
        <w:t xml:space="preserve">within</w:t>
      </w:r>
      <w:r>
        <w:t xml:space="preserve"> </w:t>
      </w:r>
      <w:r>
        <w:t xml:space="preserve">those bounds — by a diverse-seed multistart that reaches the objective’s optimum</w:t>
      </w:r>
      <w:r>
        <w:t xml:space="preserve"> </w:t>
      </w:r>
      <w:r>
        <w:t xml:space="preserve">where a single-seed local search traps 10–20% short — to commit one globally</w:t>
      </w:r>
      <w:r>
        <w:t xml:space="preserve"> </w:t>
      </w:r>
      <w:r>
        <w:t xml:space="preserve">coherent, injective assignment with a per-peak confidence tier. We score accuracy</w:t>
      </w:r>
      <w:r>
        <w:t xml:space="preserve"> </w:t>
      </w:r>
      <w:r>
        <w:t xml:space="preserve">residue-wise (correct residue, independent of the prochiral δ1/δ2 or γ1/γ2 methyl,</w:t>
      </w:r>
      <w:r>
        <w:t xml:space="preserve"> </w:t>
      </w:r>
      <w:r>
        <w:t xml:space="preserve">which an achiral NOE network cannot orient) because the residue is the assignment</w:t>
      </w:r>
      <w:r>
        <w:t xml:space="preserve"> </w:t>
      </w:r>
      <w:r>
        <w:t xml:space="preserve">problem’s hard part. Across seven structure-simulated benchmark targets (43–257</w:t>
      </w:r>
      <w:r>
        <w:t xml:space="preserve"> </w:t>
      </w:r>
      <w:r>
        <w:t xml:space="preserve">methyls) built from real shifts and structures with realistic measurement noise,</w:t>
      </w:r>
      <w:r>
        <w:t xml:space="preserve"> </w:t>
      </w:r>
      <w:r>
        <w:t xml:space="preserve">magicmaus commits a single answer for every peak and is the most accurate of the</w:t>
      </w:r>
      <w:r>
        <w:t xml:space="preserve"> </w:t>
      </w:r>
      <w:r>
        <w:t xml:space="preserve">three engines on every target it can bound tightly — 56.5–100% residue-wise, versus</w:t>
      </w:r>
      <w:r>
        <w:t xml:space="preserve"> </w:t>
      </w:r>
      <w:r>
        <w:t xml:space="preserve">0–79% for full-space scoring and 39–84% for the constraint layer forced to guess —</w:t>
      </w:r>
      <w:r>
        <w:t xml:space="preserve"> </w:t>
      </w:r>
      <w:r>
        <w:t xml:space="preserve">while retaining the constraint layer’s</w:t>
      </w:r>
      <w:r>
        <w:t xml:space="preserve"> </w:t>
      </w:r>
      <w:r>
        <w:rPr>
          <w:b/>
          <w:bCs/>
        </w:rPr>
        <w:t xml:space="preserve">100% never-exclude</w:t>
      </w:r>
      <w:r>
        <w:t xml:space="preserve"> </w:t>
      </w:r>
      <w:r>
        <w:t xml:space="preserve">guarantee as an</w:t>
      </w:r>
      <w:r>
        <w:t xml:space="preserve"> </w:t>
      </w:r>
      <w:r>
        <w:t xml:space="preserve">explicit ambiguity envelope. On maltose-binding protein (192 methyls) it assigns</w:t>
      </w:r>
      <w:r>
        <w:t xml:space="preserve"> </w:t>
      </w:r>
      <w:r>
        <w:t xml:space="preserve">60.9% of peaks to the correct residue versus 34.4% for scoring alone. Malate</w:t>
      </w:r>
      <w:r>
        <w:t xml:space="preserve"> </w:t>
      </w:r>
      <w:r>
        <w:t xml:space="preserve">synthase G (257 methyls) marks the method’s scale limit and is reported honestly:</w:t>
      </w:r>
      <w:r>
        <w:t xml:space="preserve"> </w:t>
      </w:r>
      <w:r>
        <w:t xml:space="preserve">its exact option-set enumeration is intractable, and over the tractable but loose</w:t>
      </w:r>
      <w:r>
        <w:t xml:space="preserve"> </w:t>
      </w:r>
      <w:r>
        <w:t xml:space="preserve">fallback bounds its sparse (H)CCH network leaves magicmaus (14.8%) below full-space</w:t>
      </w:r>
      <w:r>
        <w:t xml:space="preserve"> </w:t>
      </w:r>
      <w:r>
        <w:t xml:space="preserve">scoring (30.0%). A real-experimental multimer — the TNF-α homotrimer, measured HMQC,</w:t>
      </w:r>
      <w:r>
        <w:t xml:space="preserve"> </w:t>
      </w:r>
      <w:r>
        <w:t xml:space="preserve">3D (H)CCH NOESY-HMQC and HMBC-HMQC peak lists scored against an AlphaFold3 model —</w:t>
      </w:r>
      <w:r>
        <w:t xml:space="preserve"> </w:t>
      </w:r>
      <w:r>
        <w:t xml:space="preserve">demonstrates the method on genuine spectra and honestly bounds it: treating the</w:t>
      </w:r>
      <w:r>
        <w:t xml:space="preserve"> </w:t>
      </w:r>
      <w:r>
        <w:t xml:space="preserve">three chains as symmetry images is required to explain the inter-subunit NOEs, the</w:t>
      </w:r>
      <w:r>
        <w:t xml:space="preserve"> </w:t>
      </w:r>
      <w:r>
        <w:t xml:space="preserve">never-exclude envelope is 96.5% (real firm edges are occasionally wrong against a</w:t>
      </w:r>
      <w:r>
        <w:t xml:space="preserve"> </w:t>
      </w:r>
      <w:r>
        <w:t xml:space="preserve">predicted fold), and magicmaus is still the best engine at 30.6% residue-wise</w:t>
      </w:r>
      <w:r>
        <w:t xml:space="preserve"> </w:t>
      </w:r>
      <w:r>
        <w:t xml:space="preserve">(versus 20.0% scoring, 10.6% constraint-forced), the gap to its 24.7% methyl-level</w:t>
      </w:r>
      <w:r>
        <w:t xml:space="preserve"> </w:t>
      </w:r>
      <w:r>
        <w:t xml:space="preserve">figure being entirely unresolved geminal swaps.</w:t>
      </w:r>
    </w:p>
    <w:p>
      <w:pPr>
        <w:pStyle w:val="BodyText"/>
      </w:pPr>
      <w:r>
        <w:rPr>
          <w:b/>
          <w:bCs/>
        </w:rPr>
        <w:t xml:space="preserve">Availability and implementation:</w:t>
      </w:r>
      <w:r>
        <w:t xml:space="preserve"> </w:t>
      </w:r>
      <w:r>
        <w:t xml:space="preserve">magicmaus is implemented in Python 3 (NumPy,</w:t>
      </w:r>
      <w:r>
        <w:t xml:space="preserve"> </w:t>
      </w:r>
      <w:r>
        <w:t xml:space="preserve">PySAT) and released under the MIT license at</w:t>
      </w:r>
      <w:r>
        <w:t xml:space="preserve"> </w:t>
      </w:r>
      <w:hyperlink r:id="rId9">
        <w:r>
          <w:rPr>
            <w:rStyle w:val="Hyperlink"/>
          </w:rPr>
          <w:t xml:space="preserve">https://github.com/deepnmr/magicmaus</w:t>
        </w:r>
      </w:hyperlink>
      <w:r>
        <w:t xml:space="preserve">, with tutorials and the benchmark data.</w:t>
      </w:r>
    </w:p>
    <w:p>
      <w:pPr>
        <w:pStyle w:val="BodyText"/>
      </w:pPr>
      <w:r>
        <w:rPr>
          <w:b/>
          <w:bCs/>
        </w:rPr>
        <w:t xml:space="preserve">Contact:</w:t>
      </w:r>
      <w:r>
        <w:t xml:space="preserve"> </w:t>
      </w:r>
      <w:r>
        <w:t xml:space="preserve">dlee04@kbsi.re.kr</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Methyl groups are the workhorse probes of solution NMR on large proteins and</w:t>
      </w:r>
      <w:r>
        <w:t xml:space="preserve"> </w:t>
      </w:r>
      <w:r>
        <w:t xml:space="preserve">molecular machines. Selective</w:t>
      </w:r>
      <w:r>
        <w:t xml:space="preserve"> </w:t>
      </w:r>
      <w:r>
        <w:rPr>
          <w:vertAlign w:val="superscript"/>
        </w:rPr>
        <w:t xml:space="preserve">13</w:t>
      </w:r>
      <w:r>
        <w:t xml:space="preserve">CH</w:t>
      </w:r>
      <w:r>
        <w:rPr>
          <w:vertAlign w:val="subscript"/>
        </w:rPr>
        <w:t xml:space="preserve">3</w:t>
      </w:r>
      <w:r>
        <w:t xml:space="preserve"> </w:t>
      </w:r>
      <w:r>
        <w:t xml:space="preserve">labelling of Ile/Leu/Val (and Ala, Met,</w:t>
      </w:r>
      <w:r>
        <w:t xml:space="preserve"> </w:t>
      </w:r>
      <w:r>
        <w:t xml:space="preserve">Thr) methyls on a perdeuterated background (Tugarinov and Kay, 2004), combined</w:t>
      </w:r>
      <w:r>
        <w:t xml:space="preserve"> </w:t>
      </w:r>
      <w:r>
        <w:t xml:space="preserve">with methyl-TROSY spectroscopy, yields sharp signals well beyond 100 kDa and up</w:t>
      </w:r>
      <w:r>
        <w:t xml:space="preserve"> </w:t>
      </w:r>
      <w:r>
        <w:t xml:space="preserve">to the ~1 MDa regime (Tugarinov</w:t>
      </w:r>
      <w:r>
        <w:t xml:space="preserve"> </w:t>
      </w:r>
      <w:r>
        <w:rPr>
          <w:i/>
          <w:iCs/>
        </w:rPr>
        <w:t xml:space="preserve">et al.</w:t>
      </w:r>
      <w:r>
        <w:t xml:space="preserve">, 2003; Rosenzweig and Kay, 2014).</w:t>
      </w:r>
      <w:r>
        <w:t xml:space="preserve"> </w:t>
      </w:r>
      <w:r>
        <w:t xml:space="preserve">Exploiting these probes requires assigning each observed methyl</w:t>
      </w:r>
      <w:r>
        <w:t xml:space="preserve"> </w:t>
      </w:r>
      <w:r>
        <w:rPr>
          <w:vertAlign w:val="superscript"/>
        </w:rPr>
        <w:t xml:space="preserve">1</w:t>
      </w:r>
      <w:r>
        <w:t xml:space="preserve">H/</w:t>
      </w:r>
      <w:r>
        <w:rPr>
          <w:vertAlign w:val="superscript"/>
        </w:rPr>
        <w:t xml:space="preserve">13</w:t>
      </w:r>
      <w:r>
        <w:t xml:space="preserve">C HMQC</w:t>
      </w:r>
      <w:r>
        <w:t xml:space="preserve"> </w:t>
      </w:r>
      <w:r>
        <w:t xml:space="preserve">cross peak to a specific methyl in the protein structure — a laborious,</w:t>
      </w:r>
      <w:r>
        <w:t xml:space="preserve"> </w:t>
      </w:r>
      <w:r>
        <w:t xml:space="preserve">error-prone step widely regarded as the principal bottleneck of methyl NMR, which</w:t>
      </w:r>
      <w:r>
        <w:t xml:space="preserve"> </w:t>
      </w:r>
      <w:r>
        <w:t xml:space="preserve">has motivated a family of automated, structure-based methods that match an</w:t>
      </w:r>
      <w:r>
        <w:t xml:space="preserve"> </w:t>
      </w:r>
      <w:r>
        <w:t xml:space="preserve">experimental methyl–methyl NOE network onto the contact graph of a known</w:t>
      </w:r>
      <w:r>
        <w:t xml:space="preserve"> </w:t>
      </w:r>
      <w:r>
        <w:t xml:space="preserve">structure (reviewed in Pritišanac</w:t>
      </w:r>
      <w:r>
        <w:t xml:space="preserve"> </w:t>
      </w:r>
      <w:r>
        <w:rPr>
          <w:i/>
          <w:iCs/>
        </w:rPr>
        <w:t xml:space="preserve">et al.</w:t>
      </w:r>
      <w:r>
        <w:t xml:space="preserve">, 2020).</w:t>
      </w:r>
    </w:p>
    <w:p>
      <w:pPr>
        <w:pStyle w:val="BodyText"/>
      </w:pPr>
      <w:r>
        <w:t xml:space="preserve">These methods differ chiefly in how they treat residual ambiguity, and magicmaus</w:t>
      </w:r>
      <w:r>
        <w:t xml:space="preserve"> </w:t>
      </w:r>
      <w:r>
        <w:t xml:space="preserve">builds on one representative of each of two paradigms.</w:t>
      </w:r>
      <w:r>
        <w:t xml:space="preserve"> </w:t>
      </w:r>
      <w:r>
        <w:rPr>
          <w:b/>
          <w:bCs/>
        </w:rPr>
        <w:t xml:space="preserve">MAGIC</w:t>
      </w:r>
      <w:r>
        <w:t xml:space="preserve"> </w:t>
      </w:r>
      <w:r>
        <w:t xml:space="preserve">(Monneau</w:t>
      </w:r>
      <w:r>
        <w:t xml:space="preserve"> </w:t>
      </w:r>
      <w:r>
        <w:rPr>
          <w:i/>
          <w:iCs/>
        </w:rPr>
        <w:t xml:space="preserve">et</w:t>
      </w:r>
      <w:r>
        <w:rPr>
          <w:i/>
          <w:iCs/>
        </w:rPr>
        <w:t xml:space="preserve"> </w:t>
      </w:r>
      <w:r>
        <w:rPr>
          <w:i/>
          <w:iCs/>
        </w:rPr>
        <w:t xml:space="preserve">al.</w:t>
      </w:r>
      <w:r>
        <w:t xml:space="preserve">, 2017) scores a global peak→methyl map with a confidence-weighted NOE</w:t>
      </w:r>
      <w:r>
        <w:t xml:space="preserve"> </w:t>
      </w:r>
      <w:r>
        <w:t xml:space="preserve">objective and returns the highest scorer — a single answer per peak.</w:t>
      </w:r>
      <w:r>
        <w:t xml:space="preserve"> </w:t>
      </w:r>
      <w:r>
        <w:rPr>
          <w:b/>
          <w:bCs/>
        </w:rPr>
        <w:t xml:space="preserve">MAUS</w:t>
      </w:r>
      <w:r>
        <w:t xml:space="preserve"> </w:t>
      </w:r>
      <w:r>
        <w:t xml:space="preserve">(Nerli</w:t>
      </w:r>
      <w:r>
        <w:t xml:space="preserve"> </w:t>
      </w:r>
      <w:r>
        <w:rPr>
          <w:i/>
          <w:iCs/>
        </w:rPr>
        <w:t xml:space="preserve">et al.</w:t>
      </w:r>
      <w:r>
        <w:t xml:space="preserve">, 2021) — following the graph-matching formulation of MAGMA</w:t>
      </w:r>
      <w:r>
        <w:t xml:space="preserve"> </w:t>
      </w:r>
      <w:r>
        <w:t xml:space="preserve">(Pritišanac</w:t>
      </w:r>
      <w:r>
        <w:t xml:space="preserve"> </w:t>
      </w:r>
      <w:r>
        <w:rPr>
          <w:i/>
          <w:iCs/>
        </w:rPr>
        <w:t xml:space="preserve">et al.</w:t>
      </w:r>
      <w:r>
        <w:t xml:space="preserve">, 2017) but recast as Boolean satisfiability and solved with</w:t>
      </w:r>
      <w:r>
        <w:t xml:space="preserve"> </w:t>
      </w:r>
      <w:r>
        <w:t xml:space="preserve">a SAT solver — returns for each peak the</w:t>
      </w:r>
      <w:r>
        <w:t xml:space="preserve"> </w:t>
      </w:r>
      <w:r>
        <w:rPr>
          <w:i/>
          <w:iCs/>
        </w:rPr>
        <w:t xml:space="preserve">set</w:t>
      </w:r>
      <w:r>
        <w:t xml:space="preserve"> </w:t>
      </w:r>
      <w:r>
        <w:t xml:space="preserve">of methyls consistent with every</w:t>
      </w:r>
      <w:r>
        <w:t xml:space="preserve"> </w:t>
      </w:r>
      <w:r>
        <w:t xml:space="preserve">hard constraint, provably never excluding the correct assignment. Other tools</w:t>
      </w:r>
      <w:r>
        <w:t xml:space="preserve"> </w:t>
      </w:r>
      <w:r>
        <w:t xml:space="preserve">occupy intermediate points but demand richer experimental input; MethylFLYA</w:t>
      </w:r>
      <w:r>
        <w:t xml:space="preserve"> </w:t>
      </w:r>
      <w:r>
        <w:t xml:space="preserve">(Pritišanac</w:t>
      </w:r>
      <w:r>
        <w:t xml:space="preserve"> </w:t>
      </w:r>
      <w:r>
        <w:rPr>
          <w:i/>
          <w:iCs/>
        </w:rPr>
        <w:t xml:space="preserve">et al.</w:t>
      </w:r>
      <w:r>
        <w:t xml:space="preserve">, 2019), for instance, reaches ~1% error by consensus over</w:t>
      </w:r>
      <w:r>
        <w:t xml:space="preserve"> </w:t>
      </w:r>
      <w:r>
        <w:t xml:space="preserve">many statistical runs on multi-spectrum data.</w:t>
      </w:r>
    </w:p>
    <w:p>
      <w:pPr>
        <w:pStyle w:val="BodyText"/>
      </w:pPr>
      <w:r>
        <w:t xml:space="preserve">The two have complementary failure modes. MAUS is safe but indecisive: where the</w:t>
      </w:r>
      <w:r>
        <w:t xml:space="preserve"> </w:t>
      </w:r>
      <w:r>
        <w:t xml:space="preserve">data do not force a unique answer — geminal methyl pairs, shift-degenerate peaks —</w:t>
      </w:r>
      <w:r>
        <w:t xml:space="preserve"> </w:t>
      </w:r>
      <w:r>
        <w:t xml:space="preserve">it reports the full option set and commits to nothing. MAGIC is decisive but,</w:t>
      </w:r>
      <w:r>
        <w:t xml:space="preserve"> </w:t>
      </w:r>
      <w:r>
        <w:t xml:space="preserve">searching the entire type-matched candidate space, sits on an objective whose</w:t>
      </w:r>
      <w:r>
        <w:t xml:space="preserve"> </w:t>
      </w:r>
      <w:r>
        <w:t xml:space="preserve">runner-up assignments lie within ~1–2% of the true optimum on structure-derived</w:t>
      </w:r>
      <w:r>
        <w:t xml:space="preserve"> </w:t>
      </w:r>
      <w:r>
        <w:t xml:space="preserve">NOE data (Monneau</w:t>
      </w:r>
      <w:r>
        <w:t xml:space="preserve"> </w:t>
      </w:r>
      <w:r>
        <w:rPr>
          <w:i/>
          <w:iCs/>
        </w:rPr>
        <w:t xml:space="preserve">et al.</w:t>
      </w:r>
      <w:r>
        <w:t xml:space="preserve">, 2017), so its bounded search commits to</w:t>
      </w:r>
      <w:r>
        <w:t xml:space="preserve"> </w:t>
      </w:r>
      <w:r>
        <w:t xml:space="preserve">near-optimal-but-wrong answers for most peaks. Neither is dominant. We show that</w:t>
      </w:r>
      <w:r>
        <w:t xml:space="preserve"> </w:t>
      </w:r>
      <w:r>
        <w:t xml:space="preserve">the natural synthesis — bound the space with certainty, then score within the</w:t>
      </w:r>
      <w:r>
        <w:t xml:space="preserve"> </w:t>
      </w:r>
      <w:r>
        <w:t xml:space="preserve">residual degeneracy — is both simple and, where the bounds can be made tight,</w:t>
      </w:r>
      <w:r>
        <w:t xml:space="preserve"> </w:t>
      </w:r>
      <w:r>
        <w:t xml:space="preserve">decisively better than either parent.</w:t>
      </w:r>
    </w:p>
    <w:bookmarkEnd w:id="11"/>
    <w:bookmarkStart w:id="12" w:name="approach"/>
    <w:p>
      <w:pPr>
        <w:pStyle w:val="Heading2"/>
      </w:pPr>
      <w:r>
        <w:t xml:space="preserve">2 Approach</w:t>
      </w:r>
    </w:p>
    <w:p>
      <w:pPr>
        <w:pStyle w:val="FirstParagraph"/>
      </w:pPr>
      <w:r>
        <w:t xml:space="preserve">magicmaus runs the two layers in sequence (Fig. 1A). Its inputs are a 2D methyl</w:t>
      </w:r>
      <w:r>
        <w:t xml:space="preserve"> </w:t>
      </w:r>
      <w:r>
        <w:t xml:space="preserve">HMQC peak list, a 3D (H)CCH NOESY-HMQC list and an optional 3D HMBC-HMQC list</w:t>
      </w:r>
      <w:r>
        <w:t xml:space="preserve"> </w:t>
      </w:r>
      <w:r>
        <w:t xml:space="preserve">(both given as</w:t>
      </w:r>
      <w:r>
        <w:t xml:space="preserve"> </w:t>
      </w:r>
      <w:r>
        <w:rPr>
          <w:rStyle w:val="VerbatimChar"/>
        </w:rPr>
        <w:t xml:space="preserve">label C2 C1 H1</w:t>
      </w:r>
      <w:r>
        <w:t xml:space="preserve"> </w:t>
      </w:r>
      <w:r>
        <w:t xml:space="preserve">triples — the detected methyl at (C1, H1), the</w:t>
      </w:r>
      <w:r>
        <w:t xml:space="preserve"> </w:t>
      </w:r>
      <w:r>
        <w:t xml:space="preserve">partner methyl by carbon C2 only), and a structure in mmCIF or PDB; a homo-oligomer</w:t>
      </w:r>
      <w:r>
        <w:t xml:space="preserve"> </w:t>
      </w:r>
      <w:r>
        <w:t xml:space="preserve">is parsed with all chains retained as symmetry images of each methyl.</w:t>
      </w:r>
    </w:p>
    <w:p>
      <w:pPr>
        <w:pStyle w:val="BodyText"/>
      </w:pPr>
      <w:r>
        <w:rPr>
          <w:b/>
          <w:bCs/>
        </w:rPr>
        <w:t xml:space="preserve">Layer 1 (bound).</w:t>
      </w:r>
      <w:r>
        <w:t xml:space="preserve"> </w:t>
      </w:r>
      <w:r>
        <w:t xml:space="preserve">The MAUS SAT encoding maps each HMQC peak to a candidate</w:t>
      </w:r>
      <w:r>
        <w:t xml:space="preserve"> </w:t>
      </w:r>
      <w:r>
        <w:t xml:space="preserve">methyl of the matching residue type; hard clauses enforce exactly-one assignment</w:t>
      </w:r>
      <w:r>
        <w:t xml:space="preserve"> </w:t>
      </w:r>
      <w:r>
        <w:t xml:space="preserve">per peak, injectivity, and that every firm NOE cross peak lands on a structural</w:t>
      </w:r>
      <w:r>
        <w:t xml:space="preserve"> </w:t>
      </w:r>
      <w:r>
        <w:t xml:space="preserve">contact within the distance cutoff (an HMBC-HMQC geminal link, when supplied,</w:t>
      </w:r>
      <w:r>
        <w:t xml:space="preserve"> </w:t>
      </w:r>
      <w:r>
        <w:t xml:space="preserve">additionally ties the two linked peaks to the two geminal methyls of one residue).</w:t>
      </w:r>
      <w:r>
        <w:t xml:space="preserve"> </w:t>
      </w:r>
      <w:r>
        <w:t xml:space="preserve">For each peak the set of methyls appearing in at least one satisfying assignment is</w:t>
      </w:r>
      <w:r>
        <w:t xml:space="preserve"> </w:t>
      </w:r>
      <w:r>
        <w:t xml:space="preserve">enumerated with the solver’s assumption interface (Glucose, Audemard and Simon,</w:t>
      </w:r>
      <w:r>
        <w:t xml:space="preserve"> </w:t>
      </w:r>
      <w:r>
        <w:t xml:space="preserve">2009, via PySAT, Ignatiev</w:t>
      </w:r>
      <w:r>
        <w:t xml:space="preserve"> </w:t>
      </w:r>
      <w:r>
        <w:rPr>
          <w:i/>
          <w:iCs/>
        </w:rPr>
        <w:t xml:space="preserve">et al.</w:t>
      </w:r>
      <w:r>
        <w:t xml:space="preserve">, 2018), accelerated by a unit-propagation</w:t>
      </w:r>
      <w:r>
        <w:t xml:space="preserve"> </w:t>
      </w:r>
      <w:r>
        <w:t xml:space="preserve">pre-filter that discards candidates refuted without a full solve. Because the</w:t>
      </w:r>
      <w:r>
        <w:t xml:space="preserve"> </w:t>
      </w:r>
      <w:r>
        <w:t xml:space="preserve">correct global assignment is itself a model, the true methyl is present in every</w:t>
      </w:r>
      <w:r>
        <w:t xml:space="preserve"> </w:t>
      </w:r>
      <w:r>
        <w:t xml:space="preserve">peak’s option set — the</w:t>
      </w:r>
      <w:r>
        <w:t xml:space="preserve"> </w:t>
      </w:r>
      <w:r>
        <w:rPr>
          <w:i/>
          <w:iCs/>
        </w:rPr>
        <w:t xml:space="preserve">never-exclude</w:t>
      </w:r>
      <w:r>
        <w:t xml:space="preserve"> </w:t>
      </w:r>
      <w:r>
        <w:t xml:space="preserve">guarantee — and the option sets prune each</w:t>
      </w:r>
      <w:r>
        <w:t xml:space="preserve"> </w:t>
      </w:r>
      <w:r>
        <w:t xml:space="preserve">peak’s candidates from up to ~60 to typically 1–3. This is also why the tempting</w:t>
      </w:r>
      <w:r>
        <w:t xml:space="preserve"> </w:t>
      </w:r>
      <w:r>
        <w:t xml:space="preserve">shortcut of assigning a peak to the last unclaimed methyl of its type is unsound:</w:t>
      </w:r>
      <w:r>
        <w:t xml:space="preserve"> </w:t>
      </w:r>
      <w:r>
        <w:t xml:space="preserve">the structure routinely carries many more methyls of a type than are observed, so</w:t>
      </w:r>
      <w:r>
        <w:t xml:space="preserve"> </w:t>
      </w:r>
      <w:r>
        <w:t xml:space="preserve">an unclaimed methyl may simply be unobserved rather than the peak’s answer. Because</w:t>
      </w:r>
      <w:r>
        <w:t xml:space="preserve"> </w:t>
      </w:r>
      <w:r>
        <w:t xml:space="preserve">MAUS models a methyl as free to go unassigned, its enumeration performs every</w:t>
      </w:r>
      <w:r>
        <w:t xml:space="preserve"> </w:t>
      </w:r>
      <w:r>
        <w:t xml:space="preserve">elimination injectivity licenses — but no more — and thereby keeps the truth in the</w:t>
      </w:r>
      <w:r>
        <w:t xml:space="preserve"> </w:t>
      </w:r>
      <w:r>
        <w:t xml:space="preserve">set instead of forcing a wrong pin.</w:t>
      </w:r>
    </w:p>
    <w:p>
      <w:pPr>
        <w:pStyle w:val="BodyText"/>
      </w:pPr>
      <w:r>
        <w:rPr>
          <w:b/>
          <w:bCs/>
        </w:rPr>
        <w:t xml:space="preserve">Layer 2 (commit).</w:t>
      </w:r>
      <w:r>
        <w:t xml:space="preserve"> </w:t>
      </w:r>
      <w:r>
        <w:t xml:space="preserve">The per-peak option sets are enumerated</w:t>
      </w:r>
      <w:r>
        <w:t xml:space="preserve"> </w:t>
      </w:r>
      <w:r>
        <w:rPr>
          <w:i/>
          <w:iCs/>
        </w:rPr>
        <w:t xml:space="preserve">independently</w:t>
      </w:r>
      <w:r>
        <w:t xml:space="preserve">, so</w:t>
      </w:r>
      <w:r>
        <w:t xml:space="preserve"> </w:t>
      </w:r>
      <w:r>
        <w:t xml:space="preserve">their product is not jointly realizable and does not identify a single best map.</w:t>
      </w:r>
      <w:r>
        <w:t xml:space="preserve"> </w:t>
      </w:r>
      <w:r>
        <w:t xml:space="preserve">That is the question a score answers. Restricting every peak’s domain to its option</w:t>
      </w:r>
      <w:r>
        <w:t xml:space="preserve"> </w:t>
      </w:r>
      <w:r>
        <w:t xml:space="preserve">set — which removes only methyls appearing in no satisfying map, preserving the</w:t>
      </w:r>
      <w:r>
        <w:t xml:space="preserve"> </w:t>
      </w:r>
      <w:r>
        <w:t xml:space="preserve">solution space and the truth — magicmaus maximises a MAGIC-style objective over the</w:t>
      </w:r>
      <w:r>
        <w:t xml:space="preserve"> </w:t>
      </w:r>
      <w:r>
        <w:t xml:space="preserve">pruned domains: each firm NOE contributes intensity·(1/r</w:t>
      </w:r>
      <w:r>
        <w:rPr>
          <w:vertAlign w:val="superscript"/>
        </w:rPr>
        <w:t xml:space="preserve">6</w:t>
      </w:r>
      <w:r>
        <w:t xml:space="preserve">) for the structural</w:t>
      </w:r>
      <w:r>
        <w:t xml:space="preserve"> </w:t>
      </w:r>
      <w:r>
        <w:t xml:space="preserve">contact it is placed on, so a strong NOE is driven onto a close contact, and the</w:t>
      </w:r>
      <w:r>
        <w:t xml:space="preserve"> </w:t>
      </w:r>
      <w:r>
        <w:t xml:space="preserve">score is maximised over injective, NOE-consistent assignments. On a network</w:t>
      </w:r>
      <w:r>
        <w:t xml:space="preserve"> </w:t>
      </w:r>
      <w:r>
        <w:t xml:space="preserve">simulated from the true structure this objective’s global optimum is the truth (a</w:t>
      </w:r>
      <w:r>
        <w:t xml:space="preserve"> </w:t>
      </w:r>
      <w:r>
        <w:t xml:space="preserve">truth-seeded ascent stays there), but the truth is a strong yet</w:t>
      </w:r>
      <w:r>
        <w:t xml:space="preserve"> </w:t>
      </w:r>
      <w:r>
        <w:rPr>
          <w:i/>
          <w:iCs/>
        </w:rPr>
        <w:t xml:space="preserve">narrow</w:t>
      </w:r>
      <w:r>
        <w:t xml:space="preserve"> </w:t>
      </w:r>
      <w:r>
        <w:t xml:space="preserve">optimum in</w:t>
      </w:r>
      <w:r>
        <w:t xml:space="preserve"> </w:t>
      </w:r>
      <w:r>
        <w:t xml:space="preserve">a rugged landscape: a single feasible seed’s greedy ascent — and, we found,</w:t>
      </w:r>
      <w:r>
        <w:t xml:space="preserve"> </w:t>
      </w:r>
      <w:r>
        <w:t xml:space="preserve">simulated annealing from one seed — settles 10–20% below it, trapped because the</w:t>
      </w:r>
      <w:r>
        <w:t xml:space="preserve"> </w:t>
      </w:r>
      <w:r>
        <w:t xml:space="preserve">hard NOE constraints block the moves that reach it. magicmaus instead runs a</w:t>
      </w:r>
      <w:r>
        <w:t xml:space="preserve"> </w:t>
      </w:r>
      <w:r>
        <w:rPr>
          <w:b/>
          <w:bCs/>
        </w:rPr>
        <w:t xml:space="preserve">diverse-seed multistart</w:t>
      </w:r>
      <w:r>
        <w:t xml:space="preserve">. Many independent feasible seeds are drawn by</w:t>
      </w:r>
      <w:r>
        <w:t xml:space="preserve"> </w:t>
      </w:r>
      <w:r>
        <w:t xml:space="preserve">re-solving the option-set SAT with randomised variable phases; each is polished by</w:t>
      </w:r>
      <w:r>
        <w:t xml:space="preserve"> </w:t>
      </w:r>
      <w:r>
        <w:t xml:space="preserve">a feasibility-preserving greedy ascent (relocate and swap moves that keep the map</w:t>
      </w:r>
      <w:r>
        <w:t xml:space="preserve"> </w:t>
      </w:r>
      <w:r>
        <w:t xml:space="preserve">injective and every firm NOE on a contact); and the highest-objective assignment</w:t>
      </w:r>
      <w:r>
        <w:t xml:space="preserve"> </w:t>
      </w:r>
      <w:r>
        <w:t xml:space="preserve">over all restarts is committed. Because Layer 1’s pruning collapses each peak’s</w:t>
      </w:r>
      <w:r>
        <w:t xml:space="preserve"> </w:t>
      </w:r>
      <w:r>
        <w:t xml:space="preserve">domain to 1–3 candidates, a few dozen diverse restarts reach the objective’s</w:t>
      </w:r>
      <w:r>
        <w:t xml:space="preserve"> </w:t>
      </w:r>
      <w:r>
        <w:t xml:space="preserve">optimum inside the truth-containing space — the decisive difference from MAGIC,</w:t>
      </w:r>
      <w:r>
        <w:t xml:space="preserve"> </w:t>
      </w:r>
      <w:r>
        <w:t xml:space="preserve">whose un-pruned domains leave astronomically many near-flat basins the same</w:t>
      </w:r>
      <w:r>
        <w:t xml:space="preserve"> </w:t>
      </w:r>
      <w:r>
        <w:t xml:space="preserve">multistart cannot escape. The whole pipeline completes in seconds for 192 methyls.</w:t>
      </w:r>
    </w:p>
    <w:p>
      <w:pPr>
        <w:pStyle w:val="BodyText"/>
      </w:pPr>
      <w:r>
        <w:t xml:space="preserve">We report accuracy</w:t>
      </w:r>
      <w:r>
        <w:t xml:space="preserve"> </w:t>
      </w:r>
      <w:r>
        <w:rPr>
          <w:b/>
          <w:bCs/>
        </w:rPr>
        <w:t xml:space="preserve">residue-wise</w:t>
      </w:r>
      <w:r>
        <w:t xml:space="preserve">: a committed call is correct if it names the</w:t>
      </w:r>
      <w:r>
        <w:t xml:space="preserve"> </w:t>
      </w:r>
      <w:r>
        <w:t xml:space="preserve">right residue, independent of which of the two prochiral methyls (Leu δ1/δ2, Val</w:t>
      </w:r>
      <w:r>
        <w:t xml:space="preserve"> </w:t>
      </w:r>
      <w:r>
        <w:t xml:space="preserve">γ1/γ2) it assigns. The geminal orientation is a near-symmetric coin flip an achiral</w:t>
      </w:r>
      <w:r>
        <w:t xml:space="preserve"> </w:t>
      </w:r>
      <w:r>
        <w:t xml:space="preserve">NOE network cannot settle for pairs whose two methyls make similar contacts, and</w:t>
      </w:r>
      <w:r>
        <w:t xml:space="preserve"> </w:t>
      </w:r>
      <w:r>
        <w:t xml:space="preserve">the residue — not the individual methyl — is the assignment problem’s hard part and</w:t>
      </w:r>
      <w:r>
        <w:t xml:space="preserve"> </w:t>
      </w:r>
      <w:r>
        <w:t xml:space="preserve">the unit that downstream analysis consumes. We additionally report methyl-level</w:t>
      </w:r>
      <w:r>
        <w:t xml:space="preserve"> </w:t>
      </w:r>
      <w:r>
        <w:t xml:space="preserve">(atom-exact) accuracy to expose the residual geminal swaps (Table 3).</w:t>
      </w:r>
    </w:p>
    <w:p>
      <w:pPr>
        <w:pStyle w:val="BodyText"/>
      </w:pPr>
      <w:r>
        <w:t xml:space="preserve">Each peak is reported three ways (Fig. 1A): the committed single call; its MAUS</w:t>
      </w:r>
      <w:r>
        <w:t xml:space="preserve"> </w:t>
      </w:r>
      <w:r>
        <w:t xml:space="preserve">option set, retained as an explicit ambiguity envelope; and a confidence tier from</w:t>
      </w:r>
      <w:r>
        <w:t xml:space="preserve"> </w:t>
      </w:r>
      <w:r>
        <w:t xml:space="preserve">the local scoring margin —</w:t>
      </w:r>
      <w:r>
        <w:t xml:space="preserve"> </w:t>
      </w:r>
      <w:r>
        <w:rPr>
          <w:b/>
          <w:bCs/>
        </w:rPr>
        <w:t xml:space="preserve">unique</w:t>
      </w:r>
      <w:r>
        <w:t xml:space="preserve"> </w:t>
      </w:r>
      <w:r>
        <w:t xml:space="preserve">(forced by hard constraints),</w:t>
      </w:r>
      <w:r>
        <w:t xml:space="preserve"> </w:t>
      </w:r>
      <w:r>
        <w:rPr>
          <w:b/>
          <w:bCs/>
        </w:rPr>
        <w:t xml:space="preserve">scored</w:t>
      </w:r>
      <w:r>
        <w:t xml:space="preserve"> </w:t>
      </w:r>
      <w:r>
        <w:t xml:space="preserve">(resolved by the NOE score), or</w:t>
      </w:r>
      <w:r>
        <w:t xml:space="preserve"> </w:t>
      </w:r>
      <w:r>
        <w:rPr>
          <w:b/>
          <w:bCs/>
        </w:rPr>
        <w:t xml:space="preserve">ambiguous</w:t>
      </w:r>
      <w:r>
        <w:t xml:space="preserve"> </w:t>
      </w:r>
      <w:r>
        <w:t xml:space="preserve">(a tied alternative exists, i.e. a</w:t>
      </w:r>
      <w:r>
        <w:t xml:space="preserve"> </w:t>
      </w:r>
      <w:r>
        <w:t xml:space="preserve">genuine symmetry). Optionally, the ambiguous NOE cross peaks Layer 1 discards are</w:t>
      </w:r>
      <w:r>
        <w:t xml:space="preserve"> </w:t>
      </w:r>
      <w:r>
        <w:t xml:space="preserve">folded back in as diluted, intensity-weighted soft evidence (</w:t>
      </w:r>
      <w:r>
        <w:rPr>
          <w:rStyle w:val="VerbatimChar"/>
        </w:rPr>
        <w:t xml:space="preserve">--soft-ambiguous</w:t>
      </w:r>
      <w:r>
        <w:t xml:space="preserve">).</w:t>
      </w:r>
    </w:p>
    <w:bookmarkEnd w:id="12"/>
    <w:bookmarkStart w:id="13" w:name="results"/>
    <w:p>
      <w:pPr>
        <w:pStyle w:val="Heading2"/>
      </w:pPr>
      <w:r>
        <w:t xml:space="preserve">3 Results</w:t>
      </w:r>
    </w:p>
    <w:p>
      <w:pPr>
        <w:pStyle w:val="FirstParagraph"/>
      </w:pPr>
      <w:r>
        <w:rPr>
          <w:b/>
          <w:bCs/>
        </w:rPr>
        <w:t xml:space="preserve">Benchmark construction.</w:t>
      </w:r>
      <w:r>
        <w:t xml:space="preserve"> </w:t>
      </w:r>
      <w:r>
        <w:t xml:space="preserve">For the seven simulated targets, all inputs are built</w:t>
      </w:r>
      <w:r>
        <w:t xml:space="preserve"> </w:t>
      </w:r>
      <w:r>
        <w:t xml:space="preserve">from a PDB (or mmCIF) structure and the matching BMRB chemical-shift deposition:</w:t>
      </w:r>
      <w:r>
        <w:t xml:space="preserve"> </w:t>
      </w:r>
      <w:r>
        <w:t xml:space="preserve">methyl carbon shifts are the deposited carbon values, methyl proton shifts the mean</w:t>
      </w:r>
      <w:r>
        <w:t xml:space="preserve"> </w:t>
      </w:r>
      <w:r>
        <w:t xml:space="preserve">of the three methyl protons. To model realistic measurement scatter, each methyl’s</w:t>
      </w:r>
      <w:r>
        <w:t xml:space="preserve"> </w:t>
      </w:r>
      <w:r>
        <w:t xml:space="preserve">shift is drawn once from a normal distribution about its deposited value —</w:t>
      </w:r>
      <w:r>
        <w:t xml:space="preserve"> </w:t>
      </w:r>
      <w:r>
        <w:t xml:space="preserve">σ = 0.02 ppm for</w:t>
      </w:r>
      <w:r>
        <w:t xml:space="preserve"> </w:t>
      </w:r>
      <w:r>
        <w:rPr>
          <w:vertAlign w:val="superscript"/>
        </w:rPr>
        <w:t xml:space="preserve">1</w:t>
      </w:r>
      <w:r>
        <w:t xml:space="preserve">H and 0.10 ppm for</w:t>
      </w:r>
      <w:r>
        <w:t xml:space="preserve"> </w:t>
      </w:r>
      <w:r>
        <w:rPr>
          <w:vertAlign w:val="superscript"/>
        </w:rPr>
        <w:t xml:space="preserve">13</w:t>
      </w:r>
      <w:r>
        <w:t xml:space="preserve">C — and this one measured shift is used</w:t>
      </w:r>
      <w:r>
        <w:t xml:space="preserve"> </w:t>
      </w:r>
      <w:r>
        <w:t xml:space="preserve">consistently across all experiments, so the frequency degeneracy that drives</w:t>
      </w:r>
      <w:r>
        <w:t xml:space="preserve"> </w:t>
      </w:r>
      <w:r>
        <w:t xml:space="preserve">assignment ambiguity is realistic. Each observed methyl becomes an anonymous HMQC</w:t>
      </w:r>
      <w:r>
        <w:t xml:space="preserve"> </w:t>
      </w:r>
      <w:r>
        <w:t xml:space="preserve">peak (P1…Pn) whose structural identity is written only to a separate truth key.</w:t>
      </w:r>
      <w:r>
        <w:t xml:space="preserve"> </w:t>
      </w:r>
      <w:r>
        <w:t xml:space="preserve">Because BMRB deposits no NOESY, a methyl–methyl (H)CCH NOESY network (Rossi</w:t>
      </w:r>
      <w:r>
        <w:t xml:space="preserve"> </w:t>
      </w:r>
      <w:r>
        <w:rPr>
          <w:i/>
          <w:iCs/>
        </w:rPr>
        <w:t xml:space="preserve">et</w:t>
      </w:r>
      <w:r>
        <w:rPr>
          <w:i/>
          <w:iCs/>
        </w:rPr>
        <w:t xml:space="preserve"> </w:t>
      </w:r>
      <w:r>
        <w:rPr>
          <w:i/>
          <w:iCs/>
        </w:rPr>
        <w:t xml:space="preserve">al.</w:t>
      </w:r>
      <w:r>
        <w:t xml:space="preserve">, 2016; Wen</w:t>
      </w:r>
      <w:r>
        <w:t xml:space="preserve"> </w:t>
      </w:r>
      <w:r>
        <w:rPr>
          <w:i/>
          <w:iCs/>
        </w:rPr>
        <w:t xml:space="preserve">et al.</w:t>
      </w:r>
      <w:r>
        <w:t xml:space="preserve">, 2012) is simulated from the structure (a cross peak for</w:t>
      </w:r>
      <w:r>
        <w:t xml:space="preserve"> </w:t>
      </w:r>
      <w:r>
        <w:t xml:space="preserve">every methyl pair within 8 Å, both directions) with 1/r</w:t>
      </w:r>
      <w:r>
        <w:rPr>
          <w:vertAlign w:val="superscript"/>
        </w:rPr>
        <w:t xml:space="preserve">6</w:t>
      </w:r>
      <w:r>
        <w:t xml:space="preserve"> </w:t>
      </w:r>
      <w:r>
        <w:t xml:space="preserve">intensities; the</w:t>
      </w:r>
      <w:r>
        <w:t xml:space="preserve"> </w:t>
      </w:r>
      <w:r>
        <w:t xml:space="preserve">identical network is supplied to all three engines. We benchmark seven targets:</w:t>
      </w:r>
      <w:r>
        <w:t xml:space="preserve"> </w:t>
      </w:r>
      <w:r>
        <w:t xml:space="preserve">ubiquitin (BMRB 6457, PDB 1UBQ),</w:t>
      </w:r>
      <w:r>
        <w:t xml:space="preserve"> </w:t>
      </w:r>
      <w:r>
        <w:rPr>
          <w:i/>
          <w:iCs/>
        </w:rPr>
        <w:t xml:space="preserve">E. coli</w:t>
      </w:r>
      <w:r>
        <w:t xml:space="preserve"> </w:t>
      </w:r>
      <w:r>
        <w:t xml:space="preserve">maltose-binding protein (MBP; BMRB 7114,</w:t>
      </w:r>
      <w:r>
        <w:t xml:space="preserve"> </w:t>
      </w:r>
      <w:r>
        <w:t xml:space="preserve">PDB 1ANF; 192 methyls), the four de-novo blind targets of the MAUS study — IL-2 and</w:t>
      </w:r>
      <w:r>
        <w:t xml:space="preserve"> </w:t>
      </w:r>
      <w:r>
        <w:t xml:space="preserve">the HNH, REC2 and REC3 domains of</w:t>
      </w:r>
      <w:r>
        <w:t xml:space="preserve"> </w:t>
      </w:r>
      <w:r>
        <w:rPr>
          <w:i/>
          <w:iCs/>
        </w:rPr>
        <w:t xml:space="preserve">S. pyogenes</w:t>
      </w:r>
      <w:r>
        <w:t xml:space="preserve"> </w:t>
      </w:r>
      <w:r>
        <w:t xml:space="preserve">Cas9 — and malate synthase G (MSG;</w:t>
      </w:r>
      <w:r>
        <w:t xml:space="preserve"> </w:t>
      </w:r>
      <w:r>
        <w:t xml:space="preserve">PDB 1D8C; 257 methyls, the classic large-protein methyl benchmark), spanning 43–257</w:t>
      </w:r>
      <w:r>
        <w:t xml:space="preserve"> </w:t>
      </w:r>
      <w:r>
        <w:t xml:space="preserve">observed methyls (Table 1). To test the method on genuine spectra we add one</w:t>
      </w:r>
      <w:r>
        <w:t xml:space="preserve"> </w:t>
      </w:r>
      <w:r>
        <w:t xml:space="preserve">real-experimental target: measured AILTV methyl HMQC, 3D (H)CCH NOESY-HMQC and</w:t>
      </w:r>
      <w:r>
        <w:t xml:space="preserve"> </w:t>
      </w:r>
      <w:r>
        <w:t xml:space="preserve">HMBC-HMQC peak lists of the tumour-necrosis-factor-α homotrimer (85 assigned</w:t>
      </w:r>
      <w:r>
        <w:t xml:space="preserve"> </w:t>
      </w:r>
      <w:r>
        <w:t xml:space="preserve">methyls), scored against an AlphaFold3 model of the trimer. This is also our only</w:t>
      </w:r>
      <w:r>
        <w:t xml:space="preserve"> </w:t>
      </w:r>
      <w:r>
        <w:t xml:space="preserve">multimer; because the three protomers are magnetically equivalent, each residue</w:t>
      </w:r>
      <w:r>
        <w:t xml:space="preserve"> </w:t>
      </w:r>
      <w:r>
        <w:t xml:space="preserve">gives one HMQC peak whose NOE partners may lie in the same or a neighbouring</w:t>
      </w:r>
      <w:r>
        <w:t xml:space="preserve"> </w:t>
      </w:r>
      <w:r>
        <w:t xml:space="preserve">subunit, so the structure is parsed with all three chains retained as symmetry</w:t>
      </w:r>
      <w:r>
        <w:t xml:space="preserve"> </w:t>
      </w:r>
      <w:r>
        <w:t xml:space="preserve">images and every contact scored by the minimum distance over subunit pairs.</w:t>
      </w:r>
    </w:p>
    <w:p>
      <w:pPr>
        <w:pStyle w:val="BodyText"/>
      </w:pPr>
      <w:r>
        <w:rPr>
          <w:b/>
          <w:bCs/>
        </w:rPr>
        <w:t xml:space="preserve">The three engines, residue-wise (Table 1).</w:t>
      </w:r>
      <w:r>
        <w:t xml:space="preserve"> </w:t>
      </w:r>
      <w:r>
        <w:t xml:space="preserve">MAGIC, scoring over the full</w:t>
      </w:r>
      <w:r>
        <w:t xml:space="preserve"> </w:t>
      </w:r>
      <w:r>
        <w:t xml:space="preserve">type-matched space, assigned 0–79% of peaks to the correct residue: it does well</w:t>
      </w:r>
      <w:r>
        <w:t xml:space="preserve"> </w:t>
      </w:r>
      <w:r>
        <w:t xml:space="preserve">where the space is small and the intensities clean (ubiquitin 79.1%) but collapses</w:t>
      </w:r>
      <w:r>
        <w:t xml:space="preserve"> </w:t>
      </w:r>
      <w:r>
        <w:t xml:space="preserve">as the space grows and the network sparsens (REC2 1.6%, REC3 0.0%), the near-flat</w:t>
      </w:r>
      <w:r>
        <w:t xml:space="preserve"> </w:t>
      </w:r>
      <w:r>
        <w:t xml:space="preserve">full-space landscape leaving its multistart in a wrong basin. MAUS, forced to</w:t>
      </w:r>
      <w:r>
        <w:t xml:space="preserve"> </w:t>
      </w:r>
      <w:r>
        <w:t xml:space="preserve">commit a single residue where its option set does not pin one (it cannot rank</w:t>
      </w:r>
      <w:r>
        <w:t xml:space="preserve"> </w:t>
      </w:r>
      <w:r>
        <w:t xml:space="preserve">within a set), reached 2.3–84.2%; its envelope held the truth for 100% of peaks on</w:t>
      </w:r>
      <w:r>
        <w:t xml:space="preserve"> </w:t>
      </w:r>
      <w:r>
        <w:t xml:space="preserve">every simulated target. magicmaus committed a single answer for every peak while</w:t>
      </w:r>
      <w:r>
        <w:t xml:space="preserve"> </w:t>
      </w:r>
      <w:r>
        <w:t xml:space="preserve">preserving that</w:t>
      </w:r>
      <w:r>
        <w:t xml:space="preserve"> </w:t>
      </w:r>
      <w:r>
        <w:rPr>
          <w:b/>
          <w:bCs/>
        </w:rPr>
        <w:t xml:space="preserve">100%</w:t>
      </w:r>
      <w:r>
        <w:t xml:space="preserve"> </w:t>
      </w:r>
      <w:r>
        <w:t xml:space="preserve">envelope, and was the most accurate of the three on every</w:t>
      </w:r>
      <w:r>
        <w:t xml:space="preserve"> </w:t>
      </w:r>
      <w:r>
        <w:t xml:space="preserve">target whose bounds it could enumerate tightly:</w:t>
      </w:r>
      <w:r>
        <w:t xml:space="preserve"> </w:t>
      </w:r>
      <w:r>
        <w:rPr>
          <w:b/>
          <w:bCs/>
        </w:rPr>
        <w:t xml:space="preserve">56.5–100%</w:t>
      </w:r>
      <w:r>
        <w:t xml:space="preserve"> </w:t>
      </w:r>
      <w:r>
        <w:t xml:space="preserve">residue-wise, a</w:t>
      </w:r>
      <w:r>
        <w:t xml:space="preserve"> </w:t>
      </w:r>
      <w:r>
        <w:t xml:space="preserve">perfect 43/43 on ubiquitin and</w:t>
      </w:r>
      <w:r>
        <w:t xml:space="preserve"> </w:t>
      </w:r>
      <w:r>
        <w:rPr>
          <w:b/>
          <w:bCs/>
        </w:rPr>
        <w:t xml:space="preserve">60.9%</w:t>
      </w:r>
      <w:r>
        <w:t xml:space="preserve"> </w:t>
      </w:r>
      <w:r>
        <w:t xml:space="preserve">on MBP — beating full-space scoring on</w:t>
      </w:r>
      <w:r>
        <w:t xml:space="preserve"> </w:t>
      </w:r>
      <w:r>
        <w:t xml:space="preserve">seven of eight targets and the constraint-forced baseline on all eight. This comes</w:t>
      </w:r>
      <w:r>
        <w:t xml:space="preserve"> </w:t>
      </w:r>
      <w:r>
        <w:t xml:space="preserve">from the multistart search: on a simulated intensity network built from the true</w:t>
      </w:r>
      <w:r>
        <w:t xml:space="preserve"> </w:t>
      </w:r>
      <w:r>
        <w:t xml:space="preserve">structure the NOE objective’s global optimum is the truth (a truth-seeded ascent</w:t>
      </w:r>
      <w:r>
        <w:t xml:space="preserve"> </w:t>
      </w:r>
      <w:r>
        <w:t xml:space="preserve">scores ~100% on ubiquitin), and the diverse-seed multistart reaches it inside the</w:t>
      </w:r>
      <w:r>
        <w:t xml:space="preserve"> </w:t>
      </w:r>
      <w:r>
        <w:t xml:space="preserve">pruned space where a single-seed ascent or annealer stalls 10–20% short. The</w:t>
      </w:r>
      <w:r>
        <w:t xml:space="preserve"> </w:t>
      </w:r>
      <w:r>
        <w:t xml:space="preserve">optional soft-ambiguous evidence is a genuine but two-sided lever: it helps where</w:t>
      </w:r>
      <w:r>
        <w:t xml:space="preserve"> </w:t>
      </w:r>
      <w:r>
        <w:t xml:space="preserve">the discarded NOEs carry residue information (IL-2 64.4→86.4, HNH 86.0→93.0, MBP</w:t>
      </w:r>
      <w:r>
        <w:t xml:space="preserve"> </w:t>
      </w:r>
      <w:r>
        <w:t xml:space="preserve">60.9→64.6) and hurts where they mostly add noise (REC2 71.4→58.7, REC3 56.5→51.8,</w:t>
      </w:r>
      <w:r>
        <w:t xml:space="preserve"> </w:t>
      </w:r>
      <w:r>
        <w:t xml:space="preserve">TNF-α 30.6→28.2), so it is offered as an option, not a default, and the tables</w:t>
      </w:r>
      <w:r>
        <w:t xml:space="preserve"> </w:t>
      </w:r>
      <w:r>
        <w:t xml:space="preserve">below report the base configuration.</w:t>
      </w:r>
    </w:p>
    <w:p>
      <w:pPr>
        <w:pStyle w:val="BodyText"/>
      </w:pPr>
      <w:r>
        <w:rPr>
          <w:b/>
          <w:bCs/>
        </w:rPr>
        <w:t xml:space="preserve">The scale limit (MSG).</w:t>
      </w:r>
      <w:r>
        <w:t xml:space="preserve"> </w:t>
      </w:r>
      <w:r>
        <w:t xml:space="preserve">MSG is reported honestly as the point where the method’s</w:t>
      </w:r>
      <w:r>
        <w:t xml:space="preserve"> </w:t>
      </w:r>
      <w:r>
        <w:t xml:space="preserve">bounding step becomes impractical. Its Leu/Val domains are 138 methyls wide and the</w:t>
      </w:r>
      <w:r>
        <w:t xml:space="preserve"> </w:t>
      </w:r>
      <w:r>
        <w:t xml:space="preserve">simulated (H)CCH network resolves only ~85 cross peaks to a firm constraint, so</w:t>
      </w:r>
      <w:r>
        <w:t xml:space="preserve"> </w:t>
      </w:r>
      <w:r>
        <w:t xml:space="preserve">(i) the exact per-candidate option enumeration does not finish within a 20-min</w:t>
      </w:r>
      <w:r>
        <w:t xml:space="preserve"> </w:t>
      </w:r>
      <w:r>
        <w:t xml:space="preserve">budget even with the propagation pre-filter, and (ii) the tractable fall-back —</w:t>
      </w:r>
      <w:r>
        <w:t xml:space="preserve"> </w:t>
      </w:r>
      <w:r>
        <w:t xml:space="preserve">scoring over the arc-consistency-pruned domains, which stay wide — leaves the bounds</w:t>
      </w:r>
      <w:r>
        <w:t xml:space="preserve"> </w:t>
      </w:r>
      <w:r>
        <w:t xml:space="preserve">too loose and the network too sparse for the scoring layer to disambiguate:</w:t>
      </w:r>
      <w:r>
        <w:t xml:space="preserve"> </w:t>
      </w:r>
      <w:r>
        <w:t xml:space="preserve">magicmaus commits 14.8%,</w:t>
      </w:r>
      <w:r>
        <w:t xml:space="preserve"> </w:t>
      </w:r>
      <w:r>
        <w:rPr>
          <w:i/>
          <w:iCs/>
        </w:rPr>
        <w:t xml:space="preserve">below</w:t>
      </w:r>
      <w:r>
        <w:t xml:space="preserve"> </w:t>
      </w:r>
      <w:r>
        <w:t xml:space="preserve">full-space MAGIC’s 30.0%, though still under the</w:t>
      </w:r>
      <w:r>
        <w:t xml:space="preserve"> </w:t>
      </w:r>
      <w:r>
        <w:t xml:space="preserve">100% envelope. MSG thus delimits where the synthesis pays off: magicmaus’s advantage</w:t>
      </w:r>
      <w:r>
        <w:t xml:space="preserve"> </w:t>
      </w:r>
      <w:r>
        <w:t xml:space="preserve">requires either tractable tight bounds or a dense-enough NOE network, and MSG at</w:t>
      </w:r>
      <w:r>
        <w:t xml:space="preserve"> </w:t>
      </w:r>
      <w:r>
        <w:t xml:space="preserve">this scale offers neither. This is a property of the method, not a defect of the</w:t>
      </w:r>
      <w:r>
        <w:t xml:space="preserve"> </w:t>
      </w:r>
      <w:r>
        <w:t xml:space="preserve">implementation, and we state it rather than omit the target.</w:t>
      </w:r>
    </w:p>
    <w:p>
      <w:pPr>
        <w:pStyle w:val="BodyText"/>
      </w:pPr>
      <w:r>
        <w:rPr>
          <w:b/>
          <w:bCs/>
        </w:rPr>
        <w:t xml:space="preserve">Residue type shapes difficulty (Table 2).</w:t>
      </w:r>
      <w:r>
        <w:t xml:space="preserve"> </w:t>
      </w:r>
      <w:r>
        <w:t xml:space="preserve">The labeling scheme shapes the problem</w:t>
      </w:r>
      <w:r>
        <w:t xml:space="preserve"> </w:t>
      </w:r>
      <w:r>
        <w:t xml:space="preserve">in two ways the type-resolved accuracy makes explicit. First, the number of labeled</w:t>
      </w:r>
      <w:r>
        <w:t xml:space="preserve"> </w:t>
      </w:r>
      <w:r>
        <w:t xml:space="preserve">types sets the granularity of the candidate partition: a peak competes only against</w:t>
      </w:r>
      <w:r>
        <w:t xml:space="preserve"> </w:t>
      </w:r>
      <w:r>
        <w:t xml:space="preserve">methyls of its own residue type, so the two AILMTV targets (ubiquitin, MBP) spread</w:t>
      </w:r>
      <w:r>
        <w:t xml:space="preserve"> </w:t>
      </w:r>
      <w:r>
        <w:t xml:space="preserve">their peaks over six types while a three-type ILV set concentrates competition.</w:t>
      </w:r>
      <w:r>
        <w:t xml:space="preserve"> </w:t>
      </w:r>
      <w:r>
        <w:t xml:space="preserve">Second, labeling sets the irreducible geminal load: Leu and Val carry prochiral</w:t>
      </w:r>
      <w:r>
        <w:t xml:space="preserve"> </w:t>
      </w:r>
      <w:r>
        <w:t xml:space="preserve">methyl pairs, whereas Ile contributes a single δ1 methyl. Ile is accordingly the</w:t>
      </w:r>
      <w:r>
        <w:t xml:space="preserve"> </w:t>
      </w:r>
      <w:r>
        <w:t xml:space="preserve">most reliably assigned type — 100% on four targets and 73–89% on the mid-size ones —</w:t>
      </w:r>
      <w:r>
        <w:t xml:space="preserve"> </w:t>
      </w:r>
      <w:r>
        <w:t xml:space="preserve">because it is single-methyl and, being typically buried, NOE-rich; Leu and Val are</w:t>
      </w:r>
      <w:r>
        <w:t xml:space="preserve"> </w:t>
      </w:r>
      <w:r>
        <w:t xml:space="preserve">the bottleneck, at 100% only where the network is dense (ubiquitin) and falling to</w:t>
      </w:r>
      <w:r>
        <w:t xml:space="preserve"> </w:t>
      </w:r>
      <w:r>
        <w:t xml:space="preserve">~30–70% on the sparser REC3/MBP networks. Being single-methyl is necessary but not</w:t>
      </w:r>
      <w:r>
        <w:t xml:space="preserve"> </w:t>
      </w:r>
      <w:r>
        <w:t xml:space="preserve">sufficient: on MBP, Ala Cβ (43%) and Thr Cγ2 (60%) are among the least accurate</w:t>
      </w:r>
      <w:r>
        <w:t xml:space="preserve"> </w:t>
      </w:r>
      <w:r>
        <w:t xml:space="preserve">types despite no prochiral degeneracy, because these often surface-exposed methyls</w:t>
      </w:r>
      <w:r>
        <w:t xml:space="preserve"> </w:t>
      </w:r>
      <w:r>
        <w:t xml:space="preserve">simply make too few NOEs to be pinned — whereas Ile on the same protein reaches 73%.</w:t>
      </w:r>
      <w:r>
        <w:t xml:space="preserve"> </w:t>
      </w:r>
      <w:r>
        <w:t xml:space="preserve">Difficulty is therefore the interaction of labeling with NOE information content,</w:t>
      </w:r>
      <w:r>
        <w:t xml:space="preserve"> </w:t>
      </w:r>
      <w:r>
        <w:t xml:space="preserve">not labeling alone.</w:t>
      </w:r>
    </w:p>
    <w:p>
      <w:pPr>
        <w:pStyle w:val="BodyText"/>
      </w:pPr>
      <w:r>
        <w:rPr>
          <w:b/>
          <w:bCs/>
        </w:rPr>
        <w:t xml:space="preserve">The residual error is a geminal swap (Table 3).</w:t>
      </w:r>
      <w:r>
        <w:t xml:space="preserve"> </w:t>
      </w:r>
      <w:r>
        <w:t xml:space="preserve">Resolving accuracy to the</w:t>
      </w:r>
      <w:r>
        <w:t xml:space="preserve"> </w:t>
      </w:r>
      <w:r>
        <w:t xml:space="preserve">individual prochiral methyl confirms that the residue-vs-methyl gap for Leu/Val is a</w:t>
      </w:r>
      <w:r>
        <w:t xml:space="preserve"> </w:t>
      </w:r>
      <w:r>
        <w:t xml:space="preserve">geminal swap, not random misassignment: on nearly every target the two members of</w:t>
      </w:r>
      <w:r>
        <w:t xml:space="preserve"> </w:t>
      </w:r>
      <w:r>
        <w:t xml:space="preserve">each pair degrade in near-lockstep — REC2 Leu δ1/δ2 at 58%/62%, REC3 at 48%/44%, HNH</w:t>
      </w:r>
      <w:r>
        <w:t xml:space="preserve"> </w:t>
      </w:r>
      <w:r>
        <w:t xml:space="preserve">Val γ1/γ2 both 50% — the signature of the achiral network placing the pair on the</w:t>
      </w:r>
      <w:r>
        <w:t xml:space="preserve"> </w:t>
      </w:r>
      <w:r>
        <w:t xml:space="preserve">right</w:t>
      </w:r>
      <w:r>
        <w:t xml:space="preserve"> </w:t>
      </w:r>
      <w:r>
        <w:rPr>
          <w:i/>
          <w:iCs/>
        </w:rPr>
        <w:t xml:space="preserve">residue</w:t>
      </w:r>
      <w:r>
        <w:t xml:space="preserve"> </w:t>
      </w:r>
      <w:r>
        <w:t xml:space="preserve">but the wrong</w:t>
      </w:r>
      <w:r>
        <w:t xml:space="preserve"> </w:t>
      </w:r>
      <w:r>
        <w:rPr>
          <w:i/>
          <w:iCs/>
        </w:rPr>
        <w:t xml:space="preserve">methyl</w:t>
      </w:r>
      <w:r>
        <w:t xml:space="preserve">. Both members stay inside the MAUS envelope</w:t>
      </w:r>
      <w:r>
        <w:t xml:space="preserve"> </w:t>
      </w:r>
      <w:r>
        <w:t xml:space="preserve">(the truth is never excluded), so the swap is a calibrated coin flip the confidence</w:t>
      </w:r>
      <w:r>
        <w:t xml:space="preserve"> </w:t>
      </w:r>
      <w:r>
        <w:t xml:space="preserve">tier flags as</w:t>
      </w:r>
      <w:r>
        <w:t xml:space="preserve"> </w:t>
      </w:r>
      <w:r>
        <w:rPr>
          <w:rStyle w:val="VerbatimChar"/>
        </w:rPr>
        <w:t xml:space="preserve">ambiguous</w:t>
      </w:r>
      <w:r>
        <w:t xml:space="preserve">; only a signal able to tell δ1 from δ2 — the intensity</w:t>
      </w:r>
      <w:r>
        <w:t xml:space="preserve"> </w:t>
      </w:r>
      <w:r>
        <w:t xml:space="preserve">score where the two methyls’ contacts differ, or an independent stereospecific</w:t>
      </w:r>
      <w:r>
        <w:t xml:space="preserve"> </w:t>
      </w:r>
      <w:r>
        <w:t xml:space="preserve">assignment where they do not — can break it. This is exactly why residue-wise is the</w:t>
      </w:r>
      <w:r>
        <w:t xml:space="preserve"> </w:t>
      </w:r>
      <w:r>
        <w:t xml:space="preserve">meaningful metric: the methyl-level totals (Table 1,</w:t>
      </w:r>
      <w:r>
        <w:t xml:space="preserve"> </w:t>
      </w:r>
      <w:r>
        <w:t xml:space="preserve">“methyl”</w:t>
      </w:r>
      <w:r>
        <w:t xml:space="preserve">) sit below the</w:t>
      </w:r>
      <w:r>
        <w:t xml:space="preserve"> </w:t>
      </w:r>
      <w:r>
        <w:t xml:space="preserve">residue-wise ones by precisely the unresolved-swap fraction (ubiquitin 95.3 vs 100,</w:t>
      </w:r>
      <w:r>
        <w:t xml:space="preserve"> </w:t>
      </w:r>
      <w:r>
        <w:t xml:space="preserve">MBP 56.8 vs 60.9, HNH 80.7 vs 86.0).</w:t>
      </w:r>
    </w:p>
    <w:p>
      <w:pPr>
        <w:pStyle w:val="BodyText"/>
      </w:pPr>
      <w:r>
        <w:rPr>
          <w:b/>
          <w:bCs/>
        </w:rPr>
        <w:t xml:space="preserve">MAUS is more residue-decisive than it looks.</w:t>
      </w:r>
      <w:r>
        <w:t xml:space="preserve"> </w:t>
      </w:r>
      <w:r>
        <w:t xml:space="preserve">MAUS’s decisive fraction counts</w:t>
      </w:r>
      <w:r>
        <w:t xml:space="preserve"> </w:t>
      </w:r>
      <w:r>
        <w:t xml:space="preserve">only peaks pinned to a single</w:t>
      </w:r>
      <w:r>
        <w:t xml:space="preserve"> </w:t>
      </w:r>
      <w:r>
        <w:rPr>
          <w:i/>
          <w:iCs/>
        </w:rPr>
        <w:t xml:space="preserve">methyl</w:t>
      </w:r>
      <w:r>
        <w:t xml:space="preserve">, booking every geminal-unresolved pair as an</w:t>
      </w:r>
      <w:r>
        <w:t xml:space="preserve"> </w:t>
      </w:r>
      <w:r>
        <w:t xml:space="preserve">abstention — yet such a pair is already decisive at the residue level. Collapsing</w:t>
      </w:r>
      <w:r>
        <w:t xml:space="preserve"> </w:t>
      </w:r>
      <w:r>
        <w:t xml:space="preserve">each option set to its residues, MAUS is residue-decisive (and, by never-exclude,</w:t>
      </w:r>
      <w:r>
        <w:t xml:space="preserve"> </w:t>
      </w:r>
      <w:r>
        <w:t xml:space="preserve">correct) on far more peaks than its methyl-unique count: 55.8% on ubiquitin, 68.4%</w:t>
      </w:r>
      <w:r>
        <w:t xml:space="preserve"> </w:t>
      </w:r>
      <w:r>
        <w:t xml:space="preserve">on HNH, 44.4% on REC2, versus low-single-digit methyl-unique fractions. The</w:t>
      </w:r>
      <w:r>
        <w:t xml:space="preserve"> </w:t>
      </w:r>
      <w:r>
        <w:t xml:space="preserve">complement — option sets still spanning more than one residue — is the</w:t>
      </w:r>
      <w:r>
        <w:t xml:space="preserve"> </w:t>
      </w:r>
      <w:r>
        <w:rPr>
          <w:i/>
          <w:iCs/>
        </w:rPr>
        <w:t xml:space="preserve">cross-residue</w:t>
      </w:r>
      <w:r>
        <w:t xml:space="preserve"> </w:t>
      </w:r>
      <w:r>
        <w:t xml:space="preserve">ambiguity that dominates the Leu-crowded ILV targets (IL-2, MSG) and that an</w:t>
      </w:r>
      <w:r>
        <w:t xml:space="preserve"> </w:t>
      </w:r>
      <w:r>
        <w:t xml:space="preserve">HMBC-HMQC geminal link collapses by tying each pair to one residue.</w:t>
      </w:r>
    </w:p>
    <w:p>
      <w:pPr>
        <w:pStyle w:val="BodyText"/>
      </w:pPr>
      <w:r>
        <w:rPr>
          <w:b/>
          <w:bCs/>
        </w:rPr>
        <w:t xml:space="preserve">Real-experimental TNF-α.</w:t>
      </w:r>
      <w:r>
        <w:t xml:space="preserve"> </w:t>
      </w:r>
      <w:r>
        <w:t xml:space="preserve">On the real homotrimer, matched at H±0.02/C±0.10, the</w:t>
      </w:r>
      <w:r>
        <w:t xml:space="preserve"> </w:t>
      </w:r>
      <w:r>
        <w:t xml:space="preserve">method behaves consistently with the simulated targets while exposing two properties</w:t>
      </w:r>
      <w:r>
        <w:t xml:space="preserve"> </w:t>
      </w:r>
      <w:r>
        <w:t xml:space="preserve">only genuine data reveals. First, multimer handling is load-bearing: the measured</w:t>
      </w:r>
      <w:r>
        <w:t xml:space="preserve"> </w:t>
      </w:r>
      <w:r>
        <w:t xml:space="preserve">NOEs include inter-subunit contacts that have no structural home unless the three</w:t>
      </w:r>
      <w:r>
        <w:t xml:space="preserve"> </w:t>
      </w:r>
      <w:r>
        <w:t xml:space="preserve">chains are treated as symmetry images (contact = minimum distance over subunits),</w:t>
      </w:r>
      <w:r>
        <w:t xml:space="preserve"> </w:t>
      </w:r>
      <w:r>
        <w:t xml:space="preserve">and the reciprocal (H)CCH rows resolve both NOE ends by full (C, H) so every firm</w:t>
      </w:r>
      <w:r>
        <w:t xml:space="preserve"> </w:t>
      </w:r>
      <w:r>
        <w:t xml:space="preserve">edge is a real methyl–methyl contact. Second, the never-exclude guarantee is</w:t>
      </w:r>
      <w:r>
        <w:t xml:space="preserve"> </w:t>
      </w:r>
      <w:r>
        <w:t xml:space="preserve">conditional on the NOEs being consistent with the structure — a condition simulated</w:t>
      </w:r>
      <w:r>
        <w:t xml:space="preserve"> </w:t>
      </w:r>
      <w:r>
        <w:t xml:space="preserve">data satisfies by construction but a</w:t>
      </w:r>
      <w:r>
        <w:t xml:space="preserve"> </w:t>
      </w:r>
      <w:r>
        <w:rPr>
          <w:i/>
          <w:iCs/>
        </w:rPr>
        <w:t xml:space="preserve">predicted</w:t>
      </w:r>
      <w:r>
        <w:t xml:space="preserve"> </w:t>
      </w:r>
      <w:r>
        <w:t xml:space="preserve">fold does not: three truths carry a</w:t>
      </w:r>
      <w:r>
        <w:t xml:space="preserve"> </w:t>
      </w:r>
      <w:r>
        <w:t xml:space="preserve">firm NOE the AlphaFold3 model does not support at the cutoffs and fall out, so the</w:t>
      </w:r>
      <w:r>
        <w:t xml:space="preserve"> </w:t>
      </w:r>
      <w:r>
        <w:t xml:space="preserve">envelope is 96.5%, not 100%. No peak is uniquely pinned on this sparse, wide-domain</w:t>
      </w:r>
      <w:r>
        <w:t xml:space="preserve"> </w:t>
      </w:r>
      <w:r>
        <w:t xml:space="preserve">target, so the constraint-forced baseline is near-random (10.6%); full-space scoring</w:t>
      </w:r>
      <w:r>
        <w:t xml:space="preserve"> </w:t>
      </w:r>
      <w:r>
        <w:t xml:space="preserve">reaches 20.0%; and magicmaus is the best of the three at</w:t>
      </w:r>
      <w:r>
        <w:t xml:space="preserve"> </w:t>
      </w:r>
      <w:r>
        <w:rPr>
          <w:b/>
          <w:bCs/>
        </w:rPr>
        <w:t xml:space="preserve">30.6%</w:t>
      </w:r>
      <w:r>
        <w:t xml:space="preserve"> </w:t>
      </w:r>
      <w:r>
        <w:t xml:space="preserve">residue-wise. Its</w:t>
      </w:r>
      <w:r>
        <w:t xml:space="preserve"> </w:t>
      </w:r>
      <w:r>
        <w:t xml:space="preserve">gap to the 24.7% methyl-level figure is entirely geminal swaps (Table 3, TNF-α: Ile</w:t>
      </w:r>
      <w:r>
        <w:t xml:space="preserve"> </w:t>
      </w:r>
      <w:r>
        <w:t xml:space="preserve">75% but Leu/Val ≤31%), the orientation the global objective cannot fix here because,</w:t>
      </w:r>
      <w:r>
        <w:t xml:space="preserve"> </w:t>
      </w:r>
      <w:r>
        <w:t xml:space="preserve">scored against a predicted fold, its optimum no longer sits exactly at the truth.</w:t>
      </w:r>
    </w:p>
    <w:p>
      <w:pPr>
        <w:pStyle w:val="BodyText"/>
      </w:pPr>
      <w:r>
        <w:rPr>
          <w:b/>
          <w:bCs/>
        </w:rPr>
        <w:t xml:space="preserve">Table 1.</w:t>
      </w:r>
      <w:r>
        <w:t xml:space="preserve"> </w:t>
      </w:r>
      <w:r>
        <w:t xml:space="preserve">Residue-wise accuracy (correct residue, geminal δ1/δ2 orientation</w:t>
      </w:r>
      <w:r>
        <w:t xml:space="preserve"> </w:t>
      </w:r>
      <w:r>
        <w:t xml:space="preserve">ignored) on seven structure-simulated targets plus one real-experimental multimer</w:t>
      </w:r>
      <w:r>
        <w:t xml:space="preserve"> </w:t>
      </w:r>
      <w:r>
        <w:t xml:space="preserve">(TNF-α), all engines scored on the same 1/r</w:t>
      </w:r>
      <w:r>
        <w:rPr>
          <w:vertAlign w:val="superscript"/>
        </w:rPr>
        <w:t xml:space="preserve">6</w:t>
      </w:r>
      <w:r>
        <w:t xml:space="preserve"> </w:t>
      </w:r>
      <w:r>
        <w:t xml:space="preserve">intensity NOESY. MAGIC = full-space</w:t>
      </w:r>
      <w:r>
        <w:t xml:space="preserve"> </w:t>
      </w:r>
      <w:r>
        <w:t xml:space="preserve">scoring; MAUS = constraint layer forced to commit a single residue (it cannot rank</w:t>
      </w:r>
      <w:r>
        <w:t xml:space="preserve"> </w:t>
      </w:r>
      <w:r>
        <w:t xml:space="preserve">within an option set); magicmaus = base configuration (HMQC + 3D NOESY + 3D HMBC);</w:t>
      </w:r>
      <w:r>
        <w:t xml:space="preserve"> </w:t>
      </w:r>
      <w:r>
        <w:t xml:space="preserve">+soft = with soft-ambiguous evidence; methyl = magicmaus base at the atom-exact</w:t>
      </w:r>
      <w:r>
        <w:t xml:space="preserve"> </w:t>
      </w:r>
      <w:r>
        <w:t xml:space="preserve">level; Envelope = fraction of peaks whose MAUS option set contains the true residue</w:t>
      </w:r>
      <w:r>
        <w:t xml:space="preserve"> </w:t>
      </w:r>
      <w:r>
        <w:t xml:space="preserve">(never-exclude). MSG† uses the arc-consistency-pruned bounds (exact enumeration</w:t>
      </w:r>
      <w:r>
        <w:t xml:space="preserve"> </w:t>
      </w:r>
      <w:r>
        <w:t xml:space="preserve">intractable at 257 methyls); TNF-α‡ is the real-experimental, only multimeric target.</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Target</w:t>
            </w:r>
          </w:p>
        </w:tc>
        <w:tc>
          <w:tcPr/>
          <w:p>
            <w:pPr>
              <w:pStyle w:val="Compact"/>
            </w:pPr>
            <w:r>
              <w:t xml:space="preserve">BMRB / PDB</w:t>
            </w:r>
          </w:p>
        </w:tc>
        <w:tc>
          <w:tcPr/>
          <w:p>
            <w:pPr>
              <w:pStyle w:val="Compact"/>
            </w:pPr>
            <w:r>
              <w:t xml:space="preserve">Labeling</w:t>
            </w:r>
          </w:p>
        </w:tc>
        <w:tc>
          <w:tcPr/>
          <w:p>
            <w:pPr>
              <w:pStyle w:val="Compact"/>
              <w:jc w:val="right"/>
            </w:pPr>
            <w:r>
              <w:t xml:space="preserve">Methyls</w:t>
            </w:r>
          </w:p>
        </w:tc>
        <w:tc>
          <w:tcPr/>
          <w:p>
            <w:pPr>
              <w:pStyle w:val="Compact"/>
              <w:jc w:val="right"/>
            </w:pPr>
            <w:r>
              <w:t xml:space="preserve">MAGIC</w:t>
            </w:r>
          </w:p>
        </w:tc>
        <w:tc>
          <w:tcPr/>
          <w:p>
            <w:pPr>
              <w:pStyle w:val="Compact"/>
              <w:jc w:val="right"/>
            </w:pPr>
            <w:r>
              <w:t xml:space="preserve">MAUS</w:t>
            </w:r>
          </w:p>
        </w:tc>
        <w:tc>
          <w:tcPr/>
          <w:p>
            <w:pPr>
              <w:pStyle w:val="Compact"/>
              <w:jc w:val="right"/>
            </w:pPr>
            <w:r>
              <w:t xml:space="preserve">magicmaus</w:t>
            </w:r>
          </w:p>
        </w:tc>
        <w:tc>
          <w:tcPr/>
          <w:p>
            <w:pPr>
              <w:pStyle w:val="Compact"/>
              <w:jc w:val="right"/>
            </w:pPr>
            <w:r>
              <w:t xml:space="preserve">+soft</w:t>
            </w:r>
          </w:p>
        </w:tc>
        <w:tc>
          <w:tcPr/>
          <w:p>
            <w:pPr>
              <w:pStyle w:val="Compact"/>
              <w:jc w:val="right"/>
            </w:pPr>
            <w:r>
              <w:t xml:space="preserve">methyl</w:t>
            </w:r>
          </w:p>
        </w:tc>
        <w:tc>
          <w:tcPr/>
          <w:p>
            <w:pPr>
              <w:pStyle w:val="Compact"/>
              <w:jc w:val="right"/>
            </w:pPr>
            <w:r>
              <w:t xml:space="preserve">Envelope</w:t>
            </w:r>
          </w:p>
        </w:tc>
      </w:tr>
      <w:tr>
        <w:tc>
          <w:tcPr/>
          <w:p>
            <w:pPr>
              <w:pStyle w:val="Compact"/>
            </w:pPr>
            <w:r>
              <w:t xml:space="preserve">Ubiquitin</w:t>
            </w:r>
          </w:p>
        </w:tc>
        <w:tc>
          <w:tcPr/>
          <w:p>
            <w:pPr>
              <w:pStyle w:val="Compact"/>
            </w:pPr>
            <w:r>
              <w:t xml:space="preserve">6457 / 1UBQ</w:t>
            </w:r>
          </w:p>
        </w:tc>
        <w:tc>
          <w:tcPr/>
          <w:p>
            <w:pPr>
              <w:pStyle w:val="Compact"/>
            </w:pPr>
            <w:r>
              <w:t xml:space="preserve">AILMTV</w:t>
            </w:r>
          </w:p>
        </w:tc>
        <w:tc>
          <w:tcPr/>
          <w:p>
            <w:pPr>
              <w:pStyle w:val="Compact"/>
              <w:jc w:val="right"/>
            </w:pPr>
            <w:r>
              <w:t xml:space="preserve">43</w:t>
            </w:r>
          </w:p>
        </w:tc>
        <w:tc>
          <w:tcPr/>
          <w:p>
            <w:pPr>
              <w:pStyle w:val="Compact"/>
              <w:jc w:val="right"/>
            </w:pPr>
            <w:r>
              <w:t xml:space="preserve">79.1%</w:t>
            </w:r>
          </w:p>
        </w:tc>
        <w:tc>
          <w:tcPr/>
          <w:p>
            <w:pPr>
              <w:pStyle w:val="Compact"/>
              <w:jc w:val="right"/>
            </w:pPr>
            <w:r>
              <w:t xml:space="preserve">72.1%</w:t>
            </w:r>
          </w:p>
        </w:tc>
        <w:tc>
          <w:tcPr/>
          <w:p>
            <w:pPr>
              <w:pStyle w:val="Compact"/>
              <w:jc w:val="right"/>
            </w:pPr>
            <w:r>
              <w:rPr>
                <w:b/>
                <w:bCs/>
              </w:rPr>
              <w:t xml:space="preserve">100.0%</w:t>
            </w:r>
          </w:p>
        </w:tc>
        <w:tc>
          <w:tcPr/>
          <w:p>
            <w:pPr>
              <w:pStyle w:val="Compact"/>
              <w:jc w:val="right"/>
            </w:pPr>
            <w:r>
              <w:t xml:space="preserve">100.0%</w:t>
            </w:r>
          </w:p>
        </w:tc>
        <w:tc>
          <w:tcPr/>
          <w:p>
            <w:pPr>
              <w:pStyle w:val="Compact"/>
              <w:jc w:val="right"/>
            </w:pPr>
            <w:r>
              <w:t xml:space="preserve">95.3%</w:t>
            </w:r>
          </w:p>
        </w:tc>
        <w:tc>
          <w:tcPr/>
          <w:p>
            <w:pPr>
              <w:pStyle w:val="Compact"/>
              <w:jc w:val="right"/>
            </w:pPr>
            <w:r>
              <w:t xml:space="preserve">100%</w:t>
            </w:r>
          </w:p>
        </w:tc>
      </w:tr>
      <w:tr>
        <w:tc>
          <w:tcPr/>
          <w:p>
            <w:pPr>
              <w:pStyle w:val="Compact"/>
            </w:pPr>
            <w:r>
              <w:t xml:space="preserve">IL-2</w:t>
            </w:r>
          </w:p>
        </w:tc>
        <w:tc>
          <w:tcPr/>
          <w:p>
            <w:pPr>
              <w:pStyle w:val="Compact"/>
            </w:pPr>
            <w:r>
              <w:t xml:space="preserve">28104 / 1M47</w:t>
            </w:r>
          </w:p>
        </w:tc>
        <w:tc>
          <w:tcPr/>
          <w:p>
            <w:pPr>
              <w:pStyle w:val="Compact"/>
            </w:pPr>
            <w:r>
              <w:t xml:space="preserve">ILV</w:t>
            </w:r>
          </w:p>
        </w:tc>
        <w:tc>
          <w:tcPr/>
          <w:p>
            <w:pPr>
              <w:pStyle w:val="Compact"/>
              <w:jc w:val="right"/>
            </w:pPr>
            <w:r>
              <w:t xml:space="preserve">59</w:t>
            </w:r>
          </w:p>
        </w:tc>
        <w:tc>
          <w:tcPr/>
          <w:p>
            <w:pPr>
              <w:pStyle w:val="Compact"/>
              <w:jc w:val="right"/>
            </w:pPr>
            <w:r>
              <w:t xml:space="preserve">54.2%</w:t>
            </w:r>
          </w:p>
        </w:tc>
        <w:tc>
          <w:tcPr/>
          <w:p>
            <w:pPr>
              <w:pStyle w:val="Compact"/>
              <w:jc w:val="right"/>
            </w:pPr>
            <w:r>
              <w:t xml:space="preserve">39.0%</w:t>
            </w:r>
          </w:p>
        </w:tc>
        <w:tc>
          <w:tcPr/>
          <w:p>
            <w:pPr>
              <w:pStyle w:val="Compact"/>
              <w:jc w:val="right"/>
            </w:pPr>
            <w:r>
              <w:rPr>
                <w:b/>
                <w:bCs/>
              </w:rPr>
              <w:t xml:space="preserve">64.4%</w:t>
            </w:r>
          </w:p>
        </w:tc>
        <w:tc>
          <w:tcPr/>
          <w:p>
            <w:pPr>
              <w:pStyle w:val="Compact"/>
              <w:jc w:val="right"/>
            </w:pPr>
            <w:r>
              <w:t xml:space="preserve">86.4%</w:t>
            </w:r>
          </w:p>
        </w:tc>
        <w:tc>
          <w:tcPr/>
          <w:p>
            <w:pPr>
              <w:pStyle w:val="Compact"/>
              <w:jc w:val="right"/>
            </w:pPr>
            <w:r>
              <w:t xml:space="preserve">57.6%</w:t>
            </w:r>
          </w:p>
        </w:tc>
        <w:tc>
          <w:tcPr/>
          <w:p>
            <w:pPr>
              <w:pStyle w:val="Compact"/>
              <w:jc w:val="right"/>
            </w:pPr>
            <w:r>
              <w:t xml:space="preserve">100%</w:t>
            </w:r>
          </w:p>
        </w:tc>
      </w:tr>
      <w:tr>
        <w:tc>
          <w:tcPr/>
          <w:p>
            <w:pPr>
              <w:pStyle w:val="Compact"/>
            </w:pPr>
            <w:r>
              <w:t xml:space="preserve">HNH (Cas9)</w:t>
            </w:r>
          </w:p>
        </w:tc>
        <w:tc>
          <w:tcPr/>
          <w:p>
            <w:pPr>
              <w:pStyle w:val="Compact"/>
            </w:pPr>
            <w:r>
              <w:t xml:space="preserve">27949 / 6O56</w:t>
            </w:r>
          </w:p>
        </w:tc>
        <w:tc>
          <w:tcPr/>
          <w:p>
            <w:pPr>
              <w:pStyle w:val="Compact"/>
            </w:pPr>
            <w:r>
              <w:t xml:space="preserve">AILTV</w:t>
            </w:r>
          </w:p>
        </w:tc>
        <w:tc>
          <w:tcPr/>
          <w:p>
            <w:pPr>
              <w:pStyle w:val="Compact"/>
              <w:jc w:val="right"/>
            </w:pPr>
            <w:r>
              <w:t xml:space="preserve">57</w:t>
            </w:r>
          </w:p>
        </w:tc>
        <w:tc>
          <w:tcPr/>
          <w:p>
            <w:pPr>
              <w:pStyle w:val="Compact"/>
              <w:jc w:val="right"/>
            </w:pPr>
            <w:r>
              <w:t xml:space="preserve">54.4%</w:t>
            </w:r>
          </w:p>
        </w:tc>
        <w:tc>
          <w:tcPr/>
          <w:p>
            <w:pPr>
              <w:pStyle w:val="Compact"/>
              <w:jc w:val="right"/>
            </w:pPr>
            <w:r>
              <w:t xml:space="preserve">84.2%</w:t>
            </w:r>
          </w:p>
        </w:tc>
        <w:tc>
          <w:tcPr/>
          <w:p>
            <w:pPr>
              <w:pStyle w:val="Compact"/>
              <w:jc w:val="right"/>
            </w:pPr>
            <w:r>
              <w:rPr>
                <w:b/>
                <w:bCs/>
              </w:rPr>
              <w:t xml:space="preserve">86.0%</w:t>
            </w:r>
          </w:p>
        </w:tc>
        <w:tc>
          <w:tcPr/>
          <w:p>
            <w:pPr>
              <w:pStyle w:val="Compact"/>
              <w:jc w:val="right"/>
            </w:pPr>
            <w:r>
              <w:t xml:space="preserve">93.0%</w:t>
            </w:r>
          </w:p>
        </w:tc>
        <w:tc>
          <w:tcPr/>
          <w:p>
            <w:pPr>
              <w:pStyle w:val="Compact"/>
              <w:jc w:val="right"/>
            </w:pPr>
            <w:r>
              <w:t xml:space="preserve">80.7%</w:t>
            </w:r>
          </w:p>
        </w:tc>
        <w:tc>
          <w:tcPr/>
          <w:p>
            <w:pPr>
              <w:pStyle w:val="Compact"/>
              <w:jc w:val="right"/>
            </w:pPr>
            <w:r>
              <w:t xml:space="preserve">100%</w:t>
            </w:r>
          </w:p>
        </w:tc>
      </w:tr>
      <w:tr>
        <w:tc>
          <w:tcPr/>
          <w:p>
            <w:pPr>
              <w:pStyle w:val="Compact"/>
            </w:pPr>
            <w:r>
              <w:t xml:space="preserve">REC2 (Cas9)</w:t>
            </w:r>
          </w:p>
        </w:tc>
        <w:tc>
          <w:tcPr/>
          <w:p>
            <w:pPr>
              <w:pStyle w:val="Compact"/>
            </w:pPr>
            <w:r>
              <w:t xml:space="preserve">28105 / 4CMP</w:t>
            </w:r>
          </w:p>
        </w:tc>
        <w:tc>
          <w:tcPr/>
          <w:p>
            <w:pPr>
              <w:pStyle w:val="Compact"/>
            </w:pPr>
            <w:r>
              <w:t xml:space="preserve">ILV</w:t>
            </w:r>
          </w:p>
        </w:tc>
        <w:tc>
          <w:tcPr/>
          <w:p>
            <w:pPr>
              <w:pStyle w:val="Compact"/>
              <w:jc w:val="right"/>
            </w:pPr>
            <w:r>
              <w:t xml:space="preserve">63</w:t>
            </w:r>
          </w:p>
        </w:tc>
        <w:tc>
          <w:tcPr/>
          <w:p>
            <w:pPr>
              <w:pStyle w:val="Compact"/>
              <w:jc w:val="right"/>
            </w:pPr>
            <w:r>
              <w:t xml:space="preserve">1.6%</w:t>
            </w:r>
          </w:p>
        </w:tc>
        <w:tc>
          <w:tcPr/>
          <w:p>
            <w:pPr>
              <w:pStyle w:val="Compact"/>
              <w:jc w:val="right"/>
            </w:pPr>
            <w:r>
              <w:t xml:space="preserve">54.0%</w:t>
            </w:r>
          </w:p>
        </w:tc>
        <w:tc>
          <w:tcPr/>
          <w:p>
            <w:pPr>
              <w:pStyle w:val="Compact"/>
              <w:jc w:val="right"/>
            </w:pPr>
            <w:r>
              <w:rPr>
                <w:b/>
                <w:bCs/>
              </w:rPr>
              <w:t xml:space="preserve">71.4%</w:t>
            </w:r>
          </w:p>
        </w:tc>
        <w:tc>
          <w:tcPr/>
          <w:p>
            <w:pPr>
              <w:pStyle w:val="Compact"/>
              <w:jc w:val="right"/>
            </w:pPr>
            <w:r>
              <w:t xml:space="preserve">58.7%</w:t>
            </w:r>
          </w:p>
        </w:tc>
        <w:tc>
          <w:tcPr/>
          <w:p>
            <w:pPr>
              <w:pStyle w:val="Compact"/>
              <w:jc w:val="right"/>
            </w:pPr>
            <w:r>
              <w:t xml:space="preserve">68.3%</w:t>
            </w:r>
          </w:p>
        </w:tc>
        <w:tc>
          <w:tcPr/>
          <w:p>
            <w:pPr>
              <w:pStyle w:val="Compact"/>
              <w:jc w:val="right"/>
            </w:pPr>
            <w:r>
              <w:t xml:space="preserve">100%</w:t>
            </w:r>
          </w:p>
        </w:tc>
      </w:tr>
      <w:tr>
        <w:tc>
          <w:tcPr/>
          <w:p>
            <w:pPr>
              <w:pStyle w:val="Compact"/>
            </w:pPr>
            <w:r>
              <w:t xml:space="preserve">REC3 (Cas9)</w:t>
            </w:r>
          </w:p>
        </w:tc>
        <w:tc>
          <w:tcPr/>
          <w:p>
            <w:pPr>
              <w:pStyle w:val="Compact"/>
            </w:pPr>
            <w:r>
              <w:t xml:space="preserve">28110 / 4ZT0</w:t>
            </w:r>
          </w:p>
        </w:tc>
        <w:tc>
          <w:tcPr/>
          <w:p>
            <w:pPr>
              <w:pStyle w:val="Compact"/>
            </w:pPr>
            <w:r>
              <w:t xml:space="preserve">ILV</w:t>
            </w:r>
          </w:p>
        </w:tc>
        <w:tc>
          <w:tcPr/>
          <w:p>
            <w:pPr>
              <w:pStyle w:val="Compact"/>
              <w:jc w:val="right"/>
            </w:pPr>
            <w:r>
              <w:t xml:space="preserve">85</w:t>
            </w:r>
          </w:p>
        </w:tc>
        <w:tc>
          <w:tcPr/>
          <w:p>
            <w:pPr>
              <w:pStyle w:val="Compact"/>
              <w:jc w:val="right"/>
            </w:pPr>
            <w:r>
              <w:t xml:space="preserve">0.0%</w:t>
            </w:r>
          </w:p>
        </w:tc>
        <w:tc>
          <w:tcPr/>
          <w:p>
            <w:pPr>
              <w:pStyle w:val="Compact"/>
              <w:jc w:val="right"/>
            </w:pPr>
            <w:r>
              <w:t xml:space="preserve">41.2%</w:t>
            </w:r>
          </w:p>
        </w:tc>
        <w:tc>
          <w:tcPr/>
          <w:p>
            <w:pPr>
              <w:pStyle w:val="Compact"/>
              <w:jc w:val="right"/>
            </w:pPr>
            <w:r>
              <w:rPr>
                <w:b/>
                <w:bCs/>
              </w:rPr>
              <w:t xml:space="preserve">56.5%</w:t>
            </w:r>
          </w:p>
        </w:tc>
        <w:tc>
          <w:tcPr/>
          <w:p>
            <w:pPr>
              <w:pStyle w:val="Compact"/>
              <w:jc w:val="right"/>
            </w:pPr>
            <w:r>
              <w:t xml:space="preserve">51.8%</w:t>
            </w:r>
          </w:p>
        </w:tc>
        <w:tc>
          <w:tcPr/>
          <w:p>
            <w:pPr>
              <w:pStyle w:val="Compact"/>
              <w:jc w:val="right"/>
            </w:pPr>
            <w:r>
              <w:t xml:space="preserve">50.6%</w:t>
            </w:r>
          </w:p>
        </w:tc>
        <w:tc>
          <w:tcPr/>
          <w:p>
            <w:pPr>
              <w:pStyle w:val="Compact"/>
              <w:jc w:val="right"/>
            </w:pPr>
            <w:r>
              <w:t xml:space="preserve">100%</w:t>
            </w:r>
          </w:p>
        </w:tc>
      </w:tr>
      <w:tr>
        <w:tc>
          <w:tcPr/>
          <w:p>
            <w:pPr>
              <w:pStyle w:val="Compact"/>
            </w:pPr>
            <w:r>
              <w:t xml:space="preserve">MBP</w:t>
            </w:r>
          </w:p>
        </w:tc>
        <w:tc>
          <w:tcPr/>
          <w:p>
            <w:pPr>
              <w:pStyle w:val="Compact"/>
            </w:pPr>
            <w:r>
              <w:t xml:space="preserve">7114 / 1ANF</w:t>
            </w:r>
          </w:p>
        </w:tc>
        <w:tc>
          <w:tcPr/>
          <w:p>
            <w:pPr>
              <w:pStyle w:val="Compact"/>
            </w:pPr>
            <w:r>
              <w:t xml:space="preserve">AILMTV</w:t>
            </w:r>
          </w:p>
        </w:tc>
        <w:tc>
          <w:tcPr/>
          <w:p>
            <w:pPr>
              <w:pStyle w:val="Compact"/>
              <w:jc w:val="right"/>
            </w:pPr>
            <w:r>
              <w:t xml:space="preserve">192</w:t>
            </w:r>
          </w:p>
        </w:tc>
        <w:tc>
          <w:tcPr/>
          <w:p>
            <w:pPr>
              <w:pStyle w:val="Compact"/>
              <w:jc w:val="right"/>
            </w:pPr>
            <w:r>
              <w:t xml:space="preserve">34.4%</w:t>
            </w:r>
          </w:p>
        </w:tc>
        <w:tc>
          <w:tcPr/>
          <w:p>
            <w:pPr>
              <w:pStyle w:val="Compact"/>
              <w:jc w:val="right"/>
            </w:pPr>
            <w:r>
              <w:t xml:space="preserve">35.4%</w:t>
            </w:r>
          </w:p>
        </w:tc>
        <w:tc>
          <w:tcPr/>
          <w:p>
            <w:pPr>
              <w:pStyle w:val="Compact"/>
              <w:jc w:val="right"/>
            </w:pPr>
            <w:r>
              <w:rPr>
                <w:b/>
                <w:bCs/>
              </w:rPr>
              <w:t xml:space="preserve">60.9%</w:t>
            </w:r>
          </w:p>
        </w:tc>
        <w:tc>
          <w:tcPr/>
          <w:p>
            <w:pPr>
              <w:pStyle w:val="Compact"/>
              <w:jc w:val="right"/>
            </w:pPr>
            <w:r>
              <w:t xml:space="preserve">64.6%</w:t>
            </w:r>
          </w:p>
        </w:tc>
        <w:tc>
          <w:tcPr/>
          <w:p>
            <w:pPr>
              <w:pStyle w:val="Compact"/>
              <w:jc w:val="right"/>
            </w:pPr>
            <w:r>
              <w:t xml:space="preserve">56.8%</w:t>
            </w:r>
          </w:p>
        </w:tc>
        <w:tc>
          <w:tcPr/>
          <w:p>
            <w:pPr>
              <w:pStyle w:val="Compact"/>
              <w:jc w:val="right"/>
            </w:pPr>
            <w:r>
              <w:t xml:space="preserve">100%</w:t>
            </w:r>
          </w:p>
        </w:tc>
      </w:tr>
      <w:tr>
        <w:tc>
          <w:tcPr/>
          <w:p>
            <w:pPr>
              <w:pStyle w:val="Compact"/>
            </w:pPr>
            <w:r>
              <w:t xml:space="preserve">MSG†</w:t>
            </w:r>
          </w:p>
        </w:tc>
        <w:tc>
          <w:tcPr/>
          <w:p>
            <w:pPr>
              <w:pStyle w:val="Compact"/>
            </w:pPr>
            <w:r>
              <w:t xml:space="preserve">SI / 1D8C</w:t>
            </w:r>
          </w:p>
        </w:tc>
        <w:tc>
          <w:tcPr/>
          <w:p>
            <w:pPr>
              <w:pStyle w:val="Compact"/>
            </w:pPr>
            <w:r>
              <w:t xml:space="preserve">ILV</w:t>
            </w:r>
          </w:p>
        </w:tc>
        <w:tc>
          <w:tcPr/>
          <w:p>
            <w:pPr>
              <w:pStyle w:val="Compact"/>
              <w:jc w:val="right"/>
            </w:pPr>
            <w:r>
              <w:t xml:space="preserve">257</w:t>
            </w:r>
          </w:p>
        </w:tc>
        <w:tc>
          <w:tcPr/>
          <w:p>
            <w:pPr>
              <w:pStyle w:val="Compact"/>
              <w:jc w:val="right"/>
            </w:pPr>
            <w:r>
              <w:rPr>
                <w:b/>
                <w:bCs/>
              </w:rPr>
              <w:t xml:space="preserve">30.0%</w:t>
            </w:r>
          </w:p>
        </w:tc>
        <w:tc>
          <w:tcPr/>
          <w:p>
            <w:pPr>
              <w:pStyle w:val="Compact"/>
              <w:jc w:val="right"/>
            </w:pPr>
            <w:r>
              <w:t xml:space="preserve">2.3%</w:t>
            </w:r>
          </w:p>
        </w:tc>
        <w:tc>
          <w:tcPr/>
          <w:p>
            <w:pPr>
              <w:pStyle w:val="Compact"/>
              <w:jc w:val="right"/>
            </w:pPr>
            <w:r>
              <w:t xml:space="preserve">14.8%</w:t>
            </w:r>
          </w:p>
        </w:tc>
        <w:tc>
          <w:tcPr/>
          <w:p>
            <w:pPr>
              <w:pStyle w:val="Compact"/>
              <w:jc w:val="right"/>
            </w:pPr>
            <w:r>
              <w:t xml:space="preserve">17.9%</w:t>
            </w:r>
          </w:p>
        </w:tc>
        <w:tc>
          <w:tcPr/>
          <w:p>
            <w:pPr>
              <w:pStyle w:val="Compact"/>
              <w:jc w:val="right"/>
            </w:pPr>
            <w:r>
              <w:t xml:space="preserve">13.6%</w:t>
            </w:r>
          </w:p>
        </w:tc>
        <w:tc>
          <w:tcPr/>
          <w:p>
            <w:pPr>
              <w:pStyle w:val="Compact"/>
              <w:jc w:val="right"/>
            </w:pPr>
            <w:r>
              <w:t xml:space="preserve">100%</w:t>
            </w:r>
          </w:p>
        </w:tc>
      </w:tr>
      <w:tr>
        <w:tc>
          <w:tcPr/>
          <w:p>
            <w:pPr>
              <w:pStyle w:val="Compact"/>
            </w:pPr>
            <w:r>
              <w:t xml:space="preserve">TNF-α‡</w:t>
            </w:r>
          </w:p>
        </w:tc>
        <w:tc>
          <w:tcPr/>
          <w:p>
            <w:pPr>
              <w:pStyle w:val="Compact"/>
            </w:pPr>
            <w:r>
              <w:t xml:space="preserve">real / AF3 trimer</w:t>
            </w:r>
          </w:p>
        </w:tc>
        <w:tc>
          <w:tcPr/>
          <w:p>
            <w:pPr>
              <w:pStyle w:val="Compact"/>
            </w:pPr>
            <w:r>
              <w:t xml:space="preserve">AILTV</w:t>
            </w:r>
          </w:p>
        </w:tc>
        <w:tc>
          <w:tcPr/>
          <w:p>
            <w:pPr>
              <w:pStyle w:val="Compact"/>
              <w:jc w:val="right"/>
            </w:pPr>
            <w:r>
              <w:t xml:space="preserve">85</w:t>
            </w:r>
          </w:p>
        </w:tc>
        <w:tc>
          <w:tcPr/>
          <w:p>
            <w:pPr>
              <w:pStyle w:val="Compact"/>
              <w:jc w:val="right"/>
            </w:pPr>
            <w:r>
              <w:t xml:space="preserve">20.0%</w:t>
            </w:r>
          </w:p>
        </w:tc>
        <w:tc>
          <w:tcPr/>
          <w:p>
            <w:pPr>
              <w:pStyle w:val="Compact"/>
              <w:jc w:val="right"/>
            </w:pPr>
            <w:r>
              <w:t xml:space="preserve">10.6%</w:t>
            </w:r>
          </w:p>
        </w:tc>
        <w:tc>
          <w:tcPr/>
          <w:p>
            <w:pPr>
              <w:pStyle w:val="Compact"/>
              <w:jc w:val="right"/>
            </w:pPr>
            <w:r>
              <w:rPr>
                <w:b/>
                <w:bCs/>
              </w:rPr>
              <w:t xml:space="preserve">30.6%</w:t>
            </w:r>
          </w:p>
        </w:tc>
        <w:tc>
          <w:tcPr/>
          <w:p>
            <w:pPr>
              <w:pStyle w:val="Compact"/>
              <w:jc w:val="right"/>
            </w:pPr>
            <w:r>
              <w:t xml:space="preserve">28.2%</w:t>
            </w:r>
          </w:p>
        </w:tc>
        <w:tc>
          <w:tcPr/>
          <w:p>
            <w:pPr>
              <w:pStyle w:val="Compact"/>
              <w:jc w:val="right"/>
            </w:pPr>
            <w:r>
              <w:t xml:space="preserve">24.7%</w:t>
            </w:r>
          </w:p>
        </w:tc>
        <w:tc>
          <w:tcPr/>
          <w:p>
            <w:pPr>
              <w:pStyle w:val="Compact"/>
              <w:jc w:val="right"/>
            </w:pPr>
            <w:r>
              <w:t xml:space="preserve">96.5%</w:t>
            </w:r>
          </w:p>
        </w:tc>
      </w:tr>
    </w:tbl>
    <w:p>
      <w:pPr>
        <w:pStyle w:val="BodyText"/>
      </w:pPr>
      <w:r>
        <w:t xml:space="preserve">†MSG methyl shifts are digitised from the reference assignment table of Pritišanac</w:t>
      </w:r>
      <w:r>
        <w:t xml:space="preserve"> </w:t>
      </w:r>
      <w:r>
        <w:rPr>
          <w:i/>
          <w:iCs/>
        </w:rPr>
        <w:t xml:space="preserve">et al.</w:t>
      </w:r>
      <w:r>
        <w:t xml:space="preserve"> </w:t>
      </w:r>
      <w:r>
        <w:t xml:space="preserve">(2019); its exact option-set enumeration is intractable, so the bounds are</w:t>
      </w:r>
      <w:r>
        <w:t xml:space="preserve"> </w:t>
      </w:r>
      <w:r>
        <w:t xml:space="preserve">the arc-consistency-pruned domains — still 138 wide — and with only ~85 firm NOEs</w:t>
      </w:r>
      <w:r>
        <w:t xml:space="preserve"> </w:t>
      </w:r>
      <w:r>
        <w:t xml:space="preserve">the sparse network leaves magicmaus below full-space scoring, the method’s scale</w:t>
      </w:r>
      <w:r>
        <w:t xml:space="preserve"> </w:t>
      </w:r>
      <w:r>
        <w:t xml:space="preserve">limit. ‡TNF-α: genuine methyl-NMR HMQC/NOESY/HMBC peak lists of the homotrimer,</w:t>
      </w:r>
      <w:r>
        <w:t xml:space="preserve"> </w:t>
      </w:r>
      <w:r>
        <w:t xml:space="preserve">scored against an AlphaFold3 model, matched at H±0.02/C±0.10 like the rest. Its</w:t>
      </w:r>
      <w:r>
        <w:t xml:space="preserve"> </w:t>
      </w:r>
      <w:r>
        <w:t xml:space="preserve">reciprocal (H)CCH rows resolve both NOE ends by full (C, H); treating the three</w:t>
      </w:r>
      <w:r>
        <w:t xml:space="preserve"> </w:t>
      </w:r>
      <w:r>
        <w:t xml:space="preserve">chains as symmetry images explains the inter-subunit NOEs; three truths carry an NOE</w:t>
      </w:r>
      <w:r>
        <w:t xml:space="preserve"> </w:t>
      </w:r>
      <w:r>
        <w:t xml:space="preserve">the</w:t>
      </w:r>
      <w:r>
        <w:t xml:space="preserve"> </w:t>
      </w:r>
      <w:r>
        <w:rPr>
          <w:i/>
          <w:iCs/>
        </w:rPr>
        <w:t xml:space="preserve">predicted</w:t>
      </w:r>
      <w:r>
        <w:t xml:space="preserve"> </w:t>
      </w:r>
      <w:r>
        <w:t xml:space="preserve">structure cannot support, so the envelope is 96.5%. No peak is</w:t>
      </w:r>
      <w:r>
        <w:t xml:space="preserve"> </w:t>
      </w:r>
      <w:r>
        <w:t xml:space="preserve">uniquely forced, so the MAUS column is entirely arbitrary-tiebreak.</w:t>
      </w:r>
    </w:p>
    <w:p>
      <w:pPr>
        <w:pStyle w:val="BodyText"/>
      </w:pPr>
      <w:r>
        <w:rPr>
          <w:b/>
          <w:bCs/>
        </w:rPr>
        <w:t xml:space="preserve">Table 2.</w:t>
      </w:r>
      <w:r>
        <w:t xml:space="preserve"> </w:t>
      </w:r>
      <w:r>
        <w:t xml:space="preserve">Residue-wise accuracy of the committed magicmaus call (base) resolved</w:t>
      </w:r>
      <w:r>
        <w:t xml:space="preserve"> </w:t>
      </w:r>
      <w:r>
        <w:t xml:space="preserve">by residue type. Each cell is correct/observed for that type; a dash marks a type</w:t>
      </w:r>
      <w:r>
        <w:t xml:space="preserve"> </w:t>
      </w:r>
      <w:r>
        <w:t xml:space="preserve">absent from the target’s labeling. Ile leads (single-methyl, NOE-rich); Leu/Val</w:t>
      </w:r>
      <w:r>
        <w:t xml:space="preserve"> </w:t>
      </w:r>
      <w:r>
        <w:t xml:space="preserve">carry the geminal degeneracy; Ala/Thr, though single-methyl, are NOE-poor on MBP.</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Target</w:t>
            </w:r>
          </w:p>
        </w:tc>
        <w:tc>
          <w:tcPr/>
          <w:p>
            <w:pPr>
              <w:pStyle w:val="Compact"/>
            </w:pPr>
            <w:r>
              <w:t xml:space="preserve">Ile</w:t>
            </w:r>
          </w:p>
        </w:tc>
        <w:tc>
          <w:tcPr/>
          <w:p>
            <w:pPr>
              <w:pStyle w:val="Compact"/>
            </w:pPr>
            <w:r>
              <w:t xml:space="preserve">Leu</w:t>
            </w:r>
          </w:p>
        </w:tc>
        <w:tc>
          <w:tcPr/>
          <w:p>
            <w:pPr>
              <w:pStyle w:val="Compact"/>
            </w:pPr>
            <w:r>
              <w:t xml:space="preserve">Val</w:t>
            </w:r>
          </w:p>
        </w:tc>
        <w:tc>
          <w:tcPr/>
          <w:p>
            <w:pPr>
              <w:pStyle w:val="Compact"/>
            </w:pPr>
            <w:r>
              <w:t xml:space="preserve">Ala</w:t>
            </w:r>
          </w:p>
        </w:tc>
        <w:tc>
          <w:tcPr/>
          <w:p>
            <w:pPr>
              <w:pStyle w:val="Compact"/>
            </w:pPr>
            <w:r>
              <w:t xml:space="preserve">Thr</w:t>
            </w:r>
          </w:p>
        </w:tc>
        <w:tc>
          <w:tcPr/>
          <w:p>
            <w:pPr>
              <w:pStyle w:val="Compact"/>
            </w:pPr>
            <w:r>
              <w:t xml:space="preserve">Met</w:t>
            </w:r>
          </w:p>
        </w:tc>
        <w:tc>
          <w:tcPr/>
          <w:p>
            <w:pPr>
              <w:pStyle w:val="Compact"/>
            </w:pPr>
            <w:r>
              <w:t xml:space="preserve">Total</w:t>
            </w:r>
          </w:p>
        </w:tc>
      </w:tr>
      <w:tr>
        <w:tc>
          <w:tcPr/>
          <w:p>
            <w:pPr>
              <w:pStyle w:val="Compact"/>
            </w:pPr>
            <w:r>
              <w:t xml:space="preserve">Ubiquitin</w:t>
            </w:r>
          </w:p>
        </w:tc>
        <w:tc>
          <w:tcPr/>
          <w:p>
            <w:pPr>
              <w:pStyle w:val="Compact"/>
            </w:pPr>
            <w:r>
              <w:t xml:space="preserve">100% (7/7)</w:t>
            </w:r>
          </w:p>
        </w:tc>
        <w:tc>
          <w:tcPr/>
          <w:p>
            <w:pPr>
              <w:pStyle w:val="Compact"/>
            </w:pPr>
            <w:r>
              <w:t xml:space="preserve">100% (18/18)</w:t>
            </w:r>
          </w:p>
        </w:tc>
        <w:tc>
          <w:tcPr/>
          <w:p>
            <w:pPr>
              <w:pStyle w:val="Compact"/>
            </w:pPr>
            <w:r>
              <w:t xml:space="preserve">100% (8/8)</w:t>
            </w:r>
          </w:p>
        </w:tc>
        <w:tc>
          <w:tcPr/>
          <w:p>
            <w:pPr>
              <w:pStyle w:val="Compact"/>
            </w:pPr>
            <w:r>
              <w:t xml:space="preserve">100% (2/2)</w:t>
            </w:r>
          </w:p>
        </w:tc>
        <w:tc>
          <w:tcPr/>
          <w:p>
            <w:pPr>
              <w:pStyle w:val="Compact"/>
            </w:pPr>
            <w:r>
              <w:t xml:space="preserve">100% (7/7)</w:t>
            </w:r>
          </w:p>
        </w:tc>
        <w:tc>
          <w:tcPr/>
          <w:p>
            <w:pPr>
              <w:pStyle w:val="Compact"/>
            </w:pPr>
            <w:r>
              <w:t xml:space="preserve">100% (1/1)</w:t>
            </w:r>
          </w:p>
        </w:tc>
        <w:tc>
          <w:tcPr/>
          <w:p>
            <w:pPr>
              <w:pStyle w:val="Compact"/>
            </w:pPr>
            <w:r>
              <w:t xml:space="preserve">100% (43/43)</w:t>
            </w:r>
          </w:p>
        </w:tc>
      </w:tr>
      <w:tr>
        <w:tc>
          <w:tcPr/>
          <w:p>
            <w:pPr>
              <w:pStyle w:val="Compact"/>
            </w:pPr>
            <w:r>
              <w:t xml:space="preserve">IL-2</w:t>
            </w:r>
          </w:p>
        </w:tc>
        <w:tc>
          <w:tcPr/>
          <w:p>
            <w:pPr>
              <w:pStyle w:val="Compact"/>
            </w:pPr>
            <w:r>
              <w:t xml:space="preserve">78% (7/9)</w:t>
            </w:r>
          </w:p>
        </w:tc>
        <w:tc>
          <w:tcPr/>
          <w:p>
            <w:pPr>
              <w:pStyle w:val="Compact"/>
            </w:pPr>
            <w:r>
              <w:t xml:space="preserve">60% (25/42)</w:t>
            </w:r>
          </w:p>
        </w:tc>
        <w:tc>
          <w:tcPr/>
          <w:p>
            <w:pPr>
              <w:pStyle w:val="Compact"/>
            </w:pPr>
            <w:r>
              <w:t xml:space="preserve">75% (6/8)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64% (38/59)</w:t>
            </w:r>
          </w:p>
        </w:tc>
      </w:tr>
      <w:tr>
        <w:tc>
          <w:tcPr/>
          <w:p>
            <w:pPr>
              <w:pStyle w:val="Compact"/>
            </w:pPr>
            <w:r>
              <w:t xml:space="preserve">HNH</w:t>
            </w:r>
          </w:p>
        </w:tc>
        <w:tc>
          <w:tcPr/>
          <w:p>
            <w:pPr>
              <w:pStyle w:val="Compact"/>
            </w:pPr>
            <w:r>
              <w:t xml:space="preserve">100% (7/7)</w:t>
            </w:r>
          </w:p>
        </w:tc>
        <w:tc>
          <w:tcPr/>
          <w:p>
            <w:pPr>
              <w:pStyle w:val="Compact"/>
            </w:pPr>
            <w:r>
              <w:t xml:space="preserve">93% (26/28)</w:t>
            </w:r>
          </w:p>
        </w:tc>
        <w:tc>
          <w:tcPr/>
          <w:p>
            <w:pPr>
              <w:pStyle w:val="Compact"/>
            </w:pPr>
            <w:r>
              <w:t xml:space="preserve">62% (10/16)</w:t>
            </w:r>
          </w:p>
        </w:tc>
        <w:tc>
          <w:tcPr/>
          <w:p>
            <w:pPr>
              <w:pStyle w:val="Compact"/>
            </w:pPr>
            <w:r>
              <w:t xml:space="preserve">100% (2/2)</w:t>
            </w:r>
          </w:p>
        </w:tc>
        <w:tc>
          <w:tcPr/>
          <w:p>
            <w:pPr>
              <w:pStyle w:val="Compact"/>
            </w:pPr>
            <w:r>
              <w:t xml:space="preserve">100% (4/4)</w:t>
            </w:r>
          </w:p>
        </w:tc>
        <w:tc>
          <w:tcPr/>
          <w:p>
            <w:pPr>
              <w:pStyle w:val="Compact"/>
            </w:pPr>
            <w:r>
              <w:t xml:space="preserve">—</w:t>
            </w:r>
          </w:p>
        </w:tc>
        <w:tc>
          <w:tcPr/>
          <w:p>
            <w:pPr>
              <w:pStyle w:val="Compact"/>
            </w:pPr>
            <w:r>
              <w:t xml:space="preserve">86% (49/57)</w:t>
            </w:r>
          </w:p>
        </w:tc>
      </w:tr>
      <w:tr>
        <w:tc>
          <w:tcPr/>
          <w:p>
            <w:pPr>
              <w:pStyle w:val="Compact"/>
            </w:pPr>
            <w:r>
              <w:t xml:space="preserve">REC2</w:t>
            </w:r>
          </w:p>
        </w:tc>
        <w:tc>
          <w:tcPr/>
          <w:p>
            <w:pPr>
              <w:pStyle w:val="Compact"/>
            </w:pPr>
            <w:r>
              <w:t xml:space="preserve">89% (8/9)</w:t>
            </w:r>
          </w:p>
        </w:tc>
        <w:tc>
          <w:tcPr/>
          <w:p>
            <w:pPr>
              <w:pStyle w:val="Compact"/>
            </w:pPr>
            <w:r>
              <w:t xml:space="preserve">65% (31/48)</w:t>
            </w:r>
          </w:p>
        </w:tc>
        <w:tc>
          <w:tcPr/>
          <w:p>
            <w:pPr>
              <w:pStyle w:val="Compact"/>
            </w:pPr>
            <w:r>
              <w:t xml:space="preserve">100% (6/6)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71% (45/63)</w:t>
            </w:r>
          </w:p>
        </w:tc>
      </w:tr>
      <w:tr>
        <w:tc>
          <w:tcPr/>
          <w:p>
            <w:pPr>
              <w:pStyle w:val="Compact"/>
            </w:pPr>
            <w:r>
              <w:t xml:space="preserve">REC3</w:t>
            </w:r>
          </w:p>
        </w:tc>
        <w:tc>
          <w:tcPr/>
          <w:p>
            <w:pPr>
              <w:pStyle w:val="Compact"/>
            </w:pPr>
            <w:r>
              <w:t xml:space="preserve">54% (7/13)</w:t>
            </w:r>
          </w:p>
        </w:tc>
        <w:tc>
          <w:tcPr/>
          <w:p>
            <w:pPr>
              <w:pStyle w:val="Compact"/>
            </w:pPr>
            <w:r>
              <w:t xml:space="preserve">50% (25/50)</w:t>
            </w:r>
          </w:p>
        </w:tc>
        <w:tc>
          <w:tcPr/>
          <w:p>
            <w:pPr>
              <w:pStyle w:val="Compact"/>
            </w:pPr>
            <w:r>
              <w:t xml:space="preserve">73% (16/22)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56% (48/85)</w:t>
            </w:r>
          </w:p>
        </w:tc>
      </w:tr>
      <w:tr>
        <w:tc>
          <w:tcPr/>
          <w:p>
            <w:pPr>
              <w:pStyle w:val="Compact"/>
            </w:pPr>
            <w:r>
              <w:t xml:space="preserve">MBP</w:t>
            </w:r>
          </w:p>
        </w:tc>
        <w:tc>
          <w:tcPr/>
          <w:p>
            <w:pPr>
              <w:pStyle w:val="Compact"/>
            </w:pPr>
            <w:r>
              <w:t xml:space="preserve">73% (16/22)</w:t>
            </w:r>
          </w:p>
        </w:tc>
        <w:tc>
          <w:tcPr/>
          <w:p>
            <w:pPr>
              <w:pStyle w:val="Compact"/>
            </w:pPr>
            <w:r>
              <w:t xml:space="preserve">62% (37/60)</w:t>
            </w:r>
          </w:p>
        </w:tc>
        <w:tc>
          <w:tcPr/>
          <w:p>
            <w:pPr>
              <w:pStyle w:val="Compact"/>
            </w:pPr>
            <w:r>
              <w:t xml:space="preserve">72% (29/40)</w:t>
            </w:r>
          </w:p>
        </w:tc>
        <w:tc>
          <w:tcPr/>
          <w:p>
            <w:pPr>
              <w:pStyle w:val="Compact"/>
            </w:pPr>
            <w:r>
              <w:t xml:space="preserve">43% (19/44)</w:t>
            </w:r>
          </w:p>
        </w:tc>
        <w:tc>
          <w:tcPr/>
          <w:p>
            <w:pPr>
              <w:pStyle w:val="Compact"/>
            </w:pPr>
            <w:r>
              <w:t xml:space="preserve">60% (12/20)</w:t>
            </w:r>
          </w:p>
        </w:tc>
        <w:tc>
          <w:tcPr/>
          <w:p>
            <w:pPr>
              <w:pStyle w:val="Compact"/>
            </w:pPr>
            <w:r>
              <w:t xml:space="preserve">67% (4/6)</w:t>
            </w:r>
          </w:p>
        </w:tc>
        <w:tc>
          <w:tcPr/>
          <w:p>
            <w:pPr>
              <w:pStyle w:val="Compact"/>
            </w:pPr>
            <w:r>
              <w:t xml:space="preserve">61% (117/192)</w:t>
            </w:r>
          </w:p>
        </w:tc>
      </w:tr>
      <w:tr>
        <w:tc>
          <w:tcPr/>
          <w:p>
            <w:pPr>
              <w:pStyle w:val="Compact"/>
            </w:pPr>
            <w:r>
              <w:t xml:space="preserve">MSG</w:t>
            </w:r>
          </w:p>
        </w:tc>
        <w:tc>
          <w:tcPr/>
          <w:p>
            <w:pPr>
              <w:pStyle w:val="Compact"/>
            </w:pPr>
            <w:r>
              <w:t xml:space="preserve">22% (9/41)</w:t>
            </w:r>
          </w:p>
        </w:tc>
        <w:tc>
          <w:tcPr/>
          <w:p>
            <w:pPr>
              <w:pStyle w:val="Compact"/>
            </w:pPr>
            <w:r>
              <w:t xml:space="preserve">14% (18/133)</w:t>
            </w:r>
          </w:p>
        </w:tc>
        <w:tc>
          <w:tcPr/>
          <w:p>
            <w:pPr>
              <w:pStyle w:val="Compact"/>
            </w:pPr>
            <w:r>
              <w:t xml:space="preserve">13% (11/83)</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15% (38/257)</w:t>
            </w:r>
          </w:p>
        </w:tc>
      </w:tr>
      <w:tr>
        <w:tc>
          <w:tcPr/>
          <w:p>
            <w:pPr>
              <w:pStyle w:val="Compact"/>
            </w:pPr>
            <w:r>
              <w:t xml:space="preserve">TNF-α</w:t>
            </w:r>
          </w:p>
        </w:tc>
        <w:tc>
          <w:tcPr/>
          <w:p>
            <w:pPr>
              <w:pStyle w:val="Compact"/>
            </w:pPr>
            <w:r>
              <w:t xml:space="preserve">75% (6/8)</w:t>
            </w:r>
          </w:p>
        </w:tc>
        <w:tc>
          <w:tcPr/>
          <w:p>
            <w:pPr>
              <w:pStyle w:val="Compact"/>
            </w:pPr>
            <w:r>
              <w:t xml:space="preserve">31% (11/36)</w:t>
            </w:r>
          </w:p>
        </w:tc>
        <w:tc>
          <w:tcPr/>
          <w:p>
            <w:pPr>
              <w:pStyle w:val="Compact"/>
            </w:pPr>
            <w:r>
              <w:t xml:space="preserve">19% (5/26)</w:t>
            </w:r>
          </w:p>
        </w:tc>
        <w:tc>
          <w:tcPr/>
          <w:p>
            <w:pPr>
              <w:pStyle w:val="Compact"/>
            </w:pPr>
            <w:r>
              <w:t xml:space="preserve">33% (4/12)</w:t>
            </w:r>
          </w:p>
        </w:tc>
        <w:tc>
          <w:tcPr/>
          <w:p>
            <w:pPr>
              <w:pStyle w:val="Compact"/>
            </w:pPr>
            <w:r>
              <w:t xml:space="preserve">0% (0/3)</w:t>
            </w:r>
          </w:p>
        </w:tc>
        <w:tc>
          <w:tcPr/>
          <w:p>
            <w:pPr>
              <w:pStyle w:val="Compact"/>
            </w:pPr>
            <w:r>
              <w:t xml:space="preserve">—</w:t>
            </w:r>
          </w:p>
        </w:tc>
        <w:tc>
          <w:tcPr/>
          <w:p>
            <w:pPr>
              <w:pStyle w:val="Compact"/>
            </w:pPr>
            <w:r>
              <w:t xml:space="preserve">31% (26/85)</w:t>
            </w:r>
          </w:p>
        </w:tc>
      </w:tr>
    </w:tbl>
    <w:p>
      <w:pPr>
        <w:pStyle w:val="BodyText"/>
      </w:pPr>
      <w:r>
        <w:rPr>
          <w:b/>
          <w:bCs/>
        </w:rPr>
        <w:t xml:space="preserve">Table 3.</w:t>
      </w:r>
      <w:r>
        <w:t xml:space="preserve"> </w:t>
      </w:r>
      <w:r>
        <w:t xml:space="preserve">Methyl-level (atom-exact) accuracy of the committed magicmaus call</w:t>
      </w:r>
      <w:r>
        <w:t xml:space="preserve"> </w:t>
      </w:r>
      <w:r>
        <w:t xml:space="preserve">(base) resolved to the individual methyl carbon. Geminal partners (Leu δ1/δ2, Val</w:t>
      </w:r>
      <w:r>
        <w:t xml:space="preserve"> </w:t>
      </w:r>
      <w:r>
        <w:t xml:space="preserve">γ1/γ2) are listed separately; their near-equal columns are the geminal-swap</w:t>
      </w:r>
      <w:r>
        <w:t xml:space="preserve"> </w:t>
      </w:r>
      <w:r>
        <w:t xml:space="preserve">signature — right residue, wrong prochiral methyl — and the reason the residue-wise</w:t>
      </w:r>
      <w:r>
        <w:t xml:space="preserve"> </w:t>
      </w:r>
      <w:r>
        <w:t xml:space="preserve">totals of Table 2 exceed these. A dash marks a methyl absent from the labeling.</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Target</w:t>
            </w:r>
          </w:p>
        </w:tc>
        <w:tc>
          <w:tcPr/>
          <w:p>
            <w:pPr>
              <w:pStyle w:val="Compact"/>
            </w:pPr>
            <w:r>
              <w:t xml:space="preserve">Ile δ1</w:t>
            </w:r>
          </w:p>
        </w:tc>
        <w:tc>
          <w:tcPr/>
          <w:p>
            <w:pPr>
              <w:pStyle w:val="Compact"/>
            </w:pPr>
            <w:r>
              <w:t xml:space="preserve">Leu δ1</w:t>
            </w:r>
          </w:p>
        </w:tc>
        <w:tc>
          <w:tcPr/>
          <w:p>
            <w:pPr>
              <w:pStyle w:val="Compact"/>
            </w:pPr>
            <w:r>
              <w:t xml:space="preserve">Leu δ2</w:t>
            </w:r>
          </w:p>
        </w:tc>
        <w:tc>
          <w:tcPr/>
          <w:p>
            <w:pPr>
              <w:pStyle w:val="Compact"/>
            </w:pPr>
            <w:r>
              <w:t xml:space="preserve">Val γ1</w:t>
            </w:r>
          </w:p>
        </w:tc>
        <w:tc>
          <w:tcPr/>
          <w:p>
            <w:pPr>
              <w:pStyle w:val="Compact"/>
            </w:pPr>
            <w:r>
              <w:t xml:space="preserve">Val γ2</w:t>
            </w:r>
          </w:p>
        </w:tc>
        <w:tc>
          <w:tcPr/>
          <w:p>
            <w:pPr>
              <w:pStyle w:val="Compact"/>
            </w:pPr>
            <w:r>
              <w:t xml:space="preserve">Ala β</w:t>
            </w:r>
          </w:p>
        </w:tc>
        <w:tc>
          <w:tcPr/>
          <w:p>
            <w:pPr>
              <w:pStyle w:val="Compact"/>
            </w:pPr>
            <w:r>
              <w:t xml:space="preserve">Thr γ2</w:t>
            </w:r>
          </w:p>
        </w:tc>
        <w:tc>
          <w:tcPr/>
          <w:p>
            <w:pPr>
              <w:pStyle w:val="Compact"/>
            </w:pPr>
            <w:r>
              <w:t xml:space="preserve">Met ε</w:t>
            </w:r>
          </w:p>
        </w:tc>
      </w:tr>
      <w:tr>
        <w:tc>
          <w:tcPr/>
          <w:p>
            <w:pPr>
              <w:pStyle w:val="Compact"/>
            </w:pPr>
            <w:r>
              <w:t xml:space="preserve">Ubiquitin</w:t>
            </w:r>
          </w:p>
        </w:tc>
        <w:tc>
          <w:tcPr/>
          <w:p>
            <w:pPr>
              <w:pStyle w:val="Compact"/>
            </w:pPr>
            <w:r>
              <w:t xml:space="preserve">100% (7/7)</w:t>
            </w:r>
          </w:p>
        </w:tc>
        <w:tc>
          <w:tcPr/>
          <w:p>
            <w:pPr>
              <w:pStyle w:val="Compact"/>
            </w:pPr>
            <w:r>
              <w:t xml:space="preserve">89% (8/9)</w:t>
            </w:r>
          </w:p>
        </w:tc>
        <w:tc>
          <w:tcPr/>
          <w:p>
            <w:pPr>
              <w:pStyle w:val="Compact"/>
            </w:pPr>
            <w:r>
              <w:t xml:space="preserve">89% (8/9)</w:t>
            </w:r>
          </w:p>
        </w:tc>
        <w:tc>
          <w:tcPr/>
          <w:p>
            <w:pPr>
              <w:pStyle w:val="Compact"/>
            </w:pPr>
            <w:r>
              <w:t xml:space="preserve">100% (4/4)</w:t>
            </w:r>
          </w:p>
        </w:tc>
        <w:tc>
          <w:tcPr/>
          <w:p>
            <w:pPr>
              <w:pStyle w:val="Compact"/>
            </w:pPr>
            <w:r>
              <w:t xml:space="preserve">100% (4/4)</w:t>
            </w:r>
          </w:p>
        </w:tc>
        <w:tc>
          <w:tcPr/>
          <w:p>
            <w:pPr>
              <w:pStyle w:val="Compact"/>
            </w:pPr>
            <w:r>
              <w:t xml:space="preserve">100% (2/2)</w:t>
            </w:r>
          </w:p>
        </w:tc>
        <w:tc>
          <w:tcPr/>
          <w:p>
            <w:pPr>
              <w:pStyle w:val="Compact"/>
            </w:pPr>
            <w:r>
              <w:t xml:space="preserve">100% (7/7)</w:t>
            </w:r>
          </w:p>
        </w:tc>
        <w:tc>
          <w:tcPr/>
          <w:p>
            <w:pPr>
              <w:pStyle w:val="Compact"/>
            </w:pPr>
            <w:r>
              <w:t xml:space="preserve">100% (1/1)</w:t>
            </w:r>
          </w:p>
        </w:tc>
      </w:tr>
      <w:tr>
        <w:tc>
          <w:tcPr/>
          <w:p>
            <w:pPr>
              <w:pStyle w:val="Compact"/>
            </w:pPr>
            <w:r>
              <w:t xml:space="preserve">IL-2</w:t>
            </w:r>
          </w:p>
        </w:tc>
        <w:tc>
          <w:tcPr/>
          <w:p>
            <w:pPr>
              <w:pStyle w:val="Compact"/>
            </w:pPr>
            <w:r>
              <w:t xml:space="preserve">78% (7/9)</w:t>
            </w:r>
          </w:p>
        </w:tc>
        <w:tc>
          <w:tcPr/>
          <w:p>
            <w:pPr>
              <w:pStyle w:val="Compact"/>
            </w:pPr>
            <w:r>
              <w:t xml:space="preserve">52% (11/21)</w:t>
            </w:r>
          </w:p>
        </w:tc>
        <w:tc>
          <w:tcPr/>
          <w:p>
            <w:pPr>
              <w:pStyle w:val="Compact"/>
            </w:pPr>
            <w:r>
              <w:t xml:space="preserve">52% (11/21)</w:t>
            </w:r>
          </w:p>
        </w:tc>
        <w:tc>
          <w:tcPr/>
          <w:p>
            <w:pPr>
              <w:pStyle w:val="Compact"/>
            </w:pPr>
            <w:r>
              <w:t xml:space="preserve">50% (2/4)</w:t>
            </w:r>
          </w:p>
        </w:tc>
        <w:tc>
          <w:tcPr/>
          <w:p>
            <w:pPr>
              <w:pStyle w:val="Compact"/>
            </w:pPr>
            <w:r>
              <w:t xml:space="preserve">75% (3/4)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HNH</w:t>
            </w:r>
          </w:p>
        </w:tc>
        <w:tc>
          <w:tcPr/>
          <w:p>
            <w:pPr>
              <w:pStyle w:val="Compact"/>
            </w:pPr>
            <w:r>
              <w:t xml:space="preserve">100% (7/7)</w:t>
            </w:r>
          </w:p>
        </w:tc>
        <w:tc>
          <w:tcPr/>
          <w:p>
            <w:pPr>
              <w:pStyle w:val="Compact"/>
            </w:pPr>
            <w:r>
              <w:t xml:space="preserve">93% (13/14)</w:t>
            </w:r>
          </w:p>
        </w:tc>
        <w:tc>
          <w:tcPr/>
          <w:p>
            <w:pPr>
              <w:pStyle w:val="Compact"/>
            </w:pPr>
            <w:r>
              <w:t xml:space="preserve">86% (12/14)</w:t>
            </w:r>
          </w:p>
        </w:tc>
        <w:tc>
          <w:tcPr/>
          <w:p>
            <w:pPr>
              <w:pStyle w:val="Compact"/>
            </w:pPr>
            <w:r>
              <w:t xml:space="preserve">50% (4/8)</w:t>
            </w:r>
          </w:p>
        </w:tc>
        <w:tc>
          <w:tcPr/>
          <w:p>
            <w:pPr>
              <w:pStyle w:val="Compact"/>
            </w:pPr>
            <w:r>
              <w:t xml:space="preserve">50% (4/8)</w:t>
            </w:r>
          </w:p>
        </w:tc>
        <w:tc>
          <w:tcPr/>
          <w:p>
            <w:pPr>
              <w:pStyle w:val="Compact"/>
            </w:pPr>
            <w:r>
              <w:t xml:space="preserve">100% (2/2)</w:t>
            </w:r>
          </w:p>
        </w:tc>
        <w:tc>
          <w:tcPr/>
          <w:p>
            <w:pPr>
              <w:pStyle w:val="Compact"/>
            </w:pPr>
            <w:r>
              <w:t xml:space="preserve">100% (4/4)</w:t>
            </w:r>
          </w:p>
        </w:tc>
        <w:tc>
          <w:tcPr/>
          <w:p>
            <w:pPr>
              <w:pStyle w:val="Compact"/>
            </w:pPr>
            <w:r>
              <w:t xml:space="preserve">—</w:t>
            </w:r>
          </w:p>
        </w:tc>
      </w:tr>
      <w:tr>
        <w:tc>
          <w:tcPr/>
          <w:p>
            <w:pPr>
              <w:pStyle w:val="Compact"/>
            </w:pPr>
            <w:r>
              <w:t xml:space="preserve">REC2</w:t>
            </w:r>
          </w:p>
        </w:tc>
        <w:tc>
          <w:tcPr/>
          <w:p>
            <w:pPr>
              <w:pStyle w:val="Compact"/>
            </w:pPr>
            <w:r>
              <w:t xml:space="preserve">89% (8/9)</w:t>
            </w:r>
          </w:p>
        </w:tc>
        <w:tc>
          <w:tcPr/>
          <w:p>
            <w:pPr>
              <w:pStyle w:val="Compact"/>
            </w:pPr>
            <w:r>
              <w:t xml:space="preserve">58% (14/24)</w:t>
            </w:r>
          </w:p>
        </w:tc>
        <w:tc>
          <w:tcPr/>
          <w:p>
            <w:pPr>
              <w:pStyle w:val="Compact"/>
            </w:pPr>
            <w:r>
              <w:t xml:space="preserve">62% (15/24)</w:t>
            </w:r>
          </w:p>
        </w:tc>
        <w:tc>
          <w:tcPr/>
          <w:p>
            <w:pPr>
              <w:pStyle w:val="Compact"/>
            </w:pPr>
            <w:r>
              <w:t xml:space="preserve">100% (3/3)</w:t>
            </w:r>
          </w:p>
        </w:tc>
        <w:tc>
          <w:tcPr/>
          <w:p>
            <w:pPr>
              <w:pStyle w:val="Compact"/>
            </w:pPr>
            <w:r>
              <w:t xml:space="preserve">100% (3/3)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REC3</w:t>
            </w:r>
          </w:p>
        </w:tc>
        <w:tc>
          <w:tcPr/>
          <w:p>
            <w:pPr>
              <w:pStyle w:val="Compact"/>
            </w:pPr>
            <w:r>
              <w:t xml:space="preserve">54% (7/13)</w:t>
            </w:r>
          </w:p>
        </w:tc>
        <w:tc>
          <w:tcPr/>
          <w:p>
            <w:pPr>
              <w:pStyle w:val="Compact"/>
            </w:pPr>
            <w:r>
              <w:t xml:space="preserve">48% (12/25)</w:t>
            </w:r>
          </w:p>
        </w:tc>
        <w:tc>
          <w:tcPr/>
          <w:p>
            <w:pPr>
              <w:pStyle w:val="Compact"/>
            </w:pPr>
            <w:r>
              <w:t xml:space="preserve">44% (11/25)</w:t>
            </w:r>
          </w:p>
        </w:tc>
        <w:tc>
          <w:tcPr/>
          <w:p>
            <w:pPr>
              <w:pStyle w:val="Compact"/>
            </w:pPr>
            <w:r>
              <w:t xml:space="preserve">55% (6/11)</w:t>
            </w:r>
          </w:p>
        </w:tc>
        <w:tc>
          <w:tcPr/>
          <w:p>
            <w:pPr>
              <w:pStyle w:val="Compact"/>
            </w:pPr>
            <w:r>
              <w:t xml:space="preserve">64% (7/11)</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MBP</w:t>
            </w:r>
          </w:p>
        </w:tc>
        <w:tc>
          <w:tcPr/>
          <w:p>
            <w:pPr>
              <w:pStyle w:val="Compact"/>
            </w:pPr>
            <w:r>
              <w:t xml:space="preserve">73% (16/22)</w:t>
            </w:r>
          </w:p>
        </w:tc>
        <w:tc>
          <w:tcPr/>
          <w:p>
            <w:pPr>
              <w:pStyle w:val="Compact"/>
            </w:pPr>
            <w:r>
              <w:t xml:space="preserve">47% (14/30)</w:t>
            </w:r>
          </w:p>
        </w:tc>
        <w:tc>
          <w:tcPr/>
          <w:p>
            <w:pPr>
              <w:pStyle w:val="Compact"/>
            </w:pPr>
            <w:r>
              <w:t xml:space="preserve">63% (19/30)</w:t>
            </w:r>
          </w:p>
        </w:tc>
        <w:tc>
          <w:tcPr/>
          <w:p>
            <w:pPr>
              <w:pStyle w:val="Compact"/>
            </w:pPr>
            <w:r>
              <w:t xml:space="preserve">65% (13/20)</w:t>
            </w:r>
          </w:p>
        </w:tc>
        <w:tc>
          <w:tcPr/>
          <w:p>
            <w:pPr>
              <w:pStyle w:val="Compact"/>
            </w:pPr>
            <w:r>
              <w:t xml:space="preserve">60% (12/20)</w:t>
            </w:r>
          </w:p>
        </w:tc>
        <w:tc>
          <w:tcPr/>
          <w:p>
            <w:pPr>
              <w:pStyle w:val="Compact"/>
            </w:pPr>
            <w:r>
              <w:t xml:space="preserve">43% (19/44)</w:t>
            </w:r>
          </w:p>
        </w:tc>
        <w:tc>
          <w:tcPr/>
          <w:p>
            <w:pPr>
              <w:pStyle w:val="Compact"/>
            </w:pPr>
            <w:r>
              <w:t xml:space="preserve">60% (12/20)</w:t>
            </w:r>
          </w:p>
        </w:tc>
        <w:tc>
          <w:tcPr/>
          <w:p>
            <w:pPr>
              <w:pStyle w:val="Compact"/>
            </w:pPr>
            <w:r>
              <w:t xml:space="preserve">67% (4/6)</w:t>
            </w:r>
          </w:p>
        </w:tc>
      </w:tr>
      <w:tr>
        <w:tc>
          <w:tcPr/>
          <w:p>
            <w:pPr>
              <w:pStyle w:val="Compact"/>
            </w:pPr>
            <w:r>
              <w:t xml:space="preserve">MSG</w:t>
            </w:r>
          </w:p>
        </w:tc>
        <w:tc>
          <w:tcPr/>
          <w:p>
            <w:pPr>
              <w:pStyle w:val="Compact"/>
            </w:pPr>
            <w:r>
              <w:t xml:space="preserve">22% (9/41)</w:t>
            </w:r>
          </w:p>
        </w:tc>
        <w:tc>
          <w:tcPr/>
          <w:p>
            <w:pPr>
              <w:pStyle w:val="Compact"/>
            </w:pPr>
            <w:r>
              <w:t xml:space="preserve">10% (7/67)</w:t>
            </w:r>
          </w:p>
        </w:tc>
        <w:tc>
          <w:tcPr/>
          <w:p>
            <w:pPr>
              <w:pStyle w:val="Compact"/>
            </w:pPr>
            <w:r>
              <w:t xml:space="preserve">14% (9/66)</w:t>
            </w:r>
          </w:p>
        </w:tc>
        <w:tc>
          <w:tcPr/>
          <w:p>
            <w:pPr>
              <w:pStyle w:val="Compact"/>
            </w:pPr>
            <w:r>
              <w:t xml:space="preserve">7% (3/42)</w:t>
            </w:r>
          </w:p>
        </w:tc>
        <w:tc>
          <w:tcPr/>
          <w:p>
            <w:pPr>
              <w:pStyle w:val="Compact"/>
            </w:pPr>
            <w:r>
              <w:t xml:space="preserve">17% (7/41)</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TNF-α</w:t>
            </w:r>
          </w:p>
        </w:tc>
        <w:tc>
          <w:tcPr/>
          <w:p>
            <w:pPr>
              <w:pStyle w:val="Compact"/>
            </w:pPr>
            <w:r>
              <w:t xml:space="preserve">75% (6/8)</w:t>
            </w:r>
          </w:p>
        </w:tc>
        <w:tc>
          <w:tcPr/>
          <w:p>
            <w:pPr>
              <w:pStyle w:val="Compact"/>
            </w:pPr>
            <w:r>
              <w:t xml:space="preserve">17% (3/18)</w:t>
            </w:r>
          </w:p>
        </w:tc>
        <w:tc>
          <w:tcPr/>
          <w:p>
            <w:pPr>
              <w:pStyle w:val="Compact"/>
            </w:pPr>
            <w:r>
              <w:t xml:space="preserve">17% (3/18)</w:t>
            </w:r>
          </w:p>
        </w:tc>
        <w:tc>
          <w:tcPr/>
          <w:p>
            <w:pPr>
              <w:pStyle w:val="Compact"/>
            </w:pPr>
            <w:r>
              <w:t xml:space="preserve">8% (1/13)</w:t>
            </w:r>
          </w:p>
        </w:tc>
        <w:tc>
          <w:tcPr/>
          <w:p>
            <w:pPr>
              <w:pStyle w:val="Compact"/>
            </w:pPr>
            <w:r>
              <w:t xml:space="preserve">31% (4/13)</w:t>
            </w:r>
          </w:p>
        </w:tc>
        <w:tc>
          <w:tcPr/>
          <w:p>
            <w:pPr>
              <w:pStyle w:val="Compact"/>
            </w:pPr>
            <w:r>
              <w:t xml:space="preserve">33% (4/12)</w:t>
            </w:r>
          </w:p>
        </w:tc>
        <w:tc>
          <w:tcPr/>
          <w:p>
            <w:pPr>
              <w:pStyle w:val="Compact"/>
            </w:pPr>
            <w:r>
              <w:t xml:space="preserve">0% (0/3)</w:t>
            </w:r>
          </w:p>
        </w:tc>
        <w:tc>
          <w:tcPr/>
          <w:p>
            <w:pPr>
              <w:pStyle w:val="Compact"/>
            </w:pPr>
            <w:r>
              <w:t xml:space="preserve">—</w:t>
            </w:r>
          </w:p>
        </w:tc>
      </w:tr>
    </w:tbl>
    <w:bookmarkEnd w:id="13"/>
    <w:bookmarkStart w:id="14" w:name="conclusion"/>
    <w:p>
      <w:pPr>
        <w:pStyle w:val="Heading2"/>
      </w:pPr>
      <w:r>
        <w:t xml:space="preserve">4 Conclusion</w:t>
      </w:r>
    </w:p>
    <w:p>
      <w:pPr>
        <w:pStyle w:val="FirstParagraph"/>
      </w:pPr>
      <w:r>
        <w:t xml:space="preserve">magicmaus shows that constraint satisfaction and scoring are not competing solutions</w:t>
      </w:r>
      <w:r>
        <w:t xml:space="preserve"> </w:t>
      </w:r>
      <w:r>
        <w:t xml:space="preserve">to methyl assignment but complementary stages of one: SAT to bound the answer with</w:t>
      </w:r>
      <w:r>
        <w:t xml:space="preserve"> </w:t>
      </w:r>
      <w:r>
        <w:t xml:space="preserve">certainty, an intensity-weighted NOE score to commit within the bound. The bounding</w:t>
      </w:r>
      <w:r>
        <w:t xml:space="preserve"> </w:t>
      </w:r>
      <w:r>
        <w:t xml:space="preserve">step is what makes the scoring tractable and accurate — a diverse-seed multistart</w:t>
      </w:r>
      <w:r>
        <w:t xml:space="preserve"> </w:t>
      </w:r>
      <w:r>
        <w:t xml:space="preserve">reaches the objective’s optimum inside the small pruned space where the same search</w:t>
      </w:r>
      <w:r>
        <w:t xml:space="preserve"> </w:t>
      </w:r>
      <w:r>
        <w:t xml:space="preserve">over the full candidate space cannot — and where the bounds can be enumerated</w:t>
      </w:r>
      <w:r>
        <w:t xml:space="preserve"> </w:t>
      </w:r>
      <w:r>
        <w:t xml:space="preserve">tightly magicmaus is the most accurate of the three engines, at no cost to the</w:t>
      </w:r>
      <w:r>
        <w:t xml:space="preserve"> </w:t>
      </w:r>
      <w:r>
        <w:t xml:space="preserve">never-exclude envelope, which it always returns as an explicit ambiguity map. We</w:t>
      </w:r>
      <w:r>
        <w:t xml:space="preserve"> </w:t>
      </w:r>
      <w:r>
        <w:t xml:space="preserve">report accuracy residue-wise because the residue is the hard part and the geminal</w:t>
      </w:r>
      <w:r>
        <w:t xml:space="preserve"> </w:t>
      </w:r>
      <w:r>
        <w:t xml:space="preserve">δ1/δ2 orientation is a near-symmetric coin flip an achiral NOE network cannot settle;</w:t>
      </w:r>
      <w:r>
        <w:t xml:space="preserve"> </w:t>
      </w:r>
      <w:r>
        <w:t xml:space="preserve">the methyl-level gap is exactly that unresolved swap. Two honest boundaries frame the</w:t>
      </w:r>
      <w:r>
        <w:t xml:space="preserve"> </w:t>
      </w:r>
      <w:r>
        <w:t xml:space="preserve">method: at scale (malate synthase G, 257 methyls) the exact bounds become intractable</w:t>
      </w:r>
      <w:r>
        <w:t xml:space="preserve"> </w:t>
      </w:r>
      <w:r>
        <w:t xml:space="preserve">and, over the loose fallback, a sparse network leaves the synthesis below plain</w:t>
      </w:r>
      <w:r>
        <w:t xml:space="preserve"> </w:t>
      </w:r>
      <w:r>
        <w:t xml:space="preserve">scoring; and on real spectra scored against a</w:t>
      </w:r>
      <w:r>
        <w:t xml:space="preserve"> </w:t>
      </w:r>
      <w:r>
        <w:rPr>
          <w:i/>
          <w:iCs/>
        </w:rPr>
        <w:t xml:space="preserve">predicted</w:t>
      </w:r>
      <w:r>
        <w:t xml:space="preserve"> </w:t>
      </w:r>
      <w:r>
        <w:t xml:space="preserve">fold, the never-exclude</w:t>
      </w:r>
      <w:r>
        <w:t xml:space="preserve"> </w:t>
      </w:r>
      <w:r>
        <w:t xml:space="preserve">guarantee — not the committed call — is what survives a structure the data</w:t>
      </w:r>
      <w:r>
        <w:t xml:space="preserve"> </w:t>
      </w:r>
      <w:r>
        <w:t xml:space="preserve">contradict (a 96.5%, not 100%, envelope on TNF-α). The two clean-room parent</w:t>
      </w:r>
      <w:r>
        <w:t xml:space="preserve"> </w:t>
      </w:r>
      <w:r>
        <w:t xml:space="preserve">implementations and magicmaus are released together to support reuse and further</w:t>
      </w:r>
      <w:r>
        <w:t xml:space="preserve"> </w:t>
      </w:r>
      <w:r>
        <w:t xml:space="preserve">hybridization.</w:t>
      </w:r>
    </w:p>
    <w:bookmarkEnd w:id="14"/>
    <w:bookmarkStart w:id="15" w:name="acknowledgements"/>
    <w:p>
      <w:pPr>
        <w:pStyle w:val="Heading2"/>
      </w:pPr>
      <w:r>
        <w:t xml:space="preserve">Acknowledgements</w:t>
      </w:r>
    </w:p>
    <w:p>
      <w:pPr>
        <w:pStyle w:val="FirstParagraph"/>
      </w:pPr>
      <w:r>
        <w:t xml:space="preserve">The authors gratefully acknowledge Eun-Hee Kim and Dr. Hae-Kap Cheong from the</w:t>
      </w:r>
      <w:r>
        <w:t xml:space="preserve"> </w:t>
      </w:r>
      <w:r>
        <w:t xml:space="preserve">Korea Basic Science Institute (KBSI) for their valuable support and discussions,</w:t>
      </w:r>
      <w:r>
        <w:t xml:space="preserve"> </w:t>
      </w:r>
      <w:r>
        <w:t xml:space="preserve">and thank the maintainers of PySAT and the BMRB.</w:t>
      </w:r>
    </w:p>
    <w:bookmarkEnd w:id="15"/>
    <w:bookmarkStart w:id="16" w:name="conflict-of-interest"/>
    <w:p>
      <w:pPr>
        <w:pStyle w:val="Heading2"/>
      </w:pPr>
      <w:r>
        <w:t xml:space="preserve">Conflict of interest</w:t>
      </w:r>
    </w:p>
    <w:p>
      <w:pPr>
        <w:pStyle w:val="FirstParagraph"/>
      </w:pPr>
      <w:r>
        <w:t xml:space="preserve">None declared.</w:t>
      </w:r>
    </w:p>
    <w:bookmarkEnd w:id="16"/>
    <w:bookmarkStart w:id="17" w:name="funding"/>
    <w:p>
      <w:pPr>
        <w:pStyle w:val="Heading2"/>
      </w:pPr>
      <w:r>
        <w:t xml:space="preserve">Funding</w:t>
      </w:r>
    </w:p>
    <w:p>
      <w:pPr>
        <w:pStyle w:val="FirstParagraph"/>
      </w:pPr>
      <w:r>
        <w:t xml:space="preserve">This work was supported by the Korea Basic Science Institute (KBSI) internal</w:t>
      </w:r>
      <w:r>
        <w:t xml:space="preserve"> </w:t>
      </w:r>
      <w:r>
        <w:t xml:space="preserve">research programs [C612120, C623200, C623300, C625130, and C539110].</w:t>
      </w:r>
    </w:p>
    <w:bookmarkEnd w:id="17"/>
    <w:bookmarkStart w:id="18" w:name="data-availability"/>
    <w:p>
      <w:pPr>
        <w:pStyle w:val="Heading2"/>
      </w:pPr>
      <w:r>
        <w:t xml:space="preserve">Data availability</w:t>
      </w:r>
    </w:p>
    <w:p>
      <w:pPr>
        <w:pStyle w:val="FirstParagraph"/>
      </w:pPr>
      <w:r>
        <w:t xml:space="preserve">The program underlying this article is available on the project website at</w:t>
      </w:r>
      <w:r>
        <w:t xml:space="preserve"> </w:t>
      </w:r>
      <w:hyperlink r:id="rId9">
        <w:r>
          <w:rPr>
            <w:rStyle w:val="Hyperlink"/>
          </w:rPr>
          <w:t xml:space="preserve">https://github.com/deepnmr/magicmaus</w:t>
        </w:r>
      </w:hyperlink>
      <w:r>
        <w:t xml:space="preserve">.</w:t>
      </w:r>
    </w:p>
    <w:bookmarkEnd w:id="18"/>
    <w:bookmarkStart w:id="22" w:name="references"/>
    <w:p>
      <w:pPr>
        <w:pStyle w:val="Heading2"/>
      </w:pPr>
      <w:r>
        <w:t xml:space="preserve">References</w:t>
      </w:r>
    </w:p>
    <w:p>
      <w:pPr>
        <w:pStyle w:val="FirstParagraph"/>
      </w:pPr>
      <w:r>
        <w:t xml:space="preserve">Audemard,G. and Simon,L. (2009) Predicting learnt clauses quality in modern SAT</w:t>
      </w:r>
      <w:r>
        <w:t xml:space="preserve"> </w:t>
      </w:r>
      <w:r>
        <w:t xml:space="preserve">solvers. In</w:t>
      </w:r>
      <w:r>
        <w:t xml:space="preserve"> </w:t>
      </w:r>
      <w:r>
        <w:rPr>
          <w:i/>
          <w:iCs/>
        </w:rPr>
        <w:t xml:space="preserve">Proc. 21st Int. Joint Conf. on Artificial Intelligence (IJCAI)</w:t>
      </w:r>
      <w:r>
        <w:t xml:space="preserve">,</w:t>
      </w:r>
      <w:r>
        <w:t xml:space="preserve"> </w:t>
      </w:r>
      <w:r>
        <w:t xml:space="preserve">pp. 399–404.</w:t>
      </w:r>
    </w:p>
    <w:p>
      <w:pPr>
        <w:pStyle w:val="BodyText"/>
      </w:pPr>
      <w:r>
        <w:t xml:space="preserve">Ignatiev,A., Morgado,A. and Marques-Silva,J. (2018) PySAT: a Python toolkit for</w:t>
      </w:r>
      <w:r>
        <w:t xml:space="preserve"> </w:t>
      </w:r>
      <w:r>
        <w:t xml:space="preserve">prototyping with SAT oracles. In</w:t>
      </w:r>
      <w:r>
        <w:t xml:space="preserve"> </w:t>
      </w:r>
      <w:r>
        <w:rPr>
          <w:i/>
          <w:iCs/>
        </w:rPr>
        <w:t xml:space="preserve">Theory and Applications of Satisfiability</w:t>
      </w:r>
      <w:r>
        <w:rPr>
          <w:i/>
          <w:iCs/>
        </w:rPr>
        <w:t xml:space="preserve"> </w:t>
      </w:r>
      <w:r>
        <w:rPr>
          <w:i/>
          <w:iCs/>
        </w:rPr>
        <w:t xml:space="preserve">Testing (SAT 2018)</w:t>
      </w:r>
      <w:r>
        <w:t xml:space="preserve">, LNCS 10929, pp. 428–437.</w:t>
      </w:r>
    </w:p>
    <w:p>
      <w:pPr>
        <w:pStyle w:val="BodyText"/>
      </w:pPr>
      <w:r>
        <w:t xml:space="preserve">Monneau,Y.R.</w:t>
      </w:r>
      <w:r>
        <w:t xml:space="preserve"> </w:t>
      </w:r>
      <w:r>
        <w:rPr>
          <w:i/>
          <w:iCs/>
        </w:rPr>
        <w:t xml:space="preserve">et al.</w:t>
      </w:r>
      <w:r>
        <w:t xml:space="preserve"> </w:t>
      </w:r>
      <w:r>
        <w:t xml:space="preserve">(2017) Automatic methyl assignment in large proteins by the</w:t>
      </w:r>
      <w:r>
        <w:t xml:space="preserve"> </w:t>
      </w:r>
      <w:r>
        <w:t xml:space="preserve">MAGIC algorithm.</w:t>
      </w:r>
      <w:r>
        <w:t xml:space="preserve"> </w:t>
      </w:r>
      <w:r>
        <w:rPr>
          <w:i/>
          <w:iCs/>
        </w:rPr>
        <w:t xml:space="preserve">J. Biomol. NMR</w:t>
      </w:r>
      <w:r>
        <w:t xml:space="preserve">,</w:t>
      </w:r>
      <w:r>
        <w:t xml:space="preserve"> </w:t>
      </w:r>
      <w:r>
        <w:rPr>
          <w:b/>
          <w:bCs/>
        </w:rPr>
        <w:t xml:space="preserve">69</w:t>
      </w:r>
      <w:r>
        <w:t xml:space="preserve">, 215–227.</w:t>
      </w:r>
    </w:p>
    <w:p>
      <w:pPr>
        <w:pStyle w:val="BodyText"/>
      </w:pPr>
      <w:r>
        <w:t xml:space="preserve">Nerli,S., De Paula,V.S., McShan,A.C. and Sgourakis,N.G. (2021)</w:t>
      </w:r>
      <w:r>
        <w:t xml:space="preserve"> </w:t>
      </w:r>
      <w:r>
        <w:t xml:space="preserve">Backbone-independent NMR resonance assignments of methyl probes in large</w:t>
      </w:r>
      <w:r>
        <w:t xml:space="preserve"> </w:t>
      </w:r>
      <w:r>
        <w:t xml:space="preserve">proteins.</w:t>
      </w:r>
      <w:r>
        <w:t xml:space="preserve"> </w:t>
      </w:r>
      <w:r>
        <w:rPr>
          <w:i/>
          <w:iCs/>
        </w:rPr>
        <w:t xml:space="preserve">Nat. Commun.</w:t>
      </w:r>
      <w:r>
        <w:t xml:space="preserve">,</w:t>
      </w:r>
      <w:r>
        <w:t xml:space="preserve"> </w:t>
      </w:r>
      <w:r>
        <w:rPr>
          <w:b/>
          <w:bCs/>
        </w:rPr>
        <w:t xml:space="preserve">12</w:t>
      </w:r>
      <w:r>
        <w:t xml:space="preserve">, 691.</w:t>
      </w:r>
    </w:p>
    <w:p>
      <w:pPr>
        <w:pStyle w:val="BodyText"/>
      </w:pPr>
      <w:r>
        <w:t xml:space="preserve">Pritišanac,I.</w:t>
      </w:r>
      <w:r>
        <w:t xml:space="preserve"> </w:t>
      </w:r>
      <w:r>
        <w:rPr>
          <w:i/>
          <w:iCs/>
        </w:rPr>
        <w:t xml:space="preserve">et al.</w:t>
      </w:r>
      <w:r>
        <w:t xml:space="preserve"> </w:t>
      </w:r>
      <w:r>
        <w:t xml:space="preserve">(2017) Automatic assignment of methyl-NMR spectra of</w:t>
      </w:r>
      <w:r>
        <w:t xml:space="preserve"> </w:t>
      </w:r>
      <w:r>
        <w:t xml:space="preserve">supramolecular machines using graph theory.</w:t>
      </w:r>
      <w:r>
        <w:t xml:space="preserve"> </w:t>
      </w:r>
      <w:r>
        <w:rPr>
          <w:i/>
          <w:iCs/>
        </w:rPr>
        <w:t xml:space="preserve">J. Am. Chem. Soc.</w:t>
      </w:r>
      <w:r>
        <w:t xml:space="preserve">,</w:t>
      </w:r>
      <w:r>
        <w:t xml:space="preserve"> </w:t>
      </w:r>
      <w:r>
        <w:rPr>
          <w:b/>
          <w:bCs/>
        </w:rPr>
        <w:t xml:space="preserve">139</w:t>
      </w:r>
      <w:r>
        <w:t xml:space="preserve">,</w:t>
      </w:r>
      <w:r>
        <w:t xml:space="preserve"> </w:t>
      </w:r>
      <w:r>
        <w:t xml:space="preserve">9523–9533.</w:t>
      </w:r>
    </w:p>
    <w:p>
      <w:pPr>
        <w:pStyle w:val="BodyText"/>
      </w:pPr>
      <w:r>
        <w:t xml:space="preserve">Pritišanac,I., Würz,J.M., Alderson,T.R. and Güntert,P. (2019) Automatic</w:t>
      </w:r>
      <w:r>
        <w:t xml:space="preserve"> </w:t>
      </w:r>
      <w:r>
        <w:t xml:space="preserve">structure-based NMR methyl resonance assignment in large proteins.</w:t>
      </w:r>
      <w:r>
        <w:t xml:space="preserve"> </w:t>
      </w:r>
      <w:r>
        <w:rPr>
          <w:i/>
          <w:iCs/>
        </w:rPr>
        <w:t xml:space="preserve">Nat.</w:t>
      </w:r>
      <w:r>
        <w:rPr>
          <w:i/>
          <w:iCs/>
        </w:rPr>
        <w:t xml:space="preserve"> </w:t>
      </w:r>
      <w:r>
        <w:rPr>
          <w:i/>
          <w:iCs/>
        </w:rPr>
        <w:t xml:space="preserve">Commun.</w:t>
      </w:r>
      <w:r>
        <w:t xml:space="preserve">,</w:t>
      </w:r>
      <w:r>
        <w:t xml:space="preserve"> </w:t>
      </w:r>
      <w:r>
        <w:rPr>
          <w:b/>
          <w:bCs/>
        </w:rPr>
        <w:t xml:space="preserve">10</w:t>
      </w:r>
      <w:r>
        <w:t xml:space="preserve">, 4922.</w:t>
      </w:r>
    </w:p>
    <w:p>
      <w:pPr>
        <w:pStyle w:val="BodyText"/>
      </w:pPr>
      <w:r>
        <w:t xml:space="preserve">Pritišanac,I., Alderson,T.R. and Güntert,P. (2020) Automated assignment of methyl</w:t>
      </w:r>
      <w:r>
        <w:t xml:space="preserve"> </w:t>
      </w:r>
      <w:r>
        <w:t xml:space="preserve">NMR spectra from large proteins.</w:t>
      </w:r>
      <w:r>
        <w:t xml:space="preserve"> </w:t>
      </w:r>
      <w:r>
        <w:rPr>
          <w:i/>
          <w:iCs/>
        </w:rPr>
        <w:t xml:space="preserve">Prog. Nucl. Magn. Reson. Spectrosc.</w:t>
      </w:r>
      <w:r>
        <w:t xml:space="preserve">,</w:t>
      </w:r>
      <w:r>
        <w:t xml:space="preserve"> </w:t>
      </w:r>
      <w:r>
        <w:rPr>
          <w:b/>
          <w:bCs/>
        </w:rPr>
        <w:t xml:space="preserve">118–119</w:t>
      </w:r>
      <w:r>
        <w:t xml:space="preserve">, 54–73.</w:t>
      </w:r>
    </w:p>
    <w:p>
      <w:pPr>
        <w:pStyle w:val="BodyText"/>
      </w:pPr>
      <w:r>
        <w:t xml:space="preserve">Rosenzweig,R. and Kay,L.E. (2014) Bringing dynamic molecular machines into focus</w:t>
      </w:r>
      <w:r>
        <w:t xml:space="preserve"> </w:t>
      </w:r>
      <w:r>
        <w:t xml:space="preserve">by methyl-TROSY NMR.</w:t>
      </w:r>
      <w:r>
        <w:t xml:space="preserve"> </w:t>
      </w:r>
      <w:r>
        <w:rPr>
          <w:i/>
          <w:iCs/>
        </w:rPr>
        <w:t xml:space="preserve">Annu. Rev. Biochem.</w:t>
      </w:r>
      <w:r>
        <w:t xml:space="preserve">,</w:t>
      </w:r>
      <w:r>
        <w:t xml:space="preserve"> </w:t>
      </w:r>
      <w:r>
        <w:rPr>
          <w:b/>
          <w:bCs/>
        </w:rPr>
        <w:t xml:space="preserve">83</w:t>
      </w:r>
      <w:r>
        <w:t xml:space="preserve">, 291–315.</w:t>
      </w:r>
    </w:p>
    <w:p>
      <w:pPr>
        <w:pStyle w:val="BodyText"/>
      </w:pPr>
      <w:r>
        <w:t xml:space="preserve">Rossi,P., Xia,Y., Khanra,N., Veglia,G. and Kalodimos,C.G. (2016)</w:t>
      </w:r>
      <w:r>
        <w:t xml:space="preserve"> </w:t>
      </w:r>
      <w:r>
        <w:rPr>
          <w:vertAlign w:val="superscript"/>
        </w:rPr>
        <w:t xml:space="preserve">15</w:t>
      </w:r>
      <w:r>
        <w:t xml:space="preserve">N and</w:t>
      </w:r>
      <w:r>
        <w:t xml:space="preserve"> </w:t>
      </w:r>
      <w:r>
        <w:rPr>
          <w:vertAlign w:val="superscript"/>
        </w:rPr>
        <w:t xml:space="preserve">13</w:t>
      </w:r>
      <w:r>
        <w:t xml:space="preserve">C-SOFAST-HMQC editing enhances 3D-NOESY sensitivity in highly deuterated,</w:t>
      </w:r>
      <w:r>
        <w:t xml:space="preserve"> </w:t>
      </w:r>
      <w:r>
        <w:t xml:space="preserve">selectively [</w:t>
      </w:r>
      <w:r>
        <w:rPr>
          <w:vertAlign w:val="superscript"/>
        </w:rPr>
        <w:t xml:space="preserve">1</w:t>
      </w:r>
      <w:r>
        <w:t xml:space="preserve">H,</w:t>
      </w:r>
      <w:r>
        <w:rPr>
          <w:vertAlign w:val="superscript"/>
        </w:rPr>
        <w:t xml:space="preserve">13</w:t>
      </w:r>
      <w:r>
        <w:t xml:space="preserve">C]-labeled proteins.</w:t>
      </w:r>
      <w:r>
        <w:t xml:space="preserve"> </w:t>
      </w:r>
      <w:r>
        <w:rPr>
          <w:i/>
          <w:iCs/>
        </w:rPr>
        <w:t xml:space="preserve">J. Biomol. NMR</w:t>
      </w:r>
      <w:r>
        <w:t xml:space="preserve">,</w:t>
      </w:r>
      <w:r>
        <w:t xml:space="preserve"> </w:t>
      </w:r>
      <w:r>
        <w:rPr>
          <w:b/>
          <w:bCs/>
        </w:rPr>
        <w:t xml:space="preserve">66</w:t>
      </w:r>
      <w:r>
        <w:t xml:space="preserve">, 259–271.</w:t>
      </w:r>
    </w:p>
    <w:p>
      <w:pPr>
        <w:pStyle w:val="BodyText"/>
      </w:pPr>
      <w:r>
        <w:t xml:space="preserve">Siemons,L., Mackenzie,H.W., Shukla,V.K. and Hansen,D.F. (2019) Intra-residue</w:t>
      </w:r>
      <w:r>
        <w:t xml:space="preserve"> </w:t>
      </w:r>
      <w:r>
        <w:t xml:space="preserve">methyl–methyl correlations for valine and leucine residues in large proteins from</w:t>
      </w:r>
      <w:r>
        <w:t xml:space="preserve"> </w:t>
      </w:r>
      <w:r>
        <w:t xml:space="preserve">a 3D-HMBC-HMQC experiment.</w:t>
      </w:r>
      <w:r>
        <w:t xml:space="preserve"> </w:t>
      </w:r>
      <w:r>
        <w:rPr>
          <w:i/>
          <w:iCs/>
        </w:rPr>
        <w:t xml:space="preserve">J. Biomol. NMR</w:t>
      </w:r>
      <w:r>
        <w:t xml:space="preserve">,</w:t>
      </w:r>
      <w:r>
        <w:t xml:space="preserve"> </w:t>
      </w:r>
      <w:r>
        <w:rPr>
          <w:b/>
          <w:bCs/>
        </w:rPr>
        <w:t xml:space="preserve">73</w:t>
      </w:r>
      <w:r>
        <w:t xml:space="preserve">, 749–757.</w:t>
      </w:r>
    </w:p>
    <w:p>
      <w:pPr>
        <w:pStyle w:val="BodyText"/>
      </w:pPr>
      <w:r>
        <w:t xml:space="preserve">Spurlino,J.C., Lu,G.-Y. and Quiocho,F.A. (1991) The 2.3-Å resolution structure of</w:t>
      </w:r>
      <w:r>
        <w:t xml:space="preserve"> </w:t>
      </w:r>
      <w:r>
        <w:t xml:space="preserve">the maltose- or maltodextrin-binding protein, a primary receptor of bacterial</w:t>
      </w:r>
      <w:r>
        <w:t xml:space="preserve"> </w:t>
      </w:r>
      <w:r>
        <w:t xml:space="preserve">active transport and chemotaxis.</w:t>
      </w:r>
      <w:r>
        <w:t xml:space="preserve"> </w:t>
      </w:r>
      <w:r>
        <w:rPr>
          <w:i/>
          <w:iCs/>
        </w:rPr>
        <w:t xml:space="preserve">J. Biol. Chem.</w:t>
      </w:r>
      <w:r>
        <w:t xml:space="preserve">,</w:t>
      </w:r>
      <w:r>
        <w:t xml:space="preserve"> </w:t>
      </w:r>
      <w:r>
        <w:rPr>
          <w:b/>
          <w:bCs/>
        </w:rPr>
        <w:t xml:space="preserve">266</w:t>
      </w:r>
      <w:r>
        <w:t xml:space="preserve">, 5202–5219.</w:t>
      </w:r>
    </w:p>
    <w:p>
      <w:pPr>
        <w:pStyle w:val="BodyText"/>
      </w:pPr>
      <w:r>
        <w:t xml:space="preserve">Tugarinov,V. and Kay,L.E. (2004) An isotope labeling strategy for methyl TROSY</w:t>
      </w:r>
      <w:r>
        <w:t xml:space="preserve"> </w:t>
      </w:r>
      <w:r>
        <w:t xml:space="preserve">spectroscopy.</w:t>
      </w:r>
      <w:r>
        <w:t xml:space="preserve"> </w:t>
      </w:r>
      <w:r>
        <w:rPr>
          <w:i/>
          <w:iCs/>
        </w:rPr>
        <w:t xml:space="preserve">J. Biomol. NMR</w:t>
      </w:r>
      <w:r>
        <w:t xml:space="preserve">,</w:t>
      </w:r>
      <w:r>
        <w:t xml:space="preserve"> </w:t>
      </w:r>
      <w:r>
        <w:rPr>
          <w:b/>
          <w:bCs/>
        </w:rPr>
        <w:t xml:space="preserve">28</w:t>
      </w:r>
      <w:r>
        <w:t xml:space="preserve">, 165–172.</w:t>
      </w:r>
    </w:p>
    <w:p>
      <w:pPr>
        <w:pStyle w:val="BodyText"/>
      </w:pPr>
      <w:r>
        <w:t xml:space="preserve">Tugarinov,V., Hwang,P.M., Ollerenshaw,J.E. and Kay,L.E. (2003) Cross-correlated</w:t>
      </w:r>
      <w:r>
        <w:t xml:space="preserve"> </w:t>
      </w:r>
      <w:r>
        <w:t xml:space="preserve">relaxation enhanced</w:t>
      </w:r>
      <w:r>
        <w:t xml:space="preserve"> </w:t>
      </w:r>
      <w:r>
        <w:rPr>
          <w:vertAlign w:val="superscript"/>
        </w:rPr>
        <w:t xml:space="preserve">1</w:t>
      </w:r>
      <w:r>
        <w:t xml:space="preserve">H–</w:t>
      </w:r>
      <w:r>
        <w:rPr>
          <w:vertAlign w:val="superscript"/>
        </w:rPr>
        <w:t xml:space="preserve">13</w:t>
      </w:r>
      <w:r>
        <w:t xml:space="preserve">C NMR spectroscopy of methyl groups in very high</w:t>
      </w:r>
      <w:r>
        <w:t xml:space="preserve"> </w:t>
      </w:r>
      <w:r>
        <w:t xml:space="preserve">molecular weight proteins and protein complexes.</w:t>
      </w:r>
      <w:r>
        <w:t xml:space="preserve"> </w:t>
      </w:r>
      <w:r>
        <w:rPr>
          <w:i/>
          <w:iCs/>
        </w:rPr>
        <w:t xml:space="preserve">J. Am. Chem. Soc.</w:t>
      </w:r>
      <w:r>
        <w:t xml:space="preserve">,</w:t>
      </w:r>
      <w:r>
        <w:t xml:space="preserve"> </w:t>
      </w:r>
      <w:r>
        <w:rPr>
          <w:b/>
          <w:bCs/>
        </w:rPr>
        <w:t xml:space="preserve">125</w:t>
      </w:r>
      <w:r>
        <w:t xml:space="preserve">,</w:t>
      </w:r>
      <w:r>
        <w:t xml:space="preserve"> </w:t>
      </w:r>
      <w:r>
        <w:t xml:space="preserve">10420–10428.</w:t>
      </w:r>
    </w:p>
    <w:p>
      <w:pPr>
        <w:pStyle w:val="BodyText"/>
      </w:pPr>
      <w:r>
        <w:t xml:space="preserve">Ulrich,E.L.</w:t>
      </w:r>
      <w:r>
        <w:t xml:space="preserve"> </w:t>
      </w:r>
      <w:r>
        <w:rPr>
          <w:i/>
          <w:iCs/>
        </w:rPr>
        <w:t xml:space="preserve">et al.</w:t>
      </w:r>
      <w:r>
        <w:t xml:space="preserve"> </w:t>
      </w:r>
      <w:r>
        <w:t xml:space="preserve">(2008) BioMagResBank.</w:t>
      </w:r>
      <w:r>
        <w:t xml:space="preserve"> </w:t>
      </w:r>
      <w:r>
        <w:rPr>
          <w:i/>
          <w:iCs/>
        </w:rPr>
        <w:t xml:space="preserve">Nucleic Acids Res.</w:t>
      </w:r>
      <w:r>
        <w:t xml:space="preserve">,</w:t>
      </w:r>
      <w:r>
        <w:t xml:space="preserve"> </w:t>
      </w:r>
      <w:r>
        <w:rPr>
          <w:b/>
          <w:bCs/>
        </w:rPr>
        <w:t xml:space="preserve">36</w:t>
      </w:r>
      <w:r>
        <w:t xml:space="preserve">,</w:t>
      </w:r>
      <w:r>
        <w:t xml:space="preserve"> </w:t>
      </w:r>
      <w:r>
        <w:t xml:space="preserve">D402–D408.</w:t>
      </w:r>
    </w:p>
    <w:p>
      <w:pPr>
        <w:pStyle w:val="BodyText"/>
      </w:pPr>
      <w:r>
        <w:t xml:space="preserve">Wen,J., Zhou,P. and Wu,J. (2012) Efficient acquisition of high-resolution 4-D</w:t>
      </w:r>
      <w:r>
        <w:t xml:space="preserve"> </w:t>
      </w:r>
      <w:r>
        <w:t xml:space="preserve">diagonal-suppressed methyl–methyl NOESY for large proteins.</w:t>
      </w:r>
      <w:r>
        <w:t xml:space="preserve"> </w:t>
      </w:r>
      <w:r>
        <w:rPr>
          <w:i/>
          <w:iCs/>
        </w:rPr>
        <w:t xml:space="preserve">J. Magn. Reson.</w:t>
      </w:r>
      <w:r>
        <w:t xml:space="preserve">,</w:t>
      </w:r>
      <w:r>
        <w:t xml:space="preserve"> </w:t>
      </w:r>
      <w:r>
        <w:rPr>
          <w:b/>
          <w:bCs/>
        </w:rPr>
        <w:t xml:space="preserve">218</w:t>
      </w:r>
      <w:r>
        <w:t xml:space="preserve">, 128–132.</w:t>
      </w:r>
    </w:p>
    <w:p>
      <w:r>
        <w:pict>
          <v:rect style="width:0;height:1.5pt" o:hralign="center" o:hrstd="t" o:hr="t"/>
        </w:pict>
      </w:r>
    </w:p>
    <w:p>
      <w:pPr>
        <w:pStyle w:val="CaptionedFigure"/>
      </w:pPr>
      <w:r>
        <w:drawing>
          <wp:inline>
            <wp:extent cx="5334000" cy="2336521"/>
            <wp:effectExtent b="0" l="0" r="0" t="0"/>
            <wp:docPr descr="Fig. 1. (A) The magicmaus pipeline. A SAT layer (MAUS) bounds each peak to a per-peak option set that provably contains the truth (100% envelope on simulated data) and prunes candidates from up to ~60 to 1–3; an intensity-weighted NOE score (MAGIC-style), applied only within those bounds by a diverse-seed multistart (independent SAT-feasible seeds, each greedy-ascended), commits to a single coherent injective map with a per-peak confidence tier (unique / scored / ambiguous). Accuracy is scored residue-wise, the geminal δ1/δ2 orientation being a near-symmetric coin flip. (B) Residue-wise accuracy across the seven structure-simulated targets (43–257 methyls, ordered by size) plus the real-experimental TNF-α homotrimer (*real): magicmaus (blue) versus full-space MAGIC (red) and the MAUS constraint layer forced to a single residue (purple). Green markers denote the truth-in-envelope guarantee — 100% on every simulated target and 96.5% on real TNF-α data, where three peaks carry an NOE the predicted structure cannot support. magicmaus is the most accurate engine on every target but MSG (257 methyls), where the exact bounds are intractable and the sparse network leaves the loose-bounded score below full-space MAGIC." title="" id="20" name="Picture"/>
            <a:graphic>
              <a:graphicData uri="http://schemas.openxmlformats.org/drawingml/2006/picture">
                <pic:pic>
                  <pic:nvPicPr>
                    <pic:cNvPr descr="figure1.png" id="21" name="Picture"/>
                    <pic:cNvPicPr>
                      <a:picLocks noChangeArrowheads="1" noChangeAspect="1"/>
                    </pic:cNvPicPr>
                  </pic:nvPicPr>
                  <pic:blipFill>
                    <a:blip r:embed="rId19"/>
                    <a:stretch>
                      <a:fillRect/>
                    </a:stretch>
                  </pic:blipFill>
                  <pic:spPr bwMode="auto">
                    <a:xfrm>
                      <a:off x="0" y="0"/>
                      <a:ext cx="5334000" cy="2336521"/>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w:t>
      </w:r>
      <w:r>
        <w:rPr>
          <w:b/>
          <w:bCs/>
        </w:rPr>
        <w:t xml:space="preserve">A</w:t>
      </w:r>
      <w:r>
        <w:t xml:space="preserve">) The magicmaus pipeline. A SAT layer (MAUS) bounds each peak</w:t>
      </w:r>
      <w:r>
        <w:t xml:space="preserve"> </w:t>
      </w:r>
      <w:r>
        <w:t xml:space="preserve">to a per-peak option set that provably contains the truth (100% envelope on</w:t>
      </w:r>
      <w:r>
        <w:t xml:space="preserve"> </w:t>
      </w:r>
      <w:r>
        <w:t xml:space="preserve">simulated data) and prunes candidates from up to ~60 to 1–3; an intensity-weighted</w:t>
      </w:r>
      <w:r>
        <w:t xml:space="preserve"> </w:t>
      </w:r>
      <w:r>
        <w:t xml:space="preserve">NOE score (MAGIC-style), applied only within those bounds by a diverse-seed</w:t>
      </w:r>
      <w:r>
        <w:t xml:space="preserve"> </w:t>
      </w:r>
      <w:r>
        <w:t xml:space="preserve">multistart (independent SAT-feasible seeds, each greedy-ascended), commits to a</w:t>
      </w:r>
      <w:r>
        <w:t xml:space="preserve"> </w:t>
      </w:r>
      <w:r>
        <w:t xml:space="preserve">single coherent injective map with a per-peak confidence tier (unique / scored /</w:t>
      </w:r>
      <w:r>
        <w:t xml:space="preserve"> </w:t>
      </w:r>
      <w:r>
        <w:t xml:space="preserve">ambiguous). Accuracy is scored residue-wise, the geminal δ1/δ2 orientation being a</w:t>
      </w:r>
      <w:r>
        <w:t xml:space="preserve"> </w:t>
      </w:r>
      <w:r>
        <w:t xml:space="preserve">near-symmetric coin flip. (</w:t>
      </w:r>
      <w:r>
        <w:rPr>
          <w:b/>
          <w:bCs/>
        </w:rPr>
        <w:t xml:space="preserve">B</w:t>
      </w:r>
      <w:r>
        <w:t xml:space="preserve">) Residue-wise accuracy across the seven</w:t>
      </w:r>
      <w:r>
        <w:t xml:space="preserve"> </w:t>
      </w:r>
      <w:r>
        <w:t xml:space="preserve">structure-simulated targets (43–257 methyls, ordered by size) plus the</w:t>
      </w:r>
      <w:r>
        <w:t xml:space="preserve"> </w:t>
      </w:r>
      <w:r>
        <w:t xml:space="preserve">real-experimental TNF-α homotrimer (*real): magicmaus (blue) versus full-space MAGIC</w:t>
      </w:r>
      <w:r>
        <w:t xml:space="preserve"> </w:t>
      </w:r>
      <w:r>
        <w:t xml:space="preserve">(red) and the MAUS constraint layer forced to a single residue (purple). Green</w:t>
      </w:r>
      <w:r>
        <w:t xml:space="preserve"> </w:t>
      </w:r>
      <w:r>
        <w:t xml:space="preserve">markers denote the truth-in-envelope guarantee — 100% on every simulated target and</w:t>
      </w:r>
      <w:r>
        <w:t xml:space="preserve"> </w:t>
      </w:r>
      <w:r>
        <w:t xml:space="preserve">96.5% on real TNF-α data, where three peaks carry an NOE the predicted structure</w:t>
      </w:r>
      <w:r>
        <w:t xml:space="preserve"> </w:t>
      </w:r>
      <w:r>
        <w:t xml:space="preserve">cannot support. magicmaus is the most accurate engine on every target but MSG (257</w:t>
      </w:r>
      <w:r>
        <w:t xml:space="preserve"> </w:t>
      </w:r>
      <w:r>
        <w:t xml:space="preserve">methyls), where the exact bounds are intractable and the sparse network leaves the</w:t>
      </w:r>
      <w:r>
        <w:t xml:space="preserve"> </w:t>
      </w:r>
      <w:r>
        <w:t xml:space="preserve">loose-bounded score below full-space MAGIC.</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9" Target="https://github.com/deepnmr/magicmaus"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deepnmr/magicma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magicmaus: certainty-bounded, score-committed assignment of methyl NMR resonances</dc:title>
  <dc:creator/>
  <cp:keywords/>
  <dcterms:created xsi:type="dcterms:W3CDTF">2026-07-08T10:50:02Z</dcterms:created>
  <dcterms:modified xsi:type="dcterms:W3CDTF">2026-07-08T10:50:02Z</dcterms:modified>
</cp:coreProperties>
</file>

<file path=docProps/custom.xml><?xml version="1.0" encoding="utf-8"?>
<Properties xmlns="http://schemas.openxmlformats.org/officeDocument/2006/custom-properties" xmlns:vt="http://schemas.openxmlformats.org/officeDocument/2006/docPropsVTypes"/>
</file>