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1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Donghan Lee</w:t>
      </w:r>
      <w:r>
        <w:t xml:space="preserve"> </w:t>
      </w:r>
      <w:r>
        <w:rPr>
          <w:vertAlign w:val="superscript"/>
        </w:rPr>
        <w:t xml:space="preserve">1,*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Korea Basic Science Institute, Ochang, Republic of Korea.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To whom correspondence should be addressed.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five benchmark targets (57–192</w:t>
      </w:r>
      <w:r>
        <w:t xml:space="preserve"> </w:t>
      </w:r>
      <w:r>
        <w:t xml:space="preserve">methyls) built from real BMRB shifts and structures, magicmaus commits a single</w:t>
      </w:r>
      <w:r>
        <w:t xml:space="preserve"> </w:t>
      </w:r>
      <w:r>
        <w:t xml:space="preserve">answer for every peak at 33–90% methyl-level accuracy — up to an order of</w:t>
      </w:r>
      <w:r>
        <w:t xml:space="preserve"> </w:t>
      </w:r>
      <w:r>
        <w:t xml:space="preserve">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72.9% of methyls correctly</w:t>
      </w:r>
      <w:r>
        <w:t xml:space="preserve"> </w:t>
      </w:r>
      <w:r>
        <w:t xml:space="preserve">(79.7% with ambiguous-NOE evidence) versus 5.7% for scoring alone.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kbsi.bionmr@gmail.com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coordinate ascent on a MAGIC-style objective: each firm</w:t>
      </w:r>
      <w:r>
        <w:t xml:space="preserve"> </w:t>
      </w:r>
      <w:r>
        <w:t xml:space="preserve">NOE 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</w:t>
      </w:r>
      <w:r>
        <w:t xml:space="preserve"> </w:t>
      </w:r>
      <w:r>
        <w:t xml:space="preserve">a strong NOE is driven onto a close contact. Every move stays injective and</w:t>
      </w:r>
      <w:r>
        <w:t xml:space="preserve"> </w:t>
      </w:r>
      <w:r>
        <w:t xml:space="preserve">NOE-consistent, so the output is always a valid bijection — a property a naïve</w:t>
      </w:r>
      <w:r>
        <w:t xml:space="preserve"> </w:t>
      </w:r>
      <w:r>
        <w:t xml:space="preserve">per-cluster search cannot guarantee on the single 138-peak degeneracy cluster of</w:t>
      </w:r>
      <w:r>
        <w:t xml:space="preserve"> </w:t>
      </w:r>
      <w:r>
        <w:t xml:space="preserve">the benchmark below. Optionally, the ambiguous NOE cross peaks MAUS discards are</w:t>
      </w:r>
      <w:r>
        <w:t xml:space="preserve"> </w:t>
      </w:r>
      <w:r>
        <w:t xml:space="preserve">folded back in as diluted, 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~1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3D (H)CCH network is simulated from</w:t>
      </w:r>
      <w:r>
        <w:t xml:space="preserve"> </w:t>
      </w:r>
      <w:r>
        <w:t xml:space="preserve">the structure (a cross peak for every methyl 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five targets: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 and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spanning 57–192</w:t>
      </w:r>
      <w:r>
        <w:t xml:space="preserve"> </w:t>
      </w:r>
      <w:r>
        <w:t xml:space="preserve">observed methyls (Table 1).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it did not return within a</w:t>
      </w:r>
      <w:r>
        <w:t xml:space="preserve"> </w:t>
      </w:r>
      <w:r>
        <w:t xml:space="preserve">15-min budget, itself illustrating the cost of unbounded scoring. MAUS resolved</w:t>
      </w:r>
      <w:r>
        <w:t xml:space="preserve"> </w:t>
      </w:r>
      <w:r>
        <w:t xml:space="preserve">8–27% of peaks uniquely (all correct) and abstained on the rest, with the truth</w:t>
      </w:r>
      <w:r>
        <w:t xml:space="preserve"> </w:t>
      </w:r>
      <w:r>
        <w:t xml:space="preserve">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73–90%</w:t>
      </w:r>
      <w:r>
        <w:t xml:space="preserve"> </w:t>
      </w:r>
      <w:r>
        <w:t xml:space="preserve">methyl-level accuracy on the four</w:t>
      </w:r>
      <w:r>
        <w:t xml:space="preserve"> </w:t>
      </w:r>
      <w:r>
        <w:t xml:space="preserve">smaller targets and</w:t>
      </w:r>
      <w:r>
        <w:t xml:space="preserve"> </w:t>
      </w:r>
      <w:r>
        <w:rPr>
          <w:b/>
          <w:bCs/>
        </w:rPr>
        <w:t xml:space="preserve">72.9%</w:t>
      </w:r>
      <w:r>
        <w:t xml:space="preserve"> </w:t>
      </w:r>
      <w:r>
        <w:t xml:space="preserve">on MBP — up to an order of magnitude above scoring</w:t>
      </w:r>
      <w:r>
        <w:t xml:space="preserve"> </w:t>
      </w:r>
      <w:r>
        <w:t xml:space="preserve">over the full space. The one hard case is REC3, the largest and most degenerate</w:t>
      </w:r>
      <w:r>
        <w:t xml:space="preserve"> </w:t>
      </w:r>
      <w:r>
        <w:t xml:space="preserve">(50 of 85 methyls are Leu), at 32.9%: an achiral NOE network leaves many geminal</w:t>
      </w:r>
      <w:r>
        <w:t xml:space="preserve"> </w:t>
      </w:r>
      <w:r>
        <w:t xml:space="preserve">pairs and shift-degenerate peaks genuinely unresolvable, which magicmaus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</w:t>
      </w:r>
      <w:r>
        <w:t xml:space="preserve"> </w:t>
      </w:r>
      <w:r>
        <w:t xml:space="preserve">discarded ambiguous NOEs back in as soft evidence (</w:t>
      </w:r>
      <w:r>
        <w:rPr>
          <w:rStyle w:val="VerbatimChar"/>
        </w:rPr>
        <w:t xml:space="preserve">--soft-ambiguous</w:t>
      </w:r>
      <w:r>
        <w:t xml:space="preserve">) helped on</w:t>
      </w:r>
      <w:r>
        <w:t xml:space="preserve"> </w:t>
      </w:r>
      <w:r>
        <w:t xml:space="preserve">the sparser targets (IL-2, REC2, MBP: +1–7 points) but not on the densely</w:t>
      </w:r>
      <w:r>
        <w:t xml:space="preserve"> </w:t>
      </w:r>
      <w:r>
        <w:t xml:space="preserve">degenerate ones (HNH, REC3), so it is offered as an option, not a default. Adding</w:t>
      </w:r>
      <w:r>
        <w:t xml:space="preserve"> </w:t>
      </w:r>
      <w:r>
        <w:t xml:space="preserve">one further optional input — an HMBC-HMQC experiment (</w:t>
      </w:r>
      <w:r>
        <w:rPr>
          <w:rStyle w:val="VerbatimChar"/>
        </w:rPr>
        <w:t xml:space="preserve">--hmbc</w:t>
      </w:r>
      <w:r>
        <w:t xml:space="preserve">) that links each</w:t>
      </w:r>
      <w:r>
        <w:t xml:space="preserve"> </w:t>
      </w:r>
      <w:r>
        <w:t xml:space="preserve">Leu/Val geminal pair — lifts accuracy on every target (Table 1, +HMBC), most where</w:t>
      </w:r>
      <w:r>
        <w:t xml:space="preserve"> </w:t>
      </w:r>
      <w:r>
        <w:t xml:space="preserve">degeneracy is worst: REC3 rises 28.2% → 45.9% and MBP 79.7% → 89.1%, since geminal</w:t>
      </w:r>
      <w:r>
        <w:t xml:space="preserve"> </w:t>
      </w:r>
      <w:r>
        <w:t xml:space="preserve">ambiguity is precisely what an achiral NOE network cannot break. Running the same</w:t>
      </w:r>
      <w:r>
        <w:t xml:space="preserve"> </w:t>
      </w:r>
      <w:r>
        <w:t xml:space="preserve">scoring inside the MAUS bounds thus yields roughly an order of magnitude more</w:t>
      </w:r>
      <w:r>
        <w:t xml:space="preserve"> </w:t>
      </w:r>
      <w:r>
        <w:t xml:space="preserve">single-answer accuracy than scoring over the full space, at no cost to the</w:t>
      </w:r>
      <w:r>
        <w:t xml:space="preserve"> </w:t>
      </w:r>
      <w:r>
        <w:t xml:space="preserve">certainty guarantee, and improves monotonically as experimental input is added.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five targets, all engines scored on the</w:t>
      </w:r>
      <w:r>
        <w:t xml:space="preserve"> </w:t>
      </w:r>
      <w:r>
        <w:t xml:space="preserve">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</w:t>
      </w:r>
      <w:r>
        <w:t xml:space="preserve"> </w:t>
      </w:r>
      <w:r>
        <w:t xml:space="preserve">contains the truth (never-exclude guarantee). n.c. = did not converge within a</w:t>
      </w:r>
      <w:r>
        <w:t xml:space="preserve"> </w:t>
      </w:r>
      <w:r>
        <w:t xml:space="preserve">15-min budget.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1056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t xml:space="preserve">The +HMBC column adds an optional HMBC-HMQC geminal-link experiment (</w:t>
      </w:r>
      <w:r>
        <w:rPr>
          <w:rStyle w:val="VerbatimChar"/>
        </w:rPr>
        <w:t xml:space="preserve">--hmbc</w:t>
      </w:r>
      <w:r>
        <w:t xml:space="preserve">) on</w:t>
      </w:r>
      <w:r>
        <w:t xml:space="preserve"> </w:t>
      </w:r>
      <w:r>
        <w:t xml:space="preserve">top of +soft, forcing each Leu/Val geminal pair onto its two structural methyls.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2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140750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coordinate ascent, commits to a single coherent map with a per-peak confidence tier (unique / scored / ambiguous). (B) Methyl-level accuracy on maltose-binding protein (192 methyls), all engines scored on the same 1/r6 intensity NOESY. MAUS is decisive on 26.6% of peaks (rest abstain); MAGIC and magicmaus commit on all 192. Green markers denote the 100% truth-in-envelope guarantee, preserved by MAUS and magicmaus." title="" id="18" name="Picture"/>
            <a:graphic>
              <a:graphicData uri="http://schemas.openxmlformats.org/drawingml/2006/picture">
                <pic:pic>
                  <pic:nvPicPr>
                    <pic:cNvPr descr="figure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coordinate ascent,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on maltose-binding protein (192 methyls), all engines scored on the same</w:t>
      </w:r>
      <w:r>
        <w:t xml:space="preserve"> </w:t>
      </w:r>
      <w:r>
        <w:t xml:space="preserve">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MAUS is decisive on 26.6% of peaks (rest abstain); MAGIC</w:t>
      </w:r>
      <w:r>
        <w:t xml:space="preserve"> </w:t>
      </w:r>
      <w:r>
        <w:t xml:space="preserve">and magicmaus commit on all 192. Green markers denote the 100% truth-in-envelope</w:t>
      </w:r>
      <w:r>
        <w:t xml:space="preserve"> </w:t>
      </w:r>
      <w:r>
        <w:t xml:space="preserve">guarantee, preserved by MAUS and magicmaus.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2026-07-05T06:52:19Z</dcterms:created>
  <dcterms:modified xsi:type="dcterms:W3CDTF">2026-07-05T06:52:19Z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