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Simulated Peer Review — Round 3 (two-decoy dense benchmark): A Lineshape Correlation Coefficient for 2D HSQC Similarity</w:t>
      </w:r>
    </w:p>
    <w:p>
      <w:pPr>
        <w:pStyle w:val="Author"/>
      </w:pPr>
      <w:r>
        <w:t xml:space="preserve">Editorial simulation (4 referees + adversarial verification + handling editor)</w:t>
      </w:r>
    </w:p>
    <w:bookmarkStart w:id="14" w:name="simulated-peer-review-round-3"/>
    <w:p>
      <w:pPr>
        <w:pStyle w:val="Heading1"/>
      </w:pPr>
      <w:r>
        <w:t xml:space="preserve">Simulated peer review — Round 3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rPr>
          <w:i/>
          <w:iCs/>
        </w:rPr>
        <w:t xml:space="preserve">A Lineshape Correlation Coefficient for Robust Similarity of Two-Dimensional HSQC</w:t>
      </w:r>
      <w:r>
        <w:rPr>
          <w:i/>
          <w:iCs/>
        </w:rPr>
        <w:t xml:space="preserve"> </w:t>
      </w:r>
      <w:r>
        <w:rPr>
          <w:i/>
          <w:iCs/>
        </w:rPr>
        <w:t xml:space="preserve">NMR Spectra</w:t>
      </w:r>
      <w:r>
        <w:t xml:space="preserve"> </w:t>
      </w:r>
      <w:r>
        <w:t xml:space="preserve">(D. Lee, KBSI), re-reviewed after the addition of an</w:t>
      </w:r>
      <w:r>
        <w:t xml:space="preserve"> </w:t>
      </w:r>
      <w:r>
        <w:rPr>
          <w:b/>
          <w:bCs/>
        </w:rPr>
        <w:t xml:space="preserve">expanded dense</w:t>
      </w:r>
      <w:r>
        <w:rPr>
          <w:b/>
          <w:bCs/>
        </w:rP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H–</w:t>
      </w:r>
      <m:oMath>
        <m:sSup>
          <m:e>
            <m:r>
              <m:t>​</m:t>
            </m:r>
          </m:e>
          <m:sup>
            <m:r>
              <m:t>15</m:t>
            </m:r>
          </m:sup>
        </m:sSup>
      </m:oMath>
      <w:r>
        <w:rPr>
          <w:b/>
          <w:b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benchmark with two decoy proteins</w:t>
      </w:r>
      <w:r>
        <w:t xml:space="preserve"> </w:t>
      </w:r>
      <w:r>
        <w:t xml:space="preserve">(main-text Table 2; SI</w:t>
      </w:r>
      <w:r>
        <w:t xml:space="preserve"> </w:t>
      </w:r>
      <w:r>
        <w:t xml:space="preserve">“Expanded benchmark — a second decoy</w:t>
      </w:r>
      <w:r>
        <w:t xml:space="preserve"> </w:t>
      </w:r>
      <w:r>
        <w:t xml:space="preserve">protein”</w:t>
      </w:r>
      <w:r>
        <w:t xml:space="preserve">, Tables S8–S9). Method: four independent referees, adversarial verification of every MAJOR</w:t>
      </w:r>
      <w:r>
        <w:t xml:space="preserve"> </w:t>
      </w:r>
      <w:r>
        <w:t xml:space="preserve">against the actual files, then a handling-editor re-decision. This round specifically asks whether</w:t>
      </w:r>
      <w:r>
        <w:t xml:space="preserve"> </w:t>
      </w:r>
      <w:r>
        <w:t xml:space="preserve">the new data changes the Round-2 disposition (reject-and-transfer).</w:t>
      </w:r>
    </w:p>
    <w:p>
      <w:r>
        <w:pict>
          <v:rect style="width:0;height:1.5pt" o:hralign="center" o:hrstd="t" o:hr="t"/>
        </w:pict>
      </w:r>
    </w:p>
    <w:bookmarkStart w:id="9" w:name="X6a32dcc5e2257f2665ef7c5f2e0b710dc54b124"/>
    <w:p>
      <w:pPr>
        <w:pStyle w:val="Heading2"/>
      </w:pPr>
      <w:r>
        <w:t xml:space="preserve">Round-3 decision:</w:t>
      </w:r>
      <w:r>
        <w:t xml:space="preserve"> </w:t>
      </w:r>
      <w:r>
        <w:rPr>
          <w:b/>
          <w:bCs/>
        </w:rPr>
        <w:t xml:space="preserve">REJECT (reject-and-transfer)</w:t>
      </w:r>
      <w:r>
        <w:t xml:space="preserve"> </w:t>
      </w:r>
      <w:r>
        <w:t xml:space="preserve">— unchanged outcome, one round-2 objection now closed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Referee</w:t>
            </w:r>
          </w:p>
        </w:tc>
        <w:tc>
          <w:tcPr/>
          <w:p>
            <w:pPr>
              <w:pStyle w:val="Compact"/>
            </w:pPr>
            <w:r>
              <w:t xml:space="preserve">Lens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Referee 1</w:t>
            </w:r>
          </w:p>
        </w:tc>
        <w:tc>
          <w:tcPr/>
          <w:p>
            <w:pPr>
              <w:pStyle w:val="Compact"/>
            </w:pPr>
            <w:r>
              <w:t xml:space="preserve">Novelty, significance, journal 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Referee 2</w:t>
            </w:r>
          </w:p>
        </w:tc>
        <w:tc>
          <w:tcPr/>
          <w:p>
            <w:pPr>
              <w:pStyle w:val="Compact"/>
            </w:pPr>
            <w:r>
              <w:t xml:space="preserve">Technical correctness &amp; statistics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Major revision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Reject-and-transfer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Referee 3</w:t>
            </w:r>
          </w:p>
        </w:tc>
        <w:tc>
          <w:tcPr/>
          <w:p>
            <w:pPr>
              <w:pStyle w:val="Compact"/>
            </w:pPr>
            <w:r>
              <w:t xml:space="preserve">Benchmarking fairness &amp; reproducibility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Major revision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Major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Referee 4</w:t>
            </w:r>
          </w:p>
        </w:tc>
        <w:tc>
          <w:tcPr/>
          <w:p>
            <w:pPr>
              <w:pStyle w:val="Compact"/>
            </w:pPr>
            <w:r>
              <w:t xml:space="preserve">Presentation &amp; format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Handling editor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Consolidated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Reject-and-transfer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Reject-and-transfer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Verification outcome: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MAJOR findings raised this round, adversarial verification</w:t>
      </w:r>
      <w:r>
        <w:t xml:space="preserve"> </w:t>
      </w:r>
      <w:r>
        <w:t xml:space="preserve">CONFIRMED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and judged the rest OVERSTATED/REFUTED. Crucially,</w:t>
      </w:r>
      <w:r>
        <w:t xml:space="preserve"> </w:t>
      </w:r>
      <w:r>
        <w:rPr>
          <w:b/>
          <w:bCs/>
        </w:rPr>
        <w:t xml:space="preserve">three of the five confirmed</w:t>
      </w:r>
      <w:r>
        <w:rPr>
          <w:b/>
          <w:bCs/>
        </w:rPr>
        <w:t xml:space="preserve"> </w:t>
      </w:r>
      <w:r>
        <w:rPr>
          <w:b/>
          <w:bCs/>
        </w:rPr>
        <w:t xml:space="preserve">findings were newly introduced by this revision</w:t>
      </w:r>
      <w:r>
        <w:t xml:space="preserve"> </w:t>
      </w:r>
      <w:r>
        <w:t xml:space="preserve">and are fixable defects (now corrected — see</w:t>
      </w:r>
      <w:r>
        <w:t xml:space="preserve"> </w:t>
      </w:r>
      <w:r>
        <w:t xml:space="preserve">below); the other two are the standing significance/reproducibility items.</w:t>
      </w:r>
    </w:p>
    <w:p>
      <w:r>
        <w:pict>
          <v:rect style="width:0;height:1.5pt" o:hralign="center" o:hrstd="t" o:hr="t"/>
        </w:pict>
      </w:r>
    </w:p>
    <w:bookmarkEnd w:id="9"/>
    <w:bookmarkStart w:id="10" w:name="what-the-new-data-changed-verified"/>
    <w:p>
      <w:pPr>
        <w:pStyle w:val="Heading2"/>
      </w:pPr>
      <w:r>
        <w:t xml:space="preserve">What the new data changed (verified)</w:t>
      </w:r>
    </w:p>
    <w:p>
      <w:pPr>
        <w:pStyle w:val="FirstParagraph"/>
      </w:pPr>
      <w:r>
        <w:t xml:space="preserve">The two-decoy benchmark is a</w:t>
      </w:r>
      <w:r>
        <w:t xml:space="preserve"> </w:t>
      </w:r>
      <w:r>
        <w:rPr>
          <w:b/>
          <w:bCs/>
        </w:rPr>
        <w:t xml:space="preserve">genuine, reproducible strengthening</w:t>
      </w:r>
      <w:r>
        <w:t xml:space="preserve"> </w:t>
      </w:r>
      <w:r>
        <w:t xml:space="preserve">that closes one round-2 item: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Round-2 cap</w:t>
      </w:r>
      <w:r>
        <w:rPr>
          <w:b/>
          <w:bCs/>
        </w:rPr>
        <w:t xml:space="preserve"> </w:t>
      </w:r>
      <w:r>
        <w:rPr>
          <w:b/>
          <w:bCs/>
        </w:rPr>
        <w:t xml:space="preserve">“the mean-centring novelty and the dense margin rest on a single negative spectrum</w:t>
      </w:r>
      <w:r>
        <w:rPr>
          <w:b/>
          <w:bCs/>
        </w:rPr>
        <w:t xml:space="preserve"> </w:t>
      </w:r>
      <w:r>
        <w:rPr>
          <w:b/>
          <w:bCs/>
        </w:rPr>
        <w:t xml:space="preserve">(n=1)”</w:t>
      </w:r>
      <w:r>
        <w:rPr>
          <w:b/>
          <w:bCs/>
        </w:rPr>
        <w:t xml:space="preserve"> </w:t>
      </w:r>
      <w:r>
        <w:rPr>
          <w:b/>
          <w:bCs/>
        </w:rPr>
        <w:t xml:space="preserve">is materially resolved.</w:t>
      </w:r>
      <w:r>
        <w:t xml:space="preserve"> </w:t>
      </w:r>
      <w:r>
        <w:t xml:space="preserve">The negative side is now a distribution over</w:t>
      </w:r>
      <w:r>
        <w:t xml:space="preserve"> </w:t>
      </w:r>
      <w:r>
        <w:rPr>
          <w:b/>
          <w:bCs/>
        </w:rPr>
        <w:t xml:space="preserve">two distinct</w:t>
      </w:r>
      <w:r>
        <w:rPr>
          <w:b/>
          <w:bCs/>
        </w:rP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— OAA (277 K) and the kinase domain EphB3 (900 MHz) — scored against an</w:t>
      </w:r>
      <w:r>
        <w:t xml:space="preserve"> </w:t>
      </w:r>
      <w:r>
        <w:rPr>
          <w:b/>
          <w:bCs/>
        </w:rPr>
        <w:t xml:space="preserve">independent</w:t>
      </w:r>
      <w:r>
        <w:rPr>
          <w:b/>
          <w:bCs/>
        </w:rPr>
        <w:t xml:space="preserve"> </w:t>
      </w:r>
      <w:r>
        <w:rPr>
          <w:b/>
          <w:bCs/>
        </w:rPr>
        <w:t xml:space="preserve">23-point PRL3 apo→olsalazine titration</w:t>
      </w:r>
      <w:r>
        <w:t xml:space="preserve">. LCC keeps both decoys below</w:t>
      </w:r>
      <w:r>
        <w:t xml:space="preserve"> </w:t>
      </w:r>
      <w:r>
        <w:rPr>
          <w:i/>
          <w:iCs/>
        </w:rPr>
        <w:t xml:space="preserve">all 23</w:t>
      </w:r>
      <w:r>
        <w:t xml:space="preserve"> </w:t>
      </w:r>
      <w:r>
        <w:t xml:space="preserve">same-protein points</w:t>
      </w:r>
      <w:r>
        <w:t xml:space="preserve"> </w:t>
      </w:r>
      <w:r>
        <w:t xml:space="preserve">(worst same 0.82 &gt; worst decoy 0.41; margin +0.41), mean-centring still earns the gap against a</w:t>
      </w:r>
      <w:r>
        <w:t xml:space="preserve"> </w:t>
      </w:r>
      <w:r>
        <w:t xml:space="preserve">real negative distribution (LCC separation 0.57 vs un-centred cosine 0.46), and the titration</w:t>
      </w:r>
      <w:r>
        <w:t xml:space="preserve"> </w:t>
      </w:r>
      <w:r>
        <w:t xml:space="preserve">decays smoothly 0.98→0.82 — a clean demonstration of the graded shift tolerance on real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Referees 2 and 3 independently re-ran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bench_nhsqc.py</w:t>
      </w:r>
      <w:r>
        <w:t xml:space="preserve">: Table 2 and Tables S8/S9 reproduce to</w:t>
      </w:r>
      <w:r>
        <w:t xml:space="preserve"> </w:t>
      </w:r>
      <w:r>
        <w:t xml:space="preserve">the digit, the separation/margin definitions are correct and reduce to the Table-1 definitions at</w:t>
      </w:r>
      <w:r>
        <w:t xml:space="preserve"> </w:t>
      </w:r>
      <w:r>
        <w:t xml:space="preserve">one decoy, the reference is genuinely apo, and the decoys carry real overlapping amide structure</w:t>
      </w:r>
      <w:r>
        <w:t xml:space="preserve"> </w:t>
      </w:r>
      <w:r>
        <w:t xml:space="preserve">(tree/NN saturate at 0.75–0.96) that LCC nonetheless separates — so it is not an empty-window</w:t>
      </w:r>
      <w:r>
        <w:t xml:space="preserve"> </w:t>
      </w:r>
      <w:r>
        <w:t xml:space="preserve">artefact.</w:t>
      </w:r>
    </w:p>
    <w:p>
      <w:pPr>
        <w:pStyle w:val="FirstParagraph"/>
      </w:pPr>
      <w:r>
        <w:rPr>
          <w:b/>
          <w:bCs/>
        </w:rPr>
        <w:t xml:space="preserve">Why the outcome is unchanged.</w:t>
      </w:r>
      <w:r>
        <w:t xml:space="preserve"> </w:t>
      </w:r>
      <w:r>
        <w:t xml:space="preserve">Round 2 had</w:t>
      </w:r>
      <w:r>
        <w:t xml:space="preserve"> </w:t>
      </w:r>
      <w:r>
        <w:rPr>
          <w:i/>
          <w:iCs/>
        </w:rPr>
        <w:t xml:space="preserve">already</w:t>
      </w:r>
      <w:r>
        <w:t xml:space="preserve"> </w:t>
      </w:r>
      <w:r>
        <w:t xml:space="preserve">down-ranked the single-negative concern to</w:t>
      </w:r>
      <w:r>
        <w:t xml:space="preserve"> </w:t>
      </w:r>
      <w:r>
        <w:t xml:space="preserve">MINOR; its</w:t>
      </w:r>
      <w:r>
        <w:t xml:space="preserve"> </w:t>
      </w:r>
      <w:r>
        <w:rPr>
          <w:b/>
          <w:bCs/>
        </w:rPr>
        <w:t xml:space="preserve">decisive</w:t>
      </w:r>
      <w:r>
        <w:t xml:space="preserve"> </w:t>
      </w:r>
      <w:r>
        <w:t xml:space="preserve">gate was</w:t>
      </w:r>
      <w:r>
        <w:t xml:space="preserve"> </w:t>
      </w:r>
      <w:r>
        <w:rPr>
          <w:i/>
          <w:iCs/>
        </w:rPr>
        <w:t xml:space="preserve">broad chemical significance for a general journal</w:t>
      </w:r>
      <w:r>
        <w:t xml:space="preserve">, closeable only</w:t>
      </w:r>
      <w:r>
        <w:t xml:space="preserve"> </w:t>
      </w:r>
      <w:r>
        <w:t xml:space="preserve">by</w:t>
      </w:r>
      <w:r>
        <w:t xml:space="preserve"> </w:t>
      </w:r>
      <w:r>
        <w:t xml:space="preserve">“at least one real chemical result where LCC changes a conclusion an incumbent gets wrong.”</w:t>
      </w:r>
      <w:r>
        <w:t xml:space="preserve"> </w:t>
      </w:r>
      <w:r>
        <w:t xml:space="preserve">Table 2 adds</w:t>
      </w:r>
      <w:r>
        <w:t xml:space="preserve"> </w:t>
      </w:r>
      <w:r>
        <w:t xml:space="preserve">more same/different</w:t>
      </w:r>
      <w:r>
        <w:t xml:space="preserve"> </w:t>
      </w:r>
      <w:r>
        <w:rPr>
          <w:b/>
          <w:bCs/>
        </w:rPr>
        <w:t xml:space="preserve">discrimination scores</w:t>
      </w:r>
      <w:r>
        <w:t xml:space="preserve"> </w:t>
      </w:r>
      <w:r>
        <w:t xml:space="preserve">(23 comparisons + 2 decoys) — the same evidence type at</w:t>
      </w:r>
      <w:r>
        <w:t xml:space="preserve"> </w:t>
      </w:r>
      <w:r>
        <w:t xml:space="preserve">larger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not an application: no binder identified, no CSP site mapped, no unknown dereplicated,</w:t>
      </w:r>
      <w:r>
        <w:t xml:space="preserve"> </w:t>
      </w:r>
      <w:r>
        <w:t xml:space="preserve">no QC/comparability failure caught. The HOS framing (refs 11–16) is well-cited motivation, not a</w:t>
      </w:r>
      <w:r>
        <w:t xml:space="preserve"> </w:t>
      </w:r>
      <w:r>
        <w:t xml:space="preserve">demonstrated comparability result. So rigor is up (helping the specialist-venue case) but the</w:t>
      </w:r>
      <w:r>
        <w:t xml:space="preserve"> </w:t>
      </w:r>
      <w:r>
        <w:t xml:space="preserve">general-journal gate is untouched.</w:t>
      </w:r>
    </w:p>
    <w:p>
      <w:r>
        <w:pict>
          <v:rect style="width:0;height:1.5pt" o:hralign="center" o:hrstd="t" o:hr="t"/>
        </w:pict>
      </w:r>
    </w:p>
    <w:bookmarkEnd w:id="10"/>
    <w:bookmarkStart w:id="11" w:name="X03c20e2c2fe35a5619cbdde17b7feaefa7d4357"/>
    <w:p>
      <w:pPr>
        <w:pStyle w:val="Heading2"/>
      </w:pPr>
      <w:r>
        <w:t xml:space="preserve">Confirmed findings (survived adversarial verification)</w:t>
      </w:r>
    </w:p>
    <w:p>
      <w:pPr>
        <w:pStyle w:val="FirstParagraph"/>
      </w:pPr>
      <w:r>
        <w:rPr>
          <w:b/>
          <w:bCs/>
        </w:rPr>
        <w:t xml:space="preserve">Newly introduced by this revision — now fixed: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[MAJOR, fixed] Factual overclaim</w:t>
      </w:r>
      <w:r>
        <w:rPr>
          <w:b/>
          <w:bCs/>
        </w:rPr>
        <w:t xml:space="preserve"> </w:t>
      </w:r>
      <w:r>
        <w:rPr>
          <w:b/>
          <w:bCs/>
        </w:rPr>
        <w:t xml:space="preserve">“the only margin.”</w:t>
      </w:r>
      <w:r>
        <w:t xml:space="preserve"> </w:t>
      </w:r>
      <w:r>
        <w:t xml:space="preserve">Main text called LCC’s the</w:t>
      </w:r>
      <w:r>
        <w:t xml:space="preserve"> </w:t>
      </w:r>
      <w:r>
        <w:t xml:space="preserve">“only margin</w:t>
      </w:r>
      <w:r>
        <w:t xml:space="preserve"> </w:t>
      </w:r>
      <w:r>
        <w:t xml:space="preserve">that pushes both decoy proteins below every same-protein score,”</w:t>
      </w:r>
      <w:r>
        <w:t xml:space="preserve"> </w:t>
      </w:r>
      <w:r>
        <w:t xml:space="preserve">yet all six methods have positive</w:t>
      </w:r>
      <w:r>
        <w:t xml:space="preserve"> </w:t>
      </w:r>
      <w:r>
        <w:t xml:space="preserve">Table S8 margins (Bin 0.25, Bin+45 0.25, tree 0.12, NN 0.02, cosine 0.35, LCC 0.41) and the same</w:t>
      </w:r>
      <w:r>
        <w:t xml:space="preserve"> </w:t>
      </w:r>
      <w:r>
        <w:t xml:space="preserve">sentence cites the positive tree/NN margins.</w:t>
      </w:r>
      <w:r>
        <w:t xml:space="preserve"> </w:t>
      </w:r>
      <w:r>
        <w:rPr>
          <w:b/>
          <w:bCs/>
        </w:rPr>
        <w:t xml:space="preserve">Fixed:</w:t>
      </w:r>
      <w:r>
        <w:t xml:space="preserve"> </w:t>
      </w:r>
      <w:r>
        <w:t xml:space="preserve">reworded to</w:t>
      </w:r>
      <w:r>
        <w:t xml:space="preserve"> </w:t>
      </w:r>
      <w:r>
        <w:t xml:space="preserve">“the widest margin (0.41)…</w:t>
      </w:r>
      <w:r>
        <w:t xml:space="preserve"> </w:t>
      </w:r>
      <w:r>
        <w:t xml:space="preserve">whereas the tree and nearest-neighbour margins are a knife-edge (0.12 and 0.02).”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[MAJOR, fixed] Reproducibility regression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bench_nhsqc.py</w:t>
      </w:r>
      <w:r>
        <w:rPr>
          <w:b/>
          <w:bCs/>
        </w:rPr>
        <w:t xml:space="preserve">.</w:t>
      </w:r>
      <w:r>
        <w:t xml:space="preserve"> </w:t>
      </w:r>
      <w:r>
        <w:t xml:space="preserve">The new harness hard-coded the</w:t>
      </w:r>
      <w:r>
        <w:t xml:space="preserve"> </w:t>
      </w:r>
      <w:r>
        <w:t xml:space="preserve">private</w:t>
      </w:r>
      <w:r>
        <w:t xml:space="preserve"> </w:t>
      </w:r>
      <w:r>
        <w:rPr>
          <w:rStyle w:val="VerbatimChar"/>
        </w:rPr>
        <w:t xml:space="preserve">Nhsqc/</w:t>
      </w:r>
      <w:r>
        <w:t xml:space="preserve"> </w:t>
      </w:r>
      <w:r>
        <w:t xml:space="preserve">paths with no flag/env interface and a raw</w:t>
      </w:r>
      <w:r>
        <w:t xml:space="preserve"> </w:t>
      </w:r>
      <w:r>
        <w:rPr>
          <w:rStyle w:val="VerbatimChar"/>
        </w:rPr>
        <w:t xml:space="preserve">FileNotFoundError</w:t>
      </w:r>
      <w:r>
        <w:t xml:space="preserve">, undoing the</w:t>
      </w:r>
      <w:r>
        <w:t xml:space="preserve"> </w:t>
      </w:r>
      <w:r>
        <w:t xml:space="preserve">round-2</w:t>
      </w:r>
      <w:r>
        <w:t xml:space="preserve"> </w:t>
      </w:r>
      <w:r>
        <w:rPr>
          <w:rStyle w:val="VerbatimChar"/>
        </w:rPr>
        <w:t xml:space="preserve">--prl3/--oaa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$PRL3_DIR</w:t>
      </w:r>
      <w:r>
        <w:t xml:space="preserve"> </w:t>
      </w:r>
      <w:r>
        <w:t xml:space="preserve">fix.</w:t>
      </w:r>
      <w:r>
        <w:t xml:space="preserve"> </w:t>
      </w:r>
      <w:r>
        <w:rPr>
          <w:b/>
          <w:bCs/>
        </w:rPr>
        <w:t xml:space="preserve">Fixed: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--titration/--oaa/--ephb3</w:t>
      </w:r>
      <w:r>
        <w:t xml:space="preserve"> </w:t>
      </w:r>
      <w:r>
        <w:t xml:space="preserve">flags and</w:t>
      </w:r>
      <w:r>
        <w:t xml:space="preserve"> </w:t>
      </w:r>
      <w:r>
        <w:rPr>
          <w:rStyle w:val="VerbatimChar"/>
        </w:rPr>
        <w:t xml:space="preserve">$NHSQC_*</w:t>
      </w:r>
      <w:r>
        <w:t xml:space="preserve"> </w:t>
      </w:r>
      <w:r>
        <w:t xml:space="preserve">env overrides with a clean</w:t>
      </w:r>
      <w:r>
        <w:t xml:space="preserve"> </w:t>
      </w:r>
      <w:r>
        <w:rPr>
          <w:rStyle w:val="VerbatimChar"/>
        </w:rPr>
        <w:t xml:space="preserve">p.error()</w:t>
      </w:r>
      <w:r>
        <w:t xml:space="preserve"> </w:t>
      </w:r>
      <w:r>
        <w:t xml:space="preserve">when the data are absent (numbers unchanged).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[MAJOR, fixed] SI §S13 de-synchronised.</w:t>
      </w:r>
      <w:r>
        <w:t xml:space="preserve"> </w:t>
      </w:r>
      <w:r>
        <w:t xml:space="preserve">§S13 still called the dense margin</w:t>
      </w:r>
      <w:r>
        <w:t xml:space="preserve"> </w:t>
      </w:r>
      <w:r>
        <w:t xml:space="preserve">“a single negative</w:t>
      </w:r>
      <w:r>
        <w:t xml:space="preserve"> </w:t>
      </w:r>
      <w:r>
        <w:t xml:space="preserve">spectrum (§S8)”</w:t>
      </w:r>
      <w:r>
        <w:t xml:space="preserve"> </w:t>
      </w:r>
      <w:r>
        <w:t xml:space="preserve">— contradicting §S8, where the second decoy was added.</w:t>
      </w:r>
      <w:r>
        <w:t xml:space="preserve"> </w:t>
      </w:r>
      <w:r>
        <w:rPr>
          <w:b/>
          <w:bCs/>
        </w:rPr>
        <w:t xml:space="preserve">Fixed:</w:t>
      </w:r>
      <w:r>
        <w:t xml:space="preserve"> </w:t>
      </w:r>
      <w:r>
        <w:t xml:space="preserve">§S13 now names</w:t>
      </w:r>
      <w:r>
        <w:t xml:space="preserve"> </w:t>
      </w:r>
      <w:r>
        <w:t xml:space="preserve">the two-decoy expansion and the 0.41 margin.</w:t>
      </w:r>
    </w:p>
    <w:p>
      <w:pPr>
        <w:pStyle w:val="FirstParagraph"/>
      </w:pPr>
      <w:r>
        <w:rPr>
          <w:b/>
          <w:bCs/>
        </w:rPr>
        <w:t xml:space="preserve">Standing items (decisive / editorial — not fixable by editing):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[MAJOR → decisive] No application-grade chemical result.</w:t>
      </w:r>
      <w:r>
        <w:t xml:space="preserve"> </w:t>
      </w:r>
      <w:r>
        <w:t xml:space="preserve">The reject-driving gate; unchanged</w:t>
      </w:r>
      <w:r>
        <w:t xml:space="preserve"> </w:t>
      </w:r>
      <w:r>
        <w:t xml:space="preserve">since round 2. Needs new experimental chemistry, not more discrimination numbers.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[MAJOR → minor at a methods venue] The decisive dense evidence is not yet public.</w:t>
      </w:r>
      <w:r>
        <w:t xml:space="preserve"> </w:t>
      </w:r>
      <w:r>
        <w:rPr>
          <w:rStyle w:val="VerbatimChar"/>
        </w:rPr>
        <w:t xml:space="preserve">bench_nhsqc.py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Nhsqc/</w:t>
      </w:r>
      <w:r>
        <w:t xml:space="preserve"> </w:t>
      </w:r>
      <w:r>
        <w:t xml:space="preserve">raw data and</w:t>
      </w:r>
      <w:r>
        <w:t xml:space="preserve"> </w:t>
      </w:r>
      <w:r>
        <w:rPr>
          <w:rStyle w:val="VerbatimChar"/>
        </w:rPr>
        <w:t xml:space="preserve">results/nhsqc_dense.json</w:t>
      </w:r>
      <w:r>
        <w:t xml:space="preserve"> </w:t>
      </w:r>
      <w:r>
        <w:t xml:space="preserve">are untracked in git and</w:t>
      </w:r>
      <w:r>
        <w:t xml:space="preserve"> </w:t>
      </w:r>
      <w:r>
        <w:t xml:space="preserve">the deposition is</w:t>
      </w:r>
      <w:r>
        <w:t xml:space="preserve"> </w:t>
      </w:r>
      <w:r>
        <w:t xml:space="preserve">“in preparation”</w:t>
      </w:r>
      <w:r>
        <w:t xml:space="preserve"> </w:t>
      </w:r>
      <w:r>
        <w:t xml:space="preserve">(no DOI), so Table 2’s</w:t>
      </w:r>
      <w:r>
        <w:t xml:space="preserve"> </w:t>
      </w:r>
      <w:r>
        <w:t xml:space="preserve">“reproducible”</w:t>
      </w:r>
      <w:r>
        <w:t xml:space="preserve"> </w:t>
      </w:r>
      <w:r>
        <w:t xml:space="preserve">claim is false on a</w:t>
      </w:r>
      <w:r>
        <w:t xml:space="preserve"> </w:t>
      </w:r>
      <w:r>
        <w:t xml:space="preserve">public checkout. Fix by committing the harness + depositing the matrices with a DOI.</w:t>
      </w:r>
    </w:p>
    <w:p>
      <w:r>
        <w:pict>
          <v:rect style="width:0;height:1.5pt" o:hralign="center" o:hrstd="t" o:hr="t"/>
        </w:pict>
      </w:r>
    </w:p>
    <w:bookmarkEnd w:id="11"/>
    <w:bookmarkStart w:id="12" w:name="remaining-blockers-ranked"/>
    <w:p>
      <w:pPr>
        <w:pStyle w:val="Heading2"/>
      </w:pPr>
      <w:r>
        <w:t xml:space="preserve">Remaining blockers (ranked)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Chemical significance for a general journal</w:t>
      </w:r>
      <w:r>
        <w:t xml:space="preserve"> </w:t>
      </w:r>
      <w:r>
        <w:t xml:space="preserve">— add at least one application where LCC corrects an</w:t>
      </w:r>
      <w:r>
        <w:t xml:space="preserve"> </w:t>
      </w:r>
      <w:r>
        <w:t xml:space="preserve">incumbent’s chemical conclusion (a blind BMRB/HMDB dereplication hit at library scale under a</w:t>
      </w:r>
      <w:r>
        <w:t xml:space="preserve"> </w:t>
      </w:r>
      <w:r>
        <w:t xml:space="preserve">rejection threshold, or a CSP/biosimilar-HOS screen where bin/tree/NN misrank and LCC ranks</w:t>
      </w:r>
      <w:r>
        <w:t xml:space="preserve"> </w:t>
      </w:r>
      <w:r>
        <w:t xml:space="preserve">correctly). New application-grade work → resubmit, not held revision.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Deposit the dense data</w:t>
      </w:r>
      <w:r>
        <w:t xml:space="preserve"> </w:t>
      </w:r>
      <w:r>
        <w:t xml:space="preserve">(both single- and two-decoy) with a DOI; commit</w:t>
      </w:r>
      <w:r>
        <w:t xml:space="preserve"> </w:t>
      </w:r>
      <w:r>
        <w:rPr>
          <w:rStyle w:val="VerbatimChar"/>
        </w:rPr>
        <w:t xml:space="preserve">bench_nhsqc.py</w:t>
      </w:r>
      <w:r>
        <w:t xml:space="preserve"> </w:t>
      </w:r>
      <w:r>
        <w:t xml:space="preserve">so the</w:t>
      </w:r>
      <w:r>
        <w:t xml:space="preserve"> </w:t>
      </w:r>
      <w:r>
        <w:t xml:space="preserve">in-repo claim is true on a clean checkout.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Carryover minors</w:t>
      </w:r>
      <w:r>
        <w:t xml:space="preserve"> </w:t>
      </w:r>
      <w:r>
        <w:t xml:space="preserve">(unchanged from round 2): unlabelled 3× (margin) vs 2.6× (separation)</w:t>
      </w:r>
      <w:r>
        <w:t xml:space="preserve"> </w:t>
      </w:r>
      <w:r>
        <w:t xml:space="preserve">multiplier; the per-regime grid step as a de-facto third parameter despite</w:t>
      </w:r>
      <w:r>
        <w:t xml:space="preserve"> </w:t>
      </w:r>
      <w:r>
        <w:t xml:space="preserve">“set by spectroscopy”</w:t>
      </w:r>
      <w:r>
        <w:t xml:space="preserve">;</w:t>
      </w:r>
      <w:r>
        <w:t xml:space="preserve"> </w:t>
      </w:r>
      <w:r>
        <w:t xml:space="preserve">the retrieval null (top-1 = 1.00 tie) as the only task-level test.</w:t>
      </w:r>
    </w:p>
    <w:p>
      <w:r>
        <w:pict>
          <v:rect style="width:0;height:1.5pt" o:hralign="center" o:hrstd="t" o:hr="t"/>
        </w:pict>
      </w:r>
    </w:p>
    <w:bookmarkEnd w:id="12"/>
    <w:bookmarkStart w:id="13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two-decoy benchmark is a</w:t>
      </w:r>
      <w:r>
        <w:t xml:space="preserve"> </w:t>
      </w:r>
      <w:r>
        <w:rPr>
          <w:b/>
          <w:bCs/>
        </w:rPr>
        <w:t xml:space="preserve">real success on the axis round 2 asked about</w:t>
      </w:r>
      <w:r>
        <w:t xml:space="preserve">: the dense result no</w:t>
      </w:r>
      <w:r>
        <w:t xml:space="preserve"> </w:t>
      </w:r>
      <w:r>
        <w:t xml:space="preserve">longer rests on a single negative spectrum, mean-centring’s benefit is demonstrated against two</w:t>
      </w:r>
      <w:r>
        <w:t xml:space="preserve"> </w:t>
      </w:r>
      <w:r>
        <w:t xml:space="preserve">distinct folds and a 23-point real titration, and everything reproduces locally to the digit.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success on the axis that decides venue: no chemical result was added, so the</w:t>
      </w:r>
      <w:r>
        <w:t xml:space="preserve"> </w:t>
      </w:r>
      <w:r>
        <w:t xml:space="preserve">general-chemistry significance gate is untouched, and the revision briefly introduced three fixable</w:t>
      </w:r>
      <w:r>
        <w:t xml:space="preserve"> </w:t>
      </w:r>
      <w:r>
        <w:t xml:space="preserve">defects (all now corrected). The intellectually honest disposition is unchanged and, if anything,</w:t>
      </w:r>
      <w:r>
        <w:t xml:space="preserve"> </w:t>
      </w:r>
      <w:r>
        <w:t xml:space="preserve">sharper:</w:t>
      </w:r>
      <w:r>
        <w:t xml:space="preserve"> </w:t>
      </w:r>
      <w:r>
        <w:rPr>
          <w:b/>
          <w:bCs/>
        </w:rPr>
        <w:t xml:space="preserve">transfer to a specialized methods journal</w:t>
      </w:r>
      <w:r>
        <w:t xml:space="preserve"> </w:t>
      </w:r>
      <w:r>
        <w:t xml:space="preserve">(J. Magn. Reson., Anal. Chem., or</w:t>
      </w:r>
      <w:r>
        <w:t xml:space="preserve"> </w:t>
      </w:r>
      <w:r>
        <w:t xml:space="preserve">J. Cheminform.), where this is now an even stronger, near-acceptable methods paper, with a path back</w:t>
      </w:r>
      <w:r>
        <w:t xml:space="preserve"> </w:t>
      </w:r>
      <w:r>
        <w:t xml:space="preserve">to Angewandte only on a genuine, at-scale chemical demonstration.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Simulated Peer Review — Round 3 (two-decoy dense benchmark): A Lineshape Correlation Coefficient for 2D HSQC Similarity</dc:title>
  <dc:creator>Editorial simulation (4 referees + adversarial verification + handling editor)</dc:creator>
  <cp:keywords/>
  <dcterms:created xsi:type="dcterms:W3CDTF">2026-07-09T12:08:30Z</dcterms:created>
  <dcterms:modified xsi:type="dcterms:W3CDTF">2026-07-09T12:08:30Z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/>
  </property>
  <property fmtid="{D5CDD505-2E9C-101B-9397-08002B2CF9AE}" pid="4" name="fontsize">
    <vt:lpwstr>11pt</vt:lpwstr>
  </property>
  <property fmtid="{D5CDD505-2E9C-101B-9397-08002B2CF9AE}" pid="5" name="geometry">
    <vt:lpwstr>margin=1in</vt:lpwstr>
  </property>
  <property fmtid="{D5CDD505-2E9C-101B-9397-08002B2CF9AE}" pid="6" name="linkcolor">
    <vt:lpwstr>RoyalBlue</vt:lpwstr>
  </property>
  <property fmtid="{D5CDD505-2E9C-101B-9397-08002B2CF9AE}" pid="7" name="urlcolor">
    <vt:lpwstr>RoyalBlue</vt:lpwstr>
  </property>
</Properties>
</file>