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Robust Sameness Scoring Using a Shift-Tolerant Correlation Coefficient</w:t>
      </w:r>
    </w:p>
    <w:p>
      <w:pPr>
        <w:pStyle w:val="Author"/>
      </w:pPr>
      <w:r>
        <w:t xml:space="preserve">Donghan Lee</w:t>
      </w:r>
    </w:p>
    <w:p>
      <w:pPr>
        <w:pStyle w:val="FirstParagraph"/>
      </w:pPr>
      <w:r>
        <w:rPr>
          <w:b/>
          <w:bCs/>
        </w:rPr>
        <w:t xml:space="preserve">NMR Spectroscopy | Research Article</w:t>
      </w:r>
    </w:p>
    <w:p>
      <w:pPr>
        <w:pStyle w:val="BodyText"/>
      </w:pPr>
      <w:r>
        <w:t xml:space="preserve">Korea Basic Science Institute (KBSI), Ochang, Republic of Korea. * Correspondence: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Abstract.</w:t>
      </w:r>
      <w:r>
        <w:t xml:space="preserve"> </w:t>
      </w:r>
      <w:r>
        <w:t xml:space="preserve">Testing whether two two-dimensional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H–X HSQC spectra are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— a</w:t>
      </w:r>
      <w:r>
        <w:t xml:space="preserve"> </w:t>
      </w:r>
      <w:r>
        <w:t xml:space="preserve">sameness test that underlies molecular fingerprinting, higher-order-structure comparability of</w:t>
      </w:r>
      <w:r>
        <w:t xml:space="preserve"> </w:t>
      </w:r>
      <w:r>
        <w:t xml:space="preserve">protein biotherapeutics, ligand screening and chemical-shift-perturbation mapping — reduces to a</w:t>
      </w:r>
      <w:r>
        <w:t xml:space="preserve"> </w:t>
      </w:r>
      <w:r>
        <w:t xml:space="preserve">single quantitative comparison, yet</w:t>
      </w:r>
      <w:r>
        <w:t xml:space="preserve"> </w:t>
      </w:r>
      <w:r>
        <w:t xml:space="preserve">the established similarity measures each fail in one of two opposite ways: histogram-binning</w:t>
      </w:r>
      <w:r>
        <w:t xml:space="preserve"> </w:t>
      </w:r>
      <w:r>
        <w:t xml:space="preserve">scores are brittle to the small peak drifts a titration induces, whereas tree- and</w:t>
      </w:r>
      <w:r>
        <w:t xml:space="preserve"> </w:t>
      </w:r>
      <w:r>
        <w:t xml:space="preserve">nearest-neighbour scores saturate because in any crowded window every peak finds a</w:t>
      </w:r>
      <w:r>
        <w:t xml:space="preserve"> </w:t>
      </w:r>
      <w:r>
        <w:t xml:space="preserve">coincidental near neighbour. Here we introduce the Shift-Tolerant Correlation Coefficient (STCC),</w:t>
      </w:r>
      <w:r>
        <w:t xml:space="preserve"> </w:t>
      </w:r>
      <w:r>
        <w:t xml:space="preserve">which renders both spectra onto a single shared grid, blurs each by the physical NMR</w:t>
      </w:r>
      <w:r>
        <w:t xml:space="preserve"> </w:t>
      </w:r>
      <w:r>
        <w:t xml:space="preserve">linewidth combined with the expected shift drift, and scores the pair by the mean-centred,</w:t>
      </w:r>
      <w:r>
        <w:t xml:space="preserve"> </w:t>
      </w:r>
      <w:r>
        <w:t xml:space="preserve">zero-lag normalized cross-correlation of the two images. The Gaussian render supplies graded,</w:t>
      </w:r>
      <w:r>
        <w:t xml:space="preserve"> </w:t>
      </w:r>
      <w:r>
        <w:t xml:space="preserve">physically-tunable shift tolerance while mean-centring actively penalizes intensity that is</w:t>
      </w:r>
      <w:r>
        <w:t xml:space="preserve"> </w:t>
      </w:r>
      <w:r>
        <w:t xml:space="preserve">not co-located. On two deliberately opposite benchmarks — a dense protein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amide</w:t>
      </w:r>
      <w:r>
        <w:t xml:space="preserve"> </w:t>
      </w:r>
      <w:r>
        <w:t xml:space="preserve">fingerprint and a sparse small-molecule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set — STCC gives the widest same/different</w:t>
      </w:r>
      <w:r>
        <w:t xml:space="preserve"> </w:t>
      </w:r>
      <w:r>
        <w:t xml:space="preserve">separation among the primary reference methods (0.75 dense, 0.74 sparse on a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scale), far</w:t>
      </w:r>
      <w:r>
        <w:t xml:space="preserve"> </w:t>
      </w:r>
      <w:r>
        <w:t xml:space="preserve">outscoring the saturating tree and nearest-neighbour measures. Its dense-fingerprint advantage is</w:t>
      </w:r>
      <w:r>
        <w:t xml:space="preserve"> </w:t>
      </w:r>
      <w:r>
        <w:t xml:space="preserve">large and, on an expanded test, keeps both of two decoy proteins below every same-protein titration</w:t>
      </w:r>
      <w:r>
        <w:t xml:space="preserve"> </w:t>
      </w:r>
      <w:r>
        <w:t xml:space="preserve">point; removing the mean-centring step collapses the original dense-protein separation from 0.75 to</w:t>
      </w:r>
      <w:r>
        <w:t xml:space="preserve"> </w:t>
      </w:r>
      <w:r>
        <w:t xml:space="preserve">0.59. An experimental, post hoc local-contrast extension raises separation from 0.57 to 0.67 on</w:t>
      </w:r>
      <w:r>
        <w:t xml:space="preserve"> </w:t>
      </w:r>
      <w:r>
        <w:t xml:space="preserve">the expanded dense test and from 0.74 to 0.82 on the sparse set. The sparse compound-cluster paired</w:t>
      </w:r>
      <w:r>
        <w:t xml:space="preserve"> </w:t>
      </w:r>
      <w:r>
        <w:t xml:space="preserve">gain is 0.076 (95% CI 0.001–0.206), but both variants already give perfect ranking metrics and zero</w:t>
      </w:r>
      <w:r>
        <w:t xml:space="preserve"> </w:t>
      </w:r>
      <w:r>
        <w:t xml:space="preserve">leave-one-compound-out threshold error and rejection false-positive rate. STCC therefore remains</w:t>
      </w:r>
      <w:r>
        <w:t xml:space="preserve"> </w:t>
      </w:r>
      <w:r>
        <w:t xml:space="preserve">the default. It is a two-knob, peak-picking-free, solver-free measure with both knobs set by</w:t>
      </w:r>
      <w:r>
        <w:t xml:space="preserve"> </w:t>
      </w:r>
      <w:r>
        <w:t xml:space="preserve">spectroscopy rather than by tuning.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NMR spectroscopy · HSQC · sameness testing · spectral similarity · higher-order structure · chemical-shift perturbation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Nuclear magnetic resonance (NMR) spectroscopy is one of chemistry’s most powerful probes of</w:t>
      </w:r>
      <w:r>
        <w:t xml:space="preserve"> </w:t>
      </w:r>
      <w:r>
        <w:t xml:space="preserve">matter, reading out the structure and local environment of individual nuclei non-destructively</w:t>
      </w:r>
      <w:r>
        <w:t xml:space="preserve"> </w:t>
      </w:r>
      <w:r>
        <w:t xml:space="preserve">and at atomic resolution — from small organic molecules and natural products to metabolites and</w:t>
      </w:r>
      <w:r>
        <w:t xml:space="preserve"> </w:t>
      </w:r>
      <w:r>
        <w:t xml:space="preserve">folded proteins. Much of that power is exercised not by solving a spectrum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but by</w:t>
      </w:r>
      <w:r>
        <w:t xml:space="preserve"> </w:t>
      </w:r>
      <w:r>
        <w:rPr>
          <w:b/>
          <w:bCs/>
        </w:rPr>
        <w:t xml:space="preserve">comparison</w:t>
      </w:r>
      <w:r>
        <w:t xml:space="preserve">: a great deal of what NMR establishes about an unknown follows from how closely the</w:t>
      </w:r>
      <w:r>
        <w:t xml:space="preserve"> </w:t>
      </w:r>
      <w:r>
        <w:t xml:space="preserve">spectral fingerprint it produces matches a reference, or from how that fingerprint changes across a</w:t>
      </w:r>
      <w:r>
        <w:t xml:space="preserve"> </w:t>
      </w:r>
      <w:r>
        <w:t xml:space="preserve">series. This fingerprint-comparison axis — is this the same compound as the catalogued one, is the</w:t>
      </w:r>
      <w:r>
        <w:t xml:space="preserve"> </w:t>
      </w:r>
      <w:r>
        <w:t xml:space="preserve">protein still folded the same way, has a binding site been perturbed — is at root a</w:t>
      </w:r>
      <w:r>
        <w:t xml:space="preserve"> </w:t>
      </w:r>
      <w:r>
        <w:rPr>
          <w:b/>
          <w:bCs/>
        </w:rPr>
        <w:t xml:space="preserve">sameness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, and it is one of the pillars of</w:t>
      </w:r>
      <w:r>
        <w:t xml:space="preserve"> </w:t>
      </w:r>
      <w:r>
        <w:t xml:space="preserve">NMR in chemistry, and a two-dimensional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H–X HSQC spectrum is close to an ideal fingerprint for</w:t>
      </w:r>
      <w:r>
        <w:t xml:space="preserve"> </w:t>
      </w:r>
      <w:r>
        <w:t xml:space="preserve">it: each crosspeak reports the local environment of a single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H–X pair, so the pattern of</w:t>
      </w:r>
      <w:r>
        <w:t xml:space="preserve"> </w:t>
      </w:r>
      <w:r>
        <w:t xml:space="preserve">crosspeaks encodes molecular structure at atomic resolution.</w:t>
      </w:r>
    </w:p>
    <w:p>
      <w:pPr>
        <w:pStyle w:val="BodyText"/>
      </w:pPr>
      <w:r>
        <w:t xml:space="preserve">The comparisons that matter most divide into two families — small molecules and proteins — and</w:t>
      </w:r>
      <w:r>
        <w:t xml:space="preserve"> </w:t>
      </w:r>
      <w:r>
        <w:t xml:space="preserve">both turn on the same quantitative question. For small molecules, metabolites and natural products,</w:t>
      </w:r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spectrum is matched against a reference, the operation at the heart of</w:t>
      </w:r>
      <w:r>
        <w:t xml:space="preserve"> </w:t>
      </w:r>
      <w:r>
        <w:t xml:space="preserve">2D-NMR-based dereplication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and of searches against community libraries such as the BMRB,</w:t>
      </w:r>
      <w:r>
        <w:t xml:space="preserve"> </w:t>
      </w:r>
      <w:r>
        <w:t xml:space="preserve">NMRShiftDB and HMDB.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4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For proteins, an amide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fingerprint is tracked across</w:t>
      </w:r>
      <w:r>
        <w:t xml:space="preserve"> </w:t>
      </w:r>
      <w:r>
        <w:t xml:space="preserve">a ligand titration to read out binding through chemical-shift perturbation in fragment- and</w:t>
      </w:r>
      <w:r>
        <w:t xml:space="preserve"> </w:t>
      </w:r>
      <w:r>
        <w:t xml:space="preserve">structure-based drug discovery,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7</m:t>
            </m:r>
            <m:r>
              <m:rPr>
                <m:sty m:val="p"/>
              </m:rPr>
              <m:t>−</m:t>
            </m:r>
            <m:r>
              <m:t>10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and — increasingly — is compared between samples to</w:t>
      </w:r>
      <w:r>
        <w:t xml:space="preserve"> </w:t>
      </w:r>
      <w:r>
        <w:t xml:space="preserve">confirm that a protein’s</w:t>
      </w:r>
      <w:r>
        <w:t xml:space="preserve"> </w:t>
      </w:r>
      <w:r>
        <w:rPr>
          <w:b/>
          <w:bCs/>
        </w:rPr>
        <w:t xml:space="preserve">higher-order structure (HOS)</w:t>
      </w:r>
      <w:r>
        <w:t xml:space="preserve"> </w:t>
      </w:r>
      <w:r>
        <w:t xml:space="preserve">is preserved. Because a protein’s</w:t>
      </w:r>
      <w:r>
        <w:t xml:space="preserve"> </w:t>
      </w:r>
      <w:r>
        <w:t xml:space="preserve">biological activity, stability and immunogenicity are governed by its folded secondary, tertiary</w:t>
      </w:r>
      <w:r>
        <w:t xml:space="preserve"> </w:t>
      </w:r>
      <w:r>
        <w:t xml:space="preserve">and quaternary structure and not by its amino-acid sequence alone, establishing that this</w:t>
      </w:r>
      <w:r>
        <w:t xml:space="preserve"> </w:t>
      </w:r>
      <w:r>
        <w:t xml:space="preserve">higher-order structure is unchanged — between a biosimilar and its originator, across a</w:t>
      </w:r>
      <w:r>
        <w:t xml:space="preserve"> </w:t>
      </w:r>
      <w:r>
        <w:t xml:space="preserve">manufacturing or formulation change, or on storage — has become a central requirement of</w:t>
      </w:r>
      <w:r>
        <w:t xml:space="preserve"> </w:t>
      </w:r>
      <w:r>
        <w:t xml:space="preserve">biopharmaceutical characterization and of regulatory comparability.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11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Two-dimensional</w:t>
      </w:r>
      <w:r>
        <w:t xml:space="preserve"> </w:t>
      </w:r>
      <w:r>
        <w:t xml:space="preserve">HSQC is a premier atomic-resolution probe of precisely that structure: two fingerprints coincide</w:t>
      </w:r>
      <w:r>
        <w:t xml:space="preserve"> </w:t>
      </w:r>
      <w:r>
        <w:t xml:space="preserve">only when the two samples share the same fold, and 2D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C- and</w:t>
      </w:r>
      <w:r>
        <w:t xml:space="preserve"> 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N-HSQC fingerprinting is</w:t>
      </w:r>
      <w:r>
        <w:t xml:space="preserve"> </w:t>
      </w:r>
      <w:r>
        <w:t xml:space="preserve">now an established, high-precision method for the HOS comparability of therapeutic proteins and</w:t>
      </w:r>
      <w:r>
        <w:t xml:space="preserve"> </w:t>
      </w:r>
      <w:r>
        <w:t xml:space="preserve">monoclonal antibodies.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13</m:t>
            </m:r>
            <m:r>
              <m:rPr>
                <m:sty m:val="p"/>
              </m:rPr>
              <m:t>−</m:t>
            </m:r>
            <m:r>
              <m:t>15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Resolution is why HSQC, rather than a lower-resolution</w:t>
      </w:r>
      <w:r>
        <w:t xml:space="preserve"> </w:t>
      </w:r>
      <w:r>
        <w:t xml:space="preserve">technique, carries this burden: methods such as circular dichroism, infrared spectroscopy and</w:t>
      </w:r>
      <w:r>
        <w:t xml:space="preserve"> </w:t>
      </w:r>
      <w:r>
        <w:t xml:space="preserve">size-exclusion chromatography report structure largely as a global average,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11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whereas an HSQC</w:t>
      </w:r>
      <w:r>
        <w:t xml:space="preserve"> </w:t>
      </w:r>
      <w:r>
        <w:t xml:space="preserve">fingerprint resolves the local environment of essentially every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H–X site at once and therefore</w:t>
      </w:r>
      <w:r>
        <w:t xml:space="preserve"> </w:t>
      </w:r>
      <w:r>
        <w:t xml:space="preserve">registers the subtle, localized change in fold or dynamics that an averaged readout can</w:t>
      </w:r>
      <w:r>
        <w:t xml:space="preserve"> </w:t>
      </w:r>
      <w:r>
        <w:t xml:space="preserve">miss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13</m:t>
            </m:r>
            <m:r>
              <m:rPr>
                <m:sty m:val="p"/>
              </m:rPr>
              <m:t>,</m:t>
            </m:r>
            <m:r>
              <m:t>14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— the very differences a sameness test must catch.</w:t>
      </w:r>
    </w:p>
    <w:p>
      <w:pPr>
        <w:pStyle w:val="BodyText"/>
      </w:pPr>
      <w:r>
        <w:t xml:space="preserve">Across all of these settings the same primitive is required, and it is deceptively basic: a single</w:t>
      </w:r>
      <w:r>
        <w:t xml:space="preserve"> </w:t>
      </w:r>
      <w:r>
        <w:t xml:space="preserve">number that is high when two HSQC spectra come from the same species and low when they do not — the</w:t>
      </w:r>
      <w:r>
        <w:t xml:space="preserve"> </w:t>
      </w:r>
      <w:r>
        <w:t xml:space="preserve">scoring core of a sameness test, exactly the measurement that multivariate and chemometric HOS</w:t>
      </w:r>
      <w:r>
        <w:t xml:space="preserve"> </w:t>
      </w:r>
      <w:r>
        <w:t xml:space="preserve">workflows already carry out,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16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and the primitive the present work makes robust. Getting that</w:t>
      </w:r>
      <w:r>
        <w:t xml:space="preserve"> </w:t>
      </w:r>
      <w:r>
        <w:t xml:space="preserve">one number right is deceptively hard, because a sameness test has to resolve differences that are</w:t>
      </w:r>
      <w:r>
        <w:t xml:space="preserve"> </w:t>
      </w:r>
      <w:r>
        <w:t xml:space="preserve">both small and consequential from the ordinary run-to-run variability of the measurement: a genuine</w:t>
      </w:r>
      <w:r>
        <w:t xml:space="preserve"> </w:t>
      </w:r>
      <w:r>
        <w:t xml:space="preserve">change in fold, a low-level degradant or a single perturbed residue must register above analytical</w:t>
      </w:r>
      <w:r>
        <w:t xml:space="preserve"> </w:t>
      </w:r>
      <w:r>
        <w:t xml:space="preserve">noise, solvent- and temperature-dependent peak drift, and the slow drift of the reference material</w:t>
      </w:r>
      <w:r>
        <w:t xml:space="preserve"> </w:t>
      </w:r>
      <w:r>
        <w:t xml:space="preserve">itself, while an innocuous change must not.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11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Posed</w:t>
      </w:r>
      <w:r>
        <w:t xml:space="preserve"> </w:t>
      </w:r>
      <w:r>
        <w:t xml:space="preserve">precisely,</w:t>
      </w:r>
      <w:r>
        <w:t xml:space="preserve"> </w:t>
      </w:r>
      <w:r>
        <w:t xml:space="preserve">“are these two the same?”</w:t>
      </w:r>
      <w:r>
        <w:t xml:space="preserve"> </w:t>
      </w:r>
      <w:r>
        <w:t xml:space="preserve">is a question of</w:t>
      </w:r>
      <w:r>
        <w:t xml:space="preserve"> </w:t>
      </w:r>
      <w:r>
        <w:rPr>
          <w:i/>
          <w:iCs/>
        </w:rPr>
        <w:t xml:space="preserve">equivalence</w:t>
      </w:r>
      <w:r>
        <w:t xml:space="preserve"> </w:t>
      </w:r>
      <w:r>
        <w:t xml:space="preserve">rather than of difference — the</w:t>
      </w:r>
      <w:r>
        <w:t xml:space="preserve"> </w:t>
      </w:r>
      <w:r>
        <w:t xml:space="preserve">province of the two-one-sided-tests procedure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17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and of interval-based equivalence</w:t>
      </w:r>
      <w:r>
        <w:t xml:space="preserve"> </w:t>
      </w:r>
      <w:r>
        <w:t xml:space="preserve">testing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18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— and it is the same logic that underpins the regulatory</w:t>
      </w:r>
      <w:r>
        <w:t xml:space="preserve"> </w:t>
      </w:r>
      <w:r>
        <w:rPr>
          <w:i/>
          <w:iCs/>
        </w:rPr>
        <w:t xml:space="preserve">comparability</w:t>
      </w:r>
      <w:r>
        <w:t xml:space="preserve"> </w:t>
      </w:r>
      <w:r>
        <w:t xml:space="preserve">of a</w:t>
      </w:r>
      <w:r>
        <w:t xml:space="preserve"> </w:t>
      </w:r>
      <w:r>
        <w:t xml:space="preserve">biologic before and after a manufacturing change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19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r>
        <w:t xml:space="preserve">analytical-similarity assessment of a biosimilar against its reference product.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20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Thresholding</w:t>
      </w:r>
      <w:r>
        <w:t xml:space="preserve"> </w:t>
      </w:r>
      <w:r>
        <w:t xml:space="preserve">that number is what turns a similarity score into a same/different verdict, so the useful measure of</w:t>
      </w:r>
      <w:r>
        <w:t xml:space="preserve"> </w:t>
      </w:r>
      <w:r>
        <w:t xml:space="preserve">a sameness test is not the raw score but how cleanly it separates same-species from</w:t>
      </w:r>
      <w:r>
        <w:t xml:space="preserve"> </w:t>
      </w:r>
      <w:r>
        <w:t xml:space="preserve">different-species pairs.</w:t>
      </w:r>
    </w:p>
    <w:p>
      <w:pPr>
        <w:pStyle w:val="BodyText"/>
      </w:pPr>
      <w:r>
        <w:t xml:space="preserve">Three families of measure are in current use, and they fail in two opposite ways. The bin</w:t>
      </w:r>
      <w:r>
        <w:t xml:space="preserve"> </w:t>
      </w:r>
      <w:r>
        <w:t xml:space="preserve">method of Bodis et al. integrates each spectrum over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grid at a range of</w:t>
      </w:r>
      <w:r>
        <w:t xml:space="preserve"> </w:t>
      </w:r>
      <w:r>
        <w:t xml:space="preserve">resolutions and reports a weighted Jaccard (Ružička) index,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21</m:t>
            </m:r>
            <m:r>
              <m:rPr>
                <m:sty m:val="p"/>
              </m:rPr>
              <m:t>,</m:t>
            </m:r>
            <m:r>
              <m:t>22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in the lineage of the</w:t>
      </w:r>
      <w:r>
        <w:t xml:space="preserve"> </w:t>
      </w:r>
      <w:r>
        <w:t xml:space="preserve">binning and normalization schemes long used in NMR metabonomics.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23</m:t>
            </m:r>
            <m:r>
              <m:rPr>
                <m:sty m:val="p"/>
              </m:rPr>
              <m:t>,</m:t>
            </m:r>
            <m:r>
              <m:t>24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Because its bin</w:t>
      </w:r>
      <w:r>
        <w:t xml:space="preserve"> </w:t>
      </w:r>
      <w:r>
        <w:t xml:space="preserve">edges are hard, a peak straddling an edge splits its intensity across neighbouring bins; a small</w:t>
      </w:r>
      <w:r>
        <w:t xml:space="preserve"> </w:t>
      </w:r>
      <w:r>
        <w:t xml:space="preserve">titration drift therefore erodes the score in a discontinuous jump. The measure is</w:t>
      </w:r>
      <w:r>
        <w:t xml:space="preserve"> </w:t>
      </w:r>
      <w:r>
        <w:t xml:space="preserve">shift-</w:t>
      </w:r>
      <w:r>
        <w:rPr>
          <w:b/>
          <w:bCs/>
        </w:rPr>
        <w:t xml:space="preserve">brittle</w:t>
      </w:r>
      <w:r>
        <w:t xml:space="preserve">. The quad-tree method of Castillo et al. encodes a spectrum as a recursive</w:t>
      </w:r>
      <w:r>
        <w:t xml:space="preserve"> </w:t>
      </w:r>
      <w:r>
        <w:t xml:space="preserve">centre-of-mass tree and compares trees node-by-node with a shift-tolerant node score,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25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and the peak method of Pierens et al. picks peaks and matches each to its nearest neighbour in</w:t>
      </w:r>
      <w:r>
        <w:t xml:space="preserve"> </w:t>
      </w:r>
      <w:r>
        <w:t xml:space="preserve">the other spectrum.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26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Both build in genuine shift tolerance — but in a crowded window</w:t>
      </w:r>
      <w:r>
        <w:t xml:space="preserve"> </w:t>
      </w:r>
      <w:r>
        <w:t xml:space="preserve">every peak has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near neighbour and every spectrum a similar mass-centre structure, so both</w:t>
      </w:r>
      <w:r>
        <w:t xml:space="preserve"> </w:t>
      </w:r>
      <w:r>
        <w:t xml:space="preserve">saturate near unity and retain almost no contrast between related and unrelated spectra. They</w:t>
      </w:r>
      <w:r>
        <w:t xml:space="preserve"> </w:t>
      </w:r>
      <w:r>
        <w:t xml:space="preserve">are shift-</w:t>
      </w:r>
      <w:r>
        <w:rPr>
          <w:b/>
          <w:bCs/>
        </w:rPr>
        <w:t xml:space="preserve">blind</w:t>
      </w:r>
      <w:r>
        <w:t xml:space="preserve">. A measure fit for real HSQC comparison must tolerate the small physical</w:t>
      </w:r>
      <w:r>
        <w:t xml:space="preserve"> </w:t>
      </w:r>
      <w:r>
        <w:t xml:space="preserve">drifts a titration or a solvent change induces, yet still penalize intensity that is genuinely</w:t>
      </w:r>
      <w:r>
        <w:t xml:space="preserve"> </w:t>
      </w:r>
      <w:r>
        <w:t xml:space="preserve">relocated.</w:t>
      </w:r>
    </w:p>
    <w:p>
      <w:pPr>
        <w:pStyle w:val="BodyText"/>
      </w:pPr>
      <w:r>
        <w:t xml:space="preserve">We resolve this tension with the Shift-Tolerant Correlation Coefficient (STCC), a measure that keeps</w:t>
      </w:r>
      <w:r>
        <w:t xml:space="preserve"> </w:t>
      </w:r>
      <w:r>
        <w:t xml:space="preserve">the physically meaningful ingredients of all three predecessors — area-weighted integration and</w:t>
      </w:r>
      <w:r>
        <w:t xml:space="preserve"> </w:t>
      </w:r>
      <w:r>
        <w:t xml:space="preserve">unit normalization (Bodis), a physical shift tolerance (Castillo), and a lineshape picture of</w:t>
      </w:r>
      <w:r>
        <w:t xml:space="preserve"> </w:t>
      </w:r>
      <w:r>
        <w:t xml:space="preserve">the spectrum (Pierens) — and adds a mean-centred correlation as the discriminating step. Given</w:t>
      </w:r>
      <w:r>
        <w:t xml:space="preserve"> </w:t>
      </w:r>
      <w:r>
        <w:t xml:space="preserve">two spectra compared inside a common window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(processed Bruker data from any standard</w:t>
      </w:r>
      <w:r>
        <w:t xml:space="preserve"> </w:t>
      </w:r>
      <w:r>
        <w:t xml:space="preserve">pipeline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27</m:t>
            </m:r>
            <m:r>
              <m:rPr>
                <m:sty m:val="p"/>
              </m:rPr>
              <m:t>−</m:t>
            </m:r>
            <m:r>
              <m:t>31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or peak lists rendered to a grid), STCC proceeds in three steps (Figure 1a).</w:t>
      </w:r>
    </w:p>
    <w:p>
      <w:pPr>
        <w:pStyle w:val="BodyText"/>
      </w:pPr>
      <w:r>
        <w:rPr>
          <w:b/>
          <w:bCs/>
        </w:rPr>
        <w:t xml:space="preserve">Render.</w:t>
      </w:r>
      <w:r>
        <w:t xml:space="preserve"> </w:t>
      </w:r>
      <w:r>
        <w:t xml:space="preserve">Negative intensities are clipped, each point is weighted by its local integration</w:t>
      </w:r>
      <w:r>
        <w:t xml:space="preserve"> </w:t>
      </w:r>
      <w:r>
        <w:t xml:space="preserve">area,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spectra are histogrammed onto a</w:t>
      </w:r>
      <w:r>
        <w:t xml:space="preserve"> </w:t>
      </w:r>
      <w:r>
        <w:rPr>
          <w:b/>
          <w:bCs/>
        </w:rPr>
        <w:t xml:space="preserve">single shared grid</w:t>
      </w:r>
      <w:r>
        <w:t xml:space="preserve">, so they are directly</w:t>
      </w:r>
      <w:r>
        <w:t xml:space="preserve"> </w:t>
      </w:r>
      <w:r>
        <w:t xml:space="preserve">comparable irrespective of their native digital resolution. The mass is normalized to unit sum;</w:t>
      </w:r>
      <w:r>
        <w:t xml:space="preserve"> </w:t>
      </w:r>
      <w:r>
        <w:t xml:space="preserve">the final score is invariant to this scale.</w:t>
      </w:r>
    </w:p>
    <w:p>
      <w:pPr>
        <w:pStyle w:val="BodyText"/>
      </w:pPr>
      <w:r>
        <w:rPr>
          <w:b/>
          <w:bCs/>
        </w:rPr>
        <w:t xml:space="preserve">Blur.</w:t>
      </w:r>
      <w:r>
        <w:t xml:space="preserve"> </w:t>
      </w:r>
      <w:r>
        <w:t xml:space="preserve">Each image is convolved with a separable Gaussian whose width per axis is the physical</w:t>
      </w:r>
      <w:r>
        <w:t xml:space="preserve"> </w:t>
      </w:r>
      <w:r>
        <w:t xml:space="preserve">linewidth combined with the expected drift,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ℓ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— an assumed,</w:t>
      </w:r>
      <w:r>
        <w:t xml:space="preserve"> </w:t>
      </w:r>
      <w:r>
        <w:t xml:space="preserve">effective lineshape (a Gaussian standing in for the true peak shape and deliberately widened by the</w:t>
      </w:r>
      <w:r>
        <w:t xml:space="preserve"> </w:t>
      </w:r>
      <w:r>
        <w:t xml:space="preserve">expected drift), not a fitted one, so</w:t>
      </w:r>
      <w:r>
        <w:t xml:space="preserve"> </w:t>
      </w:r>
      <w:r>
        <w:t xml:space="preserve">“lineshape”</w:t>
      </w:r>
      <w:r>
        <w:t xml:space="preserve"> </w:t>
      </w:r>
      <w:r>
        <w:t xml:space="preserve">here names this modelled kernel rather than a</w:t>
      </w:r>
      <w:r>
        <w:t xml:space="preserve"> </w:t>
      </w:r>
      <w:r>
        <w:t xml:space="preserve">measured profile. This replaces the</w:t>
      </w:r>
      <w:r>
        <w:t xml:space="preserve"> </w:t>
      </w:r>
      <w:r>
        <w:t xml:space="preserve">bin method’s hard edges with a continuous response. For an isolated peak on a large grid, two</w:t>
      </w:r>
      <w:r>
        <w:t xml:space="preserve"> </w:t>
      </w:r>
      <w:r>
        <w:t xml:space="preserve">copies displaced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correlate as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Sup>
          <m:e>
            <m:r>
              <m:rPr>
                <m:sty m:val="p"/>
              </m:rPr>
              <m:t>Δ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4</m:t>
        </m:r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rPr>
                <m:sty m:val="p"/>
              </m:rPr>
              <m:t>Δ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4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smooth and monotone in the drift</w:t>
      </w:r>
      <w:r>
        <w:t xml:space="preserve"> </w:t>
      </w:r>
      <w:r>
        <w:t xml:space="preserve">(Figure 1b), so a physical shift costs little while a random relocation (</w:t>
      </w:r>
      <m:oMath>
        <m:r>
          <m:rPr>
            <m:sty m:val="p"/>
          </m:rPr>
          <m:t>Δ</m:t>
        </m:r>
        <m:r>
          <m:rPr>
            <m:sty m:val="p"/>
          </m:rPr>
          <m:t>≫</m:t>
        </m:r>
        <m:r>
          <m:t>σ</m:t>
        </m:r>
      </m:oMath>
      <w:r>
        <w:t xml:space="preserve">)</w:t>
      </w:r>
      <w:r>
        <w:t xml:space="preserve"> </w:t>
      </w:r>
      <w:r>
        <w:t xml:space="preserve">costs almost everything. The blur width, not a bin count, is the tolerance knob, and it is set</w:t>
      </w:r>
      <w:r>
        <w:t xml:space="preserve"> </w:t>
      </w:r>
      <w:r>
        <w:t xml:space="preserve">by two spectroscopic quantities: the linewidth (the floor) and the expected shift perturbation</w:t>
      </w:r>
      <w:r>
        <w:t xml:space="preserve"> </w:t>
      </w:r>
      <w:r>
        <w:t xml:space="preserve">(the tolerance).</w:t>
      </w:r>
    </w:p>
    <w:p>
      <w:pPr>
        <w:pStyle w:val="BodyText"/>
      </w:pPr>
      <w:r>
        <w:rPr>
          <w:b/>
          <w:bCs/>
        </w:rPr>
        <w:t xml:space="preserve">Score.</w:t>
      </w:r>
      <w:r>
        <w:t xml:space="preserve"> </w:t>
      </w:r>
      <w:r>
        <w:t xml:space="preserve">Each image is mean-centred and the similarity is the zero-lag normalized</w:t>
      </w:r>
      <w:r>
        <w:t xml:space="preserve"> </w:t>
      </w:r>
      <w:r>
        <w:t xml:space="preserve">cross-correlation — the Pearson coefficient — of the two centred images, clamped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is the mean-centred (Pearson) counterpart of the cosine / contrast-angle similarity long used</w:t>
      </w:r>
      <w:r>
        <w:t xml:space="preserve"> </w:t>
      </w:r>
      <w:r>
        <w:t xml:space="preserve">in mass-spectral library search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32</m:t>
            </m:r>
            <m:r>
              <m:rPr>
                <m:sty m:val="p"/>
              </m:rPr>
              <m:t>,</m:t>
            </m:r>
            <m:r>
              <m:t>33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— equivalently, the zero-mean normalized</w:t>
      </w:r>
      <w:r>
        <w:t xml:space="preserve"> </w:t>
      </w:r>
      <w:r>
        <w:t xml:space="preserve">cross-correlation (ZNCC) standard in image registration and template matching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34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— applied to</w:t>
      </w:r>
      <w:r>
        <w:t xml:space="preserve"> </w:t>
      </w:r>
      <w:r>
        <w:t xml:space="preserve">blurred 2D-HSQC images; the un-centred cosine we report as an ablation is exactly that contrast</w:t>
      </w:r>
      <w:r>
        <w:t xml:space="preserve"> </w:t>
      </w:r>
      <w:r>
        <w:t xml:space="preserve">angle, and mean-centring is what separates STCC from it. Mean-centring is what turns overlap into</w:t>
      </w:r>
      <w:r>
        <w:t xml:space="preserve"> </w:t>
      </w:r>
      <w:r>
        <w:t xml:space="preserve">discrimination: a cell where one spectrum has a peak (a value above its mean) and the other is</w:t>
      </w:r>
      <w:r>
        <w:t xml:space="preserve"> </w:t>
      </w:r>
      <w:r>
        <w:t xml:space="preserve">empty (a value below its mean) contributes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product and lowers the score, so</w:t>
      </w:r>
      <w:r>
        <w:t xml:space="preserve"> </w:t>
      </w:r>
      <w:r>
        <w:t xml:space="preserve">intensity that is not co-located is actively penalized rather than merely ignored, as it is by</w:t>
      </w:r>
      <w:r>
        <w:t xml:space="preserve"> </w:t>
      </w:r>
      <w:r>
        <w:t xml:space="preserve">the one-way nearest-neighbour distance. No shift search is performed. Aligning the images — as</w:t>
      </w:r>
      <w:r>
        <w:t xml:space="preserve"> </w:t>
      </w:r>
      <w:r>
        <w:t xml:space="preserve">in NMR peak-alignment tools such as icoshift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35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— would let a genuinely different spectrum</w:t>
      </w:r>
      <w:r>
        <w:t xml:space="preserve"> </w:t>
      </w:r>
      <w:r>
        <w:t xml:space="preserve">slide into registration and re-saturate, reintroducing exactly the failure mode of the tree and</w:t>
      </w:r>
      <w:r>
        <w:t xml:space="preserve"> </w:t>
      </w:r>
      <w:r>
        <w:t xml:space="preserve">nearest-neighbour methods. Scoring at zero lag keeps the position information that carries the</w:t>
      </w:r>
      <w:r>
        <w:t xml:space="preserve"> </w:t>
      </w:r>
      <w:r>
        <w:t xml:space="preserve">discrimination.</w:t>
      </w:r>
    </w:p>
    <w:p>
      <w:pPr>
        <w:pStyle w:val="BodyText"/>
      </w:pPr>
      <w:r>
        <w:rPr>
          <w:i/>
          <w:iCs/>
        </w:rPr>
        <w:t xml:space="preserve">Experimental local-contrast extension.</w:t>
      </w:r>
      <w:r>
        <w:t xml:space="preserve"> </w:t>
      </w:r>
      <w:r>
        <w:t xml:space="preserve">We also tested a post hoc candidate that changes only the</w:t>
      </w:r>
      <w:r>
        <w:t xml:space="preserve"> </w:t>
      </w:r>
      <w:r>
        <w:t xml:space="preserve">feature used for scoring, not the STCC render or its physical shift tolerance. For the existing</w:t>
      </w:r>
      <w:r>
        <w:t xml:space="preserve"> </w:t>
      </w:r>
      <w:r>
        <w:t xml:space="preserve">Gaussian-blurred image</w:t>
      </w:r>
      <w:r>
        <w:t xml:space="preserve"> </w:t>
      </w:r>
      <m:oMath>
        <m:r>
          <m:t>G</m:t>
        </m:r>
      </m:oMath>
      <w:r>
        <w:t xml:space="preserve">, it forms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GaussianBlur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,</m:t>
          </m:r>
          <m:r>
            <m:t>3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 takes the clipped zero-lag cosine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. The square root reduces domination by a</w:t>
      </w:r>
      <w:r>
        <w:t xml:space="preserve"> </w:t>
      </w:r>
      <w:r>
        <w:t xml:space="preserve">few intense peaks, an intensity-weighting rationale used in mass-spectral library search but not</w:t>
      </w:r>
      <w:r>
        <w:t xml:space="preserve"> </w:t>
      </w:r>
      <w:r>
        <w:t xml:space="preserve">direct evidence of NMR performance;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39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the fixed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background subtraction removes</w:t>
      </w:r>
      <w:r>
        <w:t xml:space="preserve"> </w:t>
      </w:r>
      <w:r>
        <w:t xml:space="preserve">broad baseline and common</w:t>
      </w:r>
      <w:r>
        <w:t xml:space="preserve"> </w:t>
      </w:r>
      <w:r>
        <w:t xml:space="preserve">low-frequency density. The factor three is fixed by design rather than exposed as another tuning</w:t>
      </w:r>
      <w:r>
        <w:t xml:space="preserve"> </w:t>
      </w:r>
      <w:r>
        <w:t xml:space="preserve">parameter. The candidate adds no dependency, alignment, peak picking or model and preserves the</w:t>
      </w:r>
      <w:r>
        <w:t xml:space="preserve"> </w:t>
      </w:r>
      <w:r>
        <w:t xml:space="preserve">same fixed-window comparison. Because it was developed after inspecting these benchmarks, we label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keep STCC as the default unless held-out threshold error or rejection</w:t>
      </w:r>
      <w:r>
        <w:t xml:space="preserve"> </w:t>
      </w:r>
      <w:r>
        <w:t xml:space="preserve">false-positive rate improves without degrading the other regime.</w:t>
      </w:r>
    </w:p>
    <w:p>
      <w:pPr>
        <w:pStyle w:val="BodyText"/>
      </w:pPr>
      <w:r>
        <w:t xml:space="preserve">The measure has the properties one expects of a similarity: self-similarity is exactly one, the</w:t>
      </w:r>
      <w:r>
        <w:t xml:space="preserve"> </w:t>
      </w:r>
      <w:r>
        <w:t xml:space="preserve">score is exactly symmetric, and it is monotone in the drift of an isolated peak (all verified in</w:t>
      </w:r>
      <w:r>
        <w:t xml:space="preserve"> </w:t>
      </w:r>
      <w:r>
        <w:t xml:space="preserve">the test suite; Supporting Information). The implementation is pure NumPy,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36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reads</w:t>
      </w:r>
      <w:r>
        <w:t xml:space="preserve"> </w:t>
      </w:r>
      <w:r>
        <w:t xml:space="preserve">processed Bruker data directly, and requires neither peak picking nor an external solver. On a</w:t>
      </w:r>
      <w:r>
        <w:t xml:space="preserve"> </w:t>
      </w:r>
      <w:r>
        <w:t xml:space="preserve">representative dense pair, STCC takes 12.8 ms and the experimental local-contrast extension takes</w:t>
      </w:r>
      <w:r>
        <w:t xml:space="preserve"> </w:t>
      </w:r>
      <w:r>
        <w:t xml:space="preserve">17.2 ms (1.34</w:t>
      </w:r>
      <m:oMath>
        <m:r>
          <m:rPr>
            <m:sty m:val="p"/>
          </m:rPr>
          <m:t>×</m:t>
        </m:r>
      </m:oMath>
      <w:r>
        <w:t xml:space="preserve">; Apple Silicon, single core). A 46-test suite (all passing) checks</w:t>
      </w:r>
      <w:r>
        <w:t xml:space="preserve"> </w:t>
      </w:r>
      <w:r>
        <w:t xml:space="preserve">self-similarity, symmetry, boundedness, related-beats-unrelated ordering, monotonicity in drift,</w:t>
      </w:r>
      <w:r>
        <w:t xml:space="preserve"> </w:t>
      </w:r>
      <w:r>
        <w:t xml:space="preserve">intensity-scale and render-grid invariance, explicit invalid-input errors, and the existing</w:t>
      </w:r>
      <w:r>
        <w:t xml:space="preserve"> </w:t>
      </w:r>
      <w:r>
        <w:t xml:space="preserve">regressions; figures use Matplotlib.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37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A full derivation with proofs is given in the</w:t>
      </w:r>
      <w:r>
        <w:t xml:space="preserve"> </w:t>
      </w:r>
      <w:r>
        <w:t xml:space="preserve">Supporting Information.</w:t>
      </w:r>
    </w:p>
    <w:p>
      <w:pPr>
        <w:pStyle w:val="BodyText"/>
      </w:pPr>
      <w:r>
        <w:t xml:space="preserve">We benchmarked STCC against the three reference methods on two deliberately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regimes,</w:t>
      </w:r>
      <w:r>
        <w:t xml:space="preserve"> </w:t>
      </w:r>
      <w:r>
        <w:t xml:space="preserve">so that any measure claiming general utility must succeed on both (Figure 2; Table 1). We</w:t>
      </w:r>
      <w:r>
        <w:t xml:space="preserve"> </w:t>
      </w:r>
      <w:r>
        <w:t xml:space="preserve">summarize discrimination by the</w:t>
      </w:r>
      <w:r>
        <w:t xml:space="preserve"> </w:t>
      </w:r>
      <w:r>
        <w:rPr>
          <w:b/>
          <w:bCs/>
        </w:rPr>
        <w:t xml:space="preserve">separation</w:t>
      </w:r>
      <w:r>
        <w:t xml:space="preserve"> </w:t>
      </w:r>
      <w:r>
        <w:t xml:space="preserve">(mean same-class score − mean different-class</w:t>
      </w:r>
      <w:r>
        <w:t xml:space="preserve"> </w:t>
      </w:r>
      <w:r>
        <w:t xml:space="preserve">score) and the</w:t>
      </w:r>
      <w:r>
        <w:t xml:space="preserve"> </w:t>
      </w:r>
      <w:r>
        <w:rPr>
          <w:b/>
          <w:bCs/>
        </w:rPr>
        <w:t xml:space="preserve">margin</w:t>
      </w:r>
      <w:r>
        <w:t xml:space="preserve"> </w:t>
      </w:r>
      <w:r>
        <w:t xml:space="preserve">(worst same-class − best different-class score, which is what a single</w:t>
      </w:r>
      <w:r>
        <w:t xml:space="preserve"> </w:t>
      </w:r>
      <w:r>
        <w:t xml:space="preserve">classification threshold — the operating point of a sameness test — actually sees); both are</w:t>
      </w:r>
      <w:r>
        <w:t xml:space="preserve"> </w:t>
      </w:r>
      <w:r>
        <w:t xml:space="preserve">reported on each method’s own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scale. Every method self-scores exactly 1.00.</w:t>
      </w:r>
      <w:r>
        <w:t xml:space="preserve"> </w:t>
      </w:r>
      <w:r>
        <w:t xml:space="preserve">Within each benchmark, every method and candidate is evaluated in the same fixed ppm window; no</w:t>
      </w:r>
      <w:r>
        <w:t xml:space="preserve"> </w:t>
      </w:r>
      <w:r>
        <w:t xml:space="preserve">method-specific automatic overlap or alignment is used.</w:t>
      </w:r>
    </w:p>
    <w:p>
      <w:pPr>
        <w:pStyle w:val="BodyText"/>
      </w:pPr>
      <w:r>
        <w:rPr>
          <w:i/>
          <w:iCs/>
        </w:rPr>
        <w:t xml:space="preserve">Dense protein</w:t>
      </w:r>
      <w:r>
        <w:rPr>
          <w:i/>
          <w:i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i/>
          <w:iCs/>
        </w:rPr>
        <w:t xml:space="preserve">H–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rPr>
          <w:i/>
          <w:iCs/>
        </w:rPr>
        <w:t xml:space="preserve">N.</w:t>
      </w:r>
      <w:r>
        <w:t xml:space="preserve"> </w:t>
      </w:r>
      <w:r>
        <w:t xml:space="preserve">The reference is the apo spectrum of the phosphatase PRL3,</w:t>
      </w:r>
      <w:r>
        <w:t xml:space="preserve"> </w:t>
      </w:r>
      <w:r>
        <w:t xml:space="preserve">compared with six spectra of the same protein along a ligand titration (which should score high)</w:t>
      </w:r>
      <w:r>
        <w:t xml:space="preserve"> </w:t>
      </w:r>
      <w:r>
        <w:t xml:space="preserve">and with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protein (which should score low), inside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6.5–10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105–130 ppm window. STCC scores the same protein 0.94 (range</w:t>
      </w:r>
      <w:r>
        <w:t xml:space="preserve"> </w:t>
      </w:r>
      <w:r>
        <w:t xml:space="preserve">0.89–0.97) and the different protein 0.18, a margin of 0.71 — three times the bin method’s margin of 0.24,</w:t>
      </w:r>
      <w:r>
        <w:t xml:space="preserve"> </w:t>
      </w:r>
      <w:r>
        <w:t xml:space="preserve">the strongest baseline. Mean-centring earns that gap: replacing it with an un-centred cosine</w:t>
      </w:r>
      <w:r>
        <w:t xml:space="preserve"> </w:t>
      </w:r>
      <w:r>
        <w:t xml:space="preserve">overlap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images drops the separation from 0.75 to 0.59. This gain is not a tuned</w:t>
      </w:r>
      <w:r>
        <w:t xml:space="preserve"> </w:t>
      </w:r>
      <w:r>
        <w:t xml:space="preserve">artefact; it holds across the entire physical blur range and even survives coarsening the grid</w:t>
      </w:r>
      <w:r>
        <w:t xml:space="preserve"> </w:t>
      </w:r>
      <w:r>
        <w:t xml:space="preserve">to the bin method’s own resolution (Supporting Information).</w:t>
      </w:r>
    </w:p>
    <w:p>
      <w:pPr>
        <w:pStyle w:val="BodyText"/>
      </w:pPr>
      <w:r>
        <w:rPr>
          <w:i/>
          <w:iCs/>
        </w:rPr>
        <w:t xml:space="preserve">A second decoy protein and an independent titration.</w:t>
      </w:r>
      <w:r>
        <w:t xml:space="preserve"> </w:t>
      </w:r>
      <w:r>
        <w:t xml:space="preserve">Because that margin is measured against a</w:t>
      </w:r>
      <w:r>
        <w:t xml:space="preserve"> </w:t>
      </w:r>
      <w:r>
        <w:t xml:space="preserve">single decoy protein, we tested whether STCC’s advantage survives a harder, self-contained design:</w:t>
      </w:r>
      <w:r>
        <w:t xml:space="preserve"> </w:t>
      </w:r>
      <w:r>
        <w:t xml:space="preserve">an independent PRL3 apo→olsalazine titration (23 points, from a 500 µM sample) scored against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distinct decoy folds — OAA and the kinase-domain EphB3 — inside the same window (Table 2;</w:t>
      </w:r>
      <w:r>
        <w:t xml:space="preserve"> </w:t>
      </w:r>
      <w:r>
        <w:t xml:space="preserve">Supporting Information). As ligand is added the chemical-shift perturbation grows and STCC decays</w:t>
      </w:r>
      <w:r>
        <w:t xml:space="preserve"> </w:t>
      </w:r>
      <w:r>
        <w:rPr>
          <w:b/>
          <w:bCs/>
        </w:rPr>
        <w:t xml:space="preserve">smoothly</w:t>
      </w:r>
      <w:r>
        <w:t xml:space="preserve"> </w:t>
      </w:r>
      <w:r>
        <w:t xml:space="preserve">from 0.98 to a plateau near 0.82 — its graded shift tolerance acting on a real</w:t>
      </w:r>
      <w:r>
        <w:t xml:space="preserve"> </w:t>
      </w:r>
      <w:r>
        <w:t xml:space="preserve">titration — while both decoys sit far below every titration point (OAA 0.19, EphB3 0.41). STCC keeps</w:t>
      </w:r>
      <w:r>
        <w:t xml:space="preserve"> </w:t>
      </w:r>
      <w:r>
        <w:t xml:space="preserve">a separation of 0.57 and margin of 0.41: both decoy proteins clear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same-protein score by a comfortable gap, whereas the tree and nearest-neighbour margins are a</w:t>
      </w:r>
      <w:r>
        <w:t xml:space="preserve"> </w:t>
      </w:r>
      <w:r>
        <w:t xml:space="preserve">knife-edge (0.12 and 0.02, a single noisy titration point from crossing). The un-centred cosine</w:t>
      </w:r>
      <w:r>
        <w:t xml:space="preserve"> </w:t>
      </w:r>
      <w:r>
        <w:t xml:space="preserve">trails (0.46 / 0.35), so mean-centring still earns the gap against a genuine negative distribution. This test is harder than the single-decoy benchmark on both axes —</w:t>
      </w:r>
      <w:r>
        <w:t xml:space="preserve"> </w:t>
      </w:r>
      <w:r>
        <w:t xml:space="preserve">a longer titration with larger shifts and a second, tougher decoy — so STCC’s dense-regime margin</w:t>
      </w:r>
      <w:r>
        <w:t xml:space="preserve"> </w:t>
      </w:r>
      <w:r>
        <w:t xml:space="preserve">is not an artefact of one negative spectrum. The experimental</w:t>
      </w:r>
      <w:r>
        <w:t xml:space="preserve"> </w:t>
      </w:r>
      <w:r>
        <w:t xml:space="preserve">Local-Contrast extension reduces the two decoy scores to 0.02 and 0.14 and increases separation</w:t>
      </w:r>
      <w:r>
        <w:t xml:space="preserve"> </w:t>
      </w:r>
      <w:r>
        <w:t xml:space="preserve">and margin to 0.67 and 0.52, respectively (Table 2).</w:t>
      </w:r>
    </w:p>
    <w:p>
      <w:pPr>
        <w:pStyle w:val="BodyText"/>
      </w:pPr>
      <w:r>
        <w:rPr>
          <w:i/>
          <w:iCs/>
        </w:rPr>
        <w:t xml:space="preserve">Sparse small-molecule</w:t>
      </w:r>
      <w:r>
        <w:rPr>
          <w:i/>
          <w:i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i/>
          <w:iCs/>
        </w:rPr>
        <w:t xml:space="preserve">H–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rPr>
          <w:i/>
          <w:iCs/>
        </w:rPr>
        <w:t xml:space="preserve">C.</w:t>
      </w:r>
      <w:r>
        <w:t xml:space="preserve"> </w:t>
      </w:r>
      <w:r>
        <w:t xml:space="preserve">To probe the opposite regime — and to replace the single</w:t>
      </w:r>
      <w:r>
        <w:t xml:space="preserve"> </w:t>
      </w:r>
      <w:r>
        <w:t xml:space="preserve">negative spectrum above with a large negative set — we used public HSQC peak lists from the</w:t>
      </w:r>
      <w:r>
        <w:t xml:space="preserve"> </w:t>
      </w:r>
      <w:r>
        <w:t xml:space="preserve">simpleNMR example set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38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for five compounds each recorded twice (one nominal sixth pair was</w:t>
      </w:r>
      <w:r>
        <w:t xml:space="preserve"> </w:t>
      </w:r>
      <w:r>
        <w:t xml:space="preserve">excluded on inspection as a byte-identical duplicate; Supporting Information), and asked each</w:t>
      </w:r>
      <w:r>
        <w:t xml:space="preserve"> </w:t>
      </w:r>
      <w:r>
        <w:t xml:space="preserve">method to score the 5 same-compound pairs above the 40 different-compound pairs, inside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0–10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0–165 ppm window. The peak lists are rasterized as sticks, after which</w:t>
      </w:r>
      <w:r>
        <w:t xml:space="preserve"> </w:t>
      </w:r>
      <w:r>
        <w:t xml:space="preserve">each method applies its own shift-tolerance processing; this removes the earlier double blur.</w:t>
      </w:r>
      <w:r>
        <w:t xml:space="preserve"> </w:t>
      </w:r>
      <w:r>
        <w:t xml:space="preserve">Among the primary methods STCC again leads (mean same 0.746, mean different 0.0016, separation</w:t>
      </w:r>
      <w:r>
        <w:t xml:space="preserve"> </w:t>
      </w:r>
      <w:r>
        <w:t xml:space="preserve">0.745, margin 0.374). The bin method is far stronger here than on the dense</w:t>
      </w:r>
      <w:r>
        <w:t xml:space="preserve"> </w:t>
      </w:r>
      <w:r>
        <w:t xml:space="preserve">fingerprint (0.29): with few, well-separated peaks its hard bins rarely straddle a peak. The</w:t>
      </w:r>
      <w:r>
        <w:t xml:space="preserve"> </w:t>
      </w:r>
      <w:r>
        <w:t xml:space="preserve">tree and nearest-neighbour methods, however,</w:t>
      </w:r>
      <w:r>
        <w:t xml:space="preserve"> </w:t>
      </w:r>
      <w:r>
        <w:rPr>
          <w:b/>
          <w:bCs/>
        </w:rPr>
        <w:t xml:space="preserve">leave the two classes barely separable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regime too</w:t>
      </w:r>
      <w:r>
        <w:t xml:space="preserve"> </w:t>
      </w:r>
      <w:r>
        <w:t xml:space="preserve">(margins 0.07 and 0.04, despite separations of 0.41 and 0.10): over a wide window a</w:t>
      </w:r>
      <w:r>
        <w:t xml:space="preserve"> </w:t>
      </w:r>
      <w:r>
        <w:t xml:space="preserve">different molecule still supplies a near neighbour for every peak. Their shift tolerance is</w:t>
      </w:r>
      <w:r>
        <w:t xml:space="preserve"> </w:t>
      </w:r>
      <w:r>
        <w:t xml:space="preserve">real — per pair, it keeps two shifted recordings of the same compound high (0.83–1.00,</w:t>
      </w:r>
      <w:r>
        <w:t xml:space="preserve"> </w:t>
      </w:r>
      <w:r>
        <w:t xml:space="preserve">where STCC scores 0.39–0.42) — but it tolerates</w:t>
      </w:r>
      <w:r>
        <w:t xml:space="preserve"> </w:t>
      </w:r>
      <w:r>
        <w:rPr>
          <w:i/>
          <w:iCs/>
        </w:rPr>
        <w:t xml:space="preserve">everything</w:t>
      </w:r>
      <w:r>
        <w:t xml:space="preserve">, so it never becomes discrimination. STCC recovers that same tolerance</w:t>
      </w:r>
      <w:r>
        <w:t xml:space="preserve"> </w:t>
      </w:r>
      <w:r>
        <w:t xml:space="preserve">controllably, through its blur width, without surrendering the between-compound contrast</w:t>
      </w:r>
      <w:r>
        <w:t xml:space="preserve"> </w:t>
      </w:r>
      <w:r>
        <w:t xml:space="preserve">(Supporting Information). The experimental Local-Contrast extension lifts the rotenone pair from</w:t>
      </w:r>
      <w:r>
        <w:t xml:space="preserve"> </w:t>
      </w:r>
      <w:r>
        <w:t xml:space="preserve">0.388 to 0.727 while keeping the different-compound mean at 0.0041; overall it reaches separation</w:t>
      </w:r>
      <w:r>
        <w:t xml:space="preserve"> </w:t>
      </w:r>
      <w:r>
        <w:t xml:space="preserve">0.820 and margin 0.434. Its square-root transform and local background subtraction therefore</w:t>
      </w:r>
      <w:r>
        <w:t xml:space="preserve"> </w:t>
      </w:r>
      <w:r>
        <w:t xml:space="preserve">improve the descriptive sparse separation without changing peak positions or aligning spectra.</w:t>
      </w:r>
    </w:p>
    <w:p>
      <w:pPr>
        <w:pStyle w:val="BodyText"/>
      </w:pPr>
      <w:r>
        <w:rPr>
          <w:i/>
          <w:iCs/>
        </w:rPr>
        <w:t xml:space="preserve">Statistical strength and held-out operation.</w:t>
      </w:r>
      <w:r>
        <w:t xml:space="preserve"> </w:t>
      </w:r>
      <w:r>
        <w:t xml:space="preserve">Compound-level resampling keeps all pairs involving</w:t>
      </w:r>
      <w:r>
        <w:t xml:space="preserve"> </w:t>
      </w:r>
      <w:r>
        <w:t xml:space="preserve">the same molecule together. On the current stick-input sparse benchmark, the cluster 95% interval</w:t>
      </w:r>
      <w:r>
        <w:t xml:space="preserve"> </w:t>
      </w:r>
      <w:r>
        <w:t xml:space="preserve">for separation is 0.508–0.982 for STCC and 0.623–0.985 for Local Contrast. A paired</w:t>
      </w:r>
      <w:r>
        <w:t xml:space="preserve"> </w:t>
      </w:r>
      <w:r>
        <w:t xml:space="preserve">compound-cluster bootstrap gives Local Contrast − STCC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0.0757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0.0014</m:t>
        </m:r>
        <m:r>
          <m:rPr>
            <m:sty m:val="p"/>
          </m:rPr>
          <m:t>,</m:t>
        </m:r>
        <m:r>
          <m:t>0.2057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0.0067</m:t>
        </m:r>
      </m:oMath>
      <w:r>
        <w:t xml:space="preserve">), supporting a descriptive gain on these five</w:t>
      </w:r>
      <w:r>
        <w:t xml:space="preserve"> </w:t>
      </w:r>
      <w:r>
        <w:t xml:space="preserve">compounds. Ranking and threshold operation provide the promotion check: both variants have</w:t>
      </w:r>
      <w:r>
        <w:t xml:space="preserve"> </w:t>
      </w:r>
      <w:r>
        <w:t xml:space="preserve">AUROC = AUPRC = top-1 = MRR = 1.00, and both have zero leave-one-compound-out classification error,</w:t>
      </w:r>
      <w:r>
        <w:t xml:space="preserve"> </w:t>
      </w:r>
      <w:r>
        <w:t xml:space="preserve">false-negative rate and rejection false-positive rate. Thus the candidate does not improve the</w:t>
      </w:r>
      <w:r>
        <w:t xml:space="preserve"> </w:t>
      </w:r>
      <w:r>
        <w:t xml:space="preserve">held-out decision boundary even though its separation is larger. The expanded dense result is used</w:t>
      </w:r>
      <w:r>
        <w:t xml:space="preserve"> </w:t>
      </w:r>
      <w:r>
        <w:t xml:space="preserve">as regression evidence, not as an independent held-out estimate because its same-class points are</w:t>
      </w:r>
      <w:r>
        <w:t xml:space="preserve"> </w:t>
      </w:r>
      <w:r>
        <w:t xml:space="preserve">one autocorrelated titration. Default promotion is reserved for lower held-out threshold error or</w:t>
      </w:r>
      <w:r>
        <w:t xml:space="preserve"> </w:t>
      </w:r>
      <w:r>
        <w:t xml:space="preserve">rejection FPR without a loss in the other regime; that condition is not met here.</w:t>
      </w:r>
    </w:p>
    <w:p>
      <w:pPr>
        <w:pStyle w:val="BodyText"/>
      </w:pPr>
      <w:r>
        <w:t xml:space="preserve">Across both regimes, default STCC beats the saturating tree and nearest-neighbour methods while</w:t>
      </w:r>
      <w:r>
        <w:t xml:space="preserve"> </w:t>
      </w:r>
      <w:r>
        <w:t xml:space="preserve">retaining graded shift tolerance, and it matches or exceeds the bin method. The post hoc</w:t>
      </w:r>
      <w:r>
        <w:t xml:space="preserve"> </w:t>
      </w:r>
      <w:r>
        <w:t xml:space="preserve">Local-Contrast extension improves descriptive separation and margin on the expanded dense and</w:t>
      </w:r>
      <w:r>
        <w:t xml:space="preserve"> </w:t>
      </w:r>
      <w:r>
        <w:t xml:space="preserve">sparse benchmarks, but it does not improve held-out threshold error or rejection FPR and is</w:t>
      </w:r>
      <w:r>
        <w:t xml:space="preserve"> </w:t>
      </w:r>
      <w:r>
        <w:t xml:space="preserve">therefore not promoted. STCC’s two knobs, the per-axis blur widths, are both</w:t>
      </w:r>
      <w:r>
        <w:t xml:space="preserve"> </w:t>
      </w:r>
      <w:r>
        <w:t xml:space="preserve">physical: the linewidth sets the floor and the expected shift perturbation sets how much drift is</w:t>
      </w:r>
      <w:r>
        <w:t xml:space="preserve"> </w:t>
      </w:r>
      <w:r>
        <w:t xml:space="preserve">tolerated. Two caveats bound the claim honestly. First, STCC</w:t>
      </w:r>
      <w:r>
        <w:t xml:space="preserve"> </w:t>
      </w:r>
      <w:r>
        <w:t xml:space="preserve">measures position-and-intensity coincidence, not molecular identity, so a close structural</w:t>
      </w:r>
      <w:r>
        <w:t xml:space="preserve"> </w:t>
      </w:r>
      <w:r>
        <w:t xml:space="preserve">analogue — a near-identical dereplication candidate, or a biosimilar that differs from its</w:t>
      </w:r>
      <w:r>
        <w:t xml:space="preserve"> </w:t>
      </w:r>
      <w:r>
        <w:t xml:space="preserve">originator only in a subtle structural detail — will score intermediate; this is the correct</w:t>
      </w:r>
      <w:r>
        <w:t xml:space="preserve"> </w:t>
      </w:r>
      <w:r>
        <w:t xml:space="preserve">behaviour for a</w:t>
      </w:r>
      <w:r>
        <w:t xml:space="preserve"> </w:t>
      </w:r>
      <w:r>
        <w:rPr>
          <w:i/>
          <w:iCs/>
        </w:rPr>
        <w:t xml:space="preserve">similarity</w:t>
      </w:r>
      <w:r>
        <w:t xml:space="preserve">, but it is also why the subtle end of higher-order-structure</w:t>
      </w:r>
      <w:r>
        <w:t xml:space="preserve"> </w:t>
      </w:r>
      <w:r>
        <w:t xml:space="preserve">comparability is a task STCC scores rather than one it yet decides. Second, the three reference methods are our own representative reimplementations</w:t>
      </w:r>
      <w:r>
        <w:t xml:space="preserve"> </w:t>
      </w:r>
      <w:r>
        <w:t xml:space="preserve">compared inside one common window, and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spectra are rendered from peak lists;</w:t>
      </w:r>
      <w:r>
        <w:t xml:space="preserve"> </w:t>
      </w:r>
      <w:r>
        <w:t xml:space="preserve">accordingly the robust</w:t>
      </w:r>
      <w:r>
        <w:t xml:space="preserve"> </w:t>
      </w:r>
      <w:r>
        <w:rPr>
          <w:b/>
          <w:bCs/>
        </w:rPr>
        <w:t xml:space="preserve">ranking</w:t>
      </w:r>
      <w:r>
        <w:t xml:space="preserve">, not the exact numerical values, is the result, and this is</w:t>
      </w:r>
      <w:r>
        <w:t xml:space="preserve"> </w:t>
      </w:r>
      <w:r>
        <w:t xml:space="preserve">not a verdict on the original methods as their authors deployed them with per-spectrum windows.</w:t>
      </w:r>
    </w:p>
    <w:p>
      <w:pPr>
        <w:pStyle w:val="BodyText"/>
      </w:pPr>
      <w:r>
        <w:t xml:space="preserve">In summary, a single physically-motivated construction — render both spectra onto a shared grid,</w:t>
      </w:r>
      <w:r>
        <w:t xml:space="preserve"> </w:t>
      </w:r>
      <w:r>
        <w:t xml:space="preserve">blur by the NMR linewidth, and take the mean-centred zero-lag correlation — reconciles shift</w:t>
      </w:r>
      <w:r>
        <w:t xml:space="preserve"> </w:t>
      </w:r>
      <w:r>
        <w:t xml:space="preserve">tolerance with discrimination, the two requirements that the incumbent binning, tree and</w:t>
      </w:r>
      <w:r>
        <w:t xml:space="preserve"> </w:t>
      </w:r>
      <w:r>
        <w:t xml:space="preserve">nearest-neighbour measures satisfy only one at a time. Both of STCC’s knobs are spectroscopic</w:t>
      </w:r>
      <w:r>
        <w:t xml:space="preserve"> </w:t>
      </w:r>
      <w:r>
        <w:t xml:space="preserve">quantities rather than fitting parameters, its self-similarity is exact (as for every method</w:t>
      </w:r>
      <w:r>
        <w:t xml:space="preserve"> </w:t>
      </w:r>
      <w:r>
        <w:t xml:space="preserve">tested), and it needs no peak picking, no alignment search and no external solver. A square-root</w:t>
      </w:r>
      <w:r>
        <w:t xml:space="preserve"> </w:t>
      </w:r>
      <w:r>
        <w:t xml:space="preserve">local-contrast feature is a promising experimental extension, but the default remains the simpler</w:t>
      </w:r>
      <w:r>
        <w:t xml:space="preserve"> </w:t>
      </w:r>
      <w:r>
        <w:t xml:space="preserve">validated STCC until it improves held-out operating error rather than descriptive separation alone. We are candid</w:t>
      </w:r>
      <w:r>
        <w:t xml:space="preserve"> </w:t>
      </w:r>
      <w:r>
        <w:t xml:space="preserve">about scope: this is a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contribution — a robust, reproducible scoring primitive</w:t>
      </w:r>
      <w:r>
        <w:t xml:space="preserve"> </w:t>
      </w:r>
      <w:r>
        <w:t xml:space="preserve">for sameness testing, not a new chemical discovery — and although its most decisive number, the dense-protein</w:t>
      </w:r>
      <w:r>
        <w:t xml:space="preserve"> </w:t>
      </w:r>
      <w:r>
        <w:t xml:space="preserve">margin, was first measured against a single decoy, we now show it holds against two decoy folds on</w:t>
      </w:r>
      <w:r>
        <w:t xml:space="preserve"> </w:t>
      </w:r>
      <w:r>
        <w:t xml:space="preserve">an independent titration (Table 2), alongside the fully public sparse benchmark and retrieval test.</w:t>
      </w:r>
      <w:r>
        <w:t xml:space="preserve"> </w:t>
      </w:r>
      <w:r>
        <w:t xml:space="preserve">And the register is deliberately that of a scoring primitive, not a finished assay: STCC supplies the</w:t>
      </w:r>
      <w:r>
        <w:t xml:space="preserve"> </w:t>
      </w:r>
      <w:r>
        <w:t xml:space="preserve">similarity score a sameness test thresholds, while fixing the equivalence bound and characterizing</w:t>
      </w:r>
      <w:r>
        <w:t xml:space="preserve"> </w:t>
      </w:r>
      <w:r>
        <w:t xml:space="preserve">the false-same and false-different rates it implies — the inferential half of a formal comparability</w:t>
      </w:r>
      <w:r>
        <w:t xml:space="preserve"> </w:t>
      </w:r>
      <w:r>
        <w:t xml:space="preserve">test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17</m:t>
            </m:r>
            <m:r>
              <m:rPr>
                <m:sty m:val="p"/>
              </m:rPr>
              <m:t>,</m:t>
            </m:r>
            <m:r>
              <m:t>19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— is a task the present benchmarks scope rather than settle.</w:t>
      </w:r>
    </w:p>
    <w:p>
      <w:pPr>
        <w:pStyle w:val="BodyText"/>
      </w:pPr>
      <w:r>
        <w:t xml:space="preserve">Made robust, that primitive feeds straight back into the comparisons that motivated it. For small</w:t>
      </w:r>
      <w:r>
        <w:t xml:space="preserve"> </w:t>
      </w:r>
      <w:r>
        <w:t xml:space="preserve">molecules it is the scoring step for library and dereplication searches and for the quality control</w:t>
      </w:r>
      <w:r>
        <w:t xml:space="preserve"> </w:t>
      </w:r>
      <w:r>
        <w:t xml:space="preserve">of repeated measurements; for proteins it is the read-out for automated titration tracking and</w:t>
      </w:r>
      <w:r>
        <w:t xml:space="preserve"> </w:t>
      </w:r>
      <w:r>
        <w:t xml:space="preserve">chemical-shift-perturbation mapping, and the scoring step that higher-order-structure comparability</w:t>
      </w:r>
      <w:r>
        <w:t xml:space="preserve"> </w:t>
      </w:r>
      <w:r>
        <w:t xml:space="preserve">workflows require.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[</m:t>
            </m:r>
            <m:r>
              <m:t>15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]</m:t>
            </m:r>
          </m:sup>
        </m:sSup>
      </m:oMath>
      <w:r>
        <w:t xml:space="preserve"> </w:t>
      </w:r>
      <w:r>
        <w:t xml:space="preserve">On that last application we claim only what the present data establish:</w:t>
      </w:r>
      <w:r>
        <w:t xml:space="preserve"> </w:t>
      </w:r>
      <w:r>
        <w:t xml:space="preserve">the dense benchmark demonstrates two of the properties an HOS read-out needs — clean separation of</w:t>
      </w:r>
      <w:r>
        <w:t xml:space="preserve"> </w:t>
      </w:r>
      <w:r>
        <w:t xml:space="preserve">distinct folds (both decoys below every same-protein titration point) and a smooth, near-monotone</w:t>
      </w:r>
      <w:r>
        <w:t xml:space="preserve"> </w:t>
      </w:r>
      <w:r>
        <w:t xml:space="preserve">response to a genuinely perturbed fingerprint (STCC decaying 0.98→0.82 along the titration rather than</w:t>
      </w:r>
      <w:r>
        <w:t xml:space="preserve"> </w:t>
      </w:r>
      <w:r>
        <w:t xml:space="preserve">saturating) — but not the harder task at the centre of biosimilar comparability, telling a close</w:t>
      </w:r>
      <w:r>
        <w:t xml:space="preserve"> </w:t>
      </w:r>
      <w:r>
        <w:t xml:space="preserve">variant from its originator, which falls in the intermediate-score regime noted above and is not</w:t>
      </w:r>
      <w:r>
        <w:t xml:space="preserve"> </w:t>
      </w:r>
      <w:r>
        <w:t xml:space="preserve">demonstrated here. Characterizing where STCC places true originator/biosimilar or point-variant pairs</w:t>
      </w:r>
      <w:r>
        <w:t xml:space="preserve"> </w:t>
      </w:r>
      <w:r>
        <w:t xml:space="preserve">is therefore the natural next test on the protein side, as a prospective, at-scale dereplication</w:t>
      </w:r>
      <w:r>
        <w:t xml:space="preserve"> </w:t>
      </w:r>
      <w:r>
        <w:t xml:space="preserve">study against a community library is on the small-molecule side; for both, STCC now supplies the</w:t>
      </w:r>
      <w:r>
        <w:t xml:space="preserve"> </w:t>
      </w:r>
      <w:r>
        <w:t xml:space="preserve">tolerant yet discriminating scoring primitive.</w:t>
      </w:r>
    </w:p>
    <w:p>
      <w:pPr>
        <w:pStyle w:val="BodyText"/>
      </w:pPr>
      <w:r>
        <w:t xml:space="preserve">More broadly, deciding whether two spectral fingerprints are the same is one of the central operations by</w:t>
      </w:r>
      <w:r>
        <w:t xml:space="preserve"> </w:t>
      </w:r>
      <w:r>
        <w:t xml:space="preserve">which NMR turns a spectrum into an identification or a structural verdict, and a measure that is at</w:t>
      </w:r>
      <w:r>
        <w:t xml:space="preserve"> </w:t>
      </w:r>
      <w:r>
        <w:t xml:space="preserve">once tolerant of the small shifts real chemistry induces and unforgiving of genuine relocation makes</w:t>
      </w:r>
      <w:r>
        <w:t xml:space="preserve"> </w:t>
      </w:r>
      <w:r>
        <w:t xml:space="preserve">that operation more trustworthy wherever it is used. Insofar as NMR remains one of chemistry’s</w:t>
      </w:r>
      <w:r>
        <w:t xml:space="preserve"> </w:t>
      </w:r>
      <w:r>
        <w:t xml:space="preserve">primary windows onto matter — on molecules large and small, in solution, at atomic resolution —</w:t>
      </w:r>
      <w:r>
        <w:t xml:space="preserve"> </w:t>
      </w:r>
      <w:r>
        <w:t xml:space="preserve">sharpening the way we compare its fingerprints sharpens the readout itself. The full derivation, all</w:t>
      </w:r>
      <w:r>
        <w:t xml:space="preserve"> </w:t>
      </w:r>
      <w:r>
        <w:t xml:space="preserve">three benchmark protocols, every numerical table with confidence intervals, and the 46-test suite</w:t>
      </w:r>
      <w:r>
        <w:t xml:space="preserve"> </w:t>
      </w:r>
      <w:r>
        <w:t xml:space="preserve">are provided as Supporting Information; the software is freely available under the MIT license.</w:t>
      </w:r>
    </w:p>
    <w:bookmarkStart w:id="18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314815"/>
            <wp:effectExtent b="0" l="0" r="0" t="0"/>
            <wp:docPr descr="Figure 1. The Shift-Tolerant Correlation Coefficient. (a) The three-step construction: area-weighted rendering of both spectra onto one shared grid, a separable Gaussian blur of physical width \sigma = \sqrt{\ell^2 + d^2} per axis, and the mean-centred zero-lag normalized cross-correlation of the two images (red/blue = positive/negative contribution to the score). (b) Graded shift tolerance: two copies of an isolated peak displaced by \Delta correlate as \exp(-\Delta^2/4\sigma^2), smooth and monotone in the drift, so a physical titration drift (shaded) costs little while a random relocation costs almost everything." title="" id="10" name="Picture"/>
            <a:graphic>
              <a:graphicData uri="http://schemas.openxmlformats.org/drawingml/2006/picture">
                <pic:pic>
                  <pic:nvPicPr>
                    <pic:cNvPr descr="../results/lcc_schemati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Shift-Tolerant Correlation Coefficient. (a) The three-step construction:</w:t>
      </w:r>
      <w:r>
        <w:t xml:space="preserve"> </w:t>
      </w:r>
      <w:r>
        <w:t xml:space="preserve">area-weighted rendering of both spectra onto one shared grid, a separable Gaussian blur of</w:t>
      </w:r>
      <w:r>
        <w:t xml:space="preserve"> </w:t>
      </w:r>
      <w:r>
        <w:t xml:space="preserve">physical width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ℓ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per axis, and the mean-centred zero-lag normalized</w:t>
      </w:r>
      <w:r>
        <w:t xml:space="preserve"> </w:t>
      </w:r>
      <w:r>
        <w:t xml:space="preserve">cross-correlation of the two images (red/blue = positive/negative contribution to the score).</w:t>
      </w:r>
      <w:r>
        <w:t xml:space="preserve"> </w:t>
      </w:r>
      <w:r>
        <w:t xml:space="preserve">(b) Graded shift tolerance: two copies of an isolated peak displaced by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correlate as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Δ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smooth and monotone in the drift, so a physical titration drift</w:t>
      </w:r>
      <w:r>
        <w:t xml:space="preserve"> </w:t>
      </w:r>
      <w:r>
        <w:t xml:space="preserve">(shaded) costs little while a random relocation costs almost</w:t>
      </w:r>
      <w:r>
        <w:t xml:space="preserve"> </w:t>
      </w:r>
      <w:r>
        <w:t xml:space="preserve">everything.</w:t>
      </w:r>
    </w:p>
    <w:p>
      <w:pPr>
        <w:pStyle w:val="CaptionedFigure"/>
      </w:pPr>
      <w:r>
        <w:drawing>
          <wp:inline>
            <wp:extent cx="5334000" cy="2729023"/>
            <wp:effectExtent b="0" l="0" r="0" t="0"/>
            <wp:docPr descr="Figure 2. Same/different separation (mean same-class − mean different-class similarity) for the primary methods on the two benchmarks: dense protein ^1H–^{15}N (left of each pair) and sparse small-molecule ^1H–^{13}C (right). STCC leads the primary comparison in both regimes; the tree and nearest-neighbour methods saturate in both. The un-centred cosine (an ablation of STCC without mean-centring) matches STCC closely on the sparse regime (0.74 vs 0.74) but falls from 0.75 to 0.59 on the dense fingerprint, isolating mean-centring as the step that rescues discrimination when peaks crowd. The experimental Local-Contrast extension is reported in Table 2 and the Supporting Information rather than mixed into this original dense comparison." title="" id="13" name="Picture"/>
            <a:graphic>
              <a:graphicData uri="http://schemas.openxmlformats.org/drawingml/2006/picture">
                <pic:pic>
                  <pic:nvPicPr>
                    <pic:cNvPr descr="../results/comparison_al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Same/different separation (mean same-class − mean different-class similarity) for</w:t>
      </w:r>
      <w:r>
        <w:t xml:space="preserve"> </w:t>
      </w:r>
      <w:r>
        <w:t xml:space="preserve">the primary methods on the two benchmarks: dense protein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(left of each pair) and sparse</w:t>
      </w:r>
      <w:r>
        <w:t xml:space="preserve"> </w:t>
      </w:r>
      <w:r>
        <w:t xml:space="preserve">small-molecule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(right). STCC leads the primary comparison in both regimes; the tree and nearest-neighbour</w:t>
      </w:r>
      <w:r>
        <w:t xml:space="preserve"> </w:t>
      </w:r>
      <w:r>
        <w:t xml:space="preserve">methods saturate in both. The un-centred cosine (an ablation of STCC without mean-centring) matches</w:t>
      </w:r>
      <w:r>
        <w:t xml:space="preserve"> </w:t>
      </w:r>
      <w:r>
        <w:t xml:space="preserve">STCC closely on the sparse regime (0.74 vs 0.74) but falls from 0.75 to 0.59 on the dense fingerprint, isolating</w:t>
      </w:r>
      <w:r>
        <w:t xml:space="preserve"> </w:t>
      </w:r>
      <w:r>
        <w:t xml:space="preserve">mean-centring as the step that rescues discrimination when peaks</w:t>
      </w:r>
      <w:r>
        <w:t xml:space="preserve"> </w:t>
      </w:r>
      <w:r>
        <w:t xml:space="preserve">crowd. The experimental Local-Contrast extension is reported in Table 2 and the Supporting</w:t>
      </w:r>
      <w:r>
        <w:t xml:space="preserve"> </w:t>
      </w:r>
      <w:r>
        <w:t xml:space="preserve">Information rather than mixed into this original dense comparison.</w:t>
      </w:r>
    </w:p>
    <w:p>
      <w:pPr>
        <w:pStyle w:val="CaptionedFigure"/>
      </w:pPr>
      <w:r>
        <w:drawing>
          <wp:inline>
            <wp:extent cx="5334000" cy="2185789"/>
            <wp:effectExtent b="0" l="0" r="0" t="0"/>
            <wp:docPr descr="Figure 3. Statistical strength and the mean-centring ablation. (a) Sparse ^1H–^{13}C separation with compound-cluster bootstrap 95% CIs (10^4 resamples of the five compounds), including experimental Local Contrast (purple). The paired Local Contrast − STCC gain is \Delta=0.076 ([0.001,0.206]), while both variants have identical perfect ranking and zero held-out threshold error (Table S9). (b) Replacing mean-centred STCC with the un-centred cosine costs 0.16 of separation on the dense protein fingerprint (0.75→0.59) but only 0.0002 on the sparse stick set (0.7447→0.7445), showing where global mean-centring matters." title="" id="16" name="Picture"/>
            <a:graphic>
              <a:graphicData uri="http://schemas.openxmlformats.org/drawingml/2006/picture">
                <pic:pic>
                  <pic:nvPicPr>
                    <pic:cNvPr descr="../results/fig3_stats_ablat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Statistical strength and the mean-centring ablation.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Sparse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separation with compound-cluster bootstrap 95% CIs (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resamples of the five</w:t>
      </w:r>
      <w:r>
        <w:t xml:space="preserve"> </w:t>
      </w:r>
      <w:r>
        <w:t xml:space="preserve">compounds), including experimental Local Contrast (purple). The paired Local Contrast − STCC gain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0.076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0.206</m:t>
        </m:r>
        <m:r>
          <m:rPr>
            <m:sty m:val="p"/>
          </m:rPr>
          <m:t>]</m:t>
        </m:r>
      </m:oMath>
      <w:r>
        <w:t xml:space="preserve">), while both variants have identical perfect ranking and zero</w:t>
      </w:r>
      <w:r>
        <w:t xml:space="preserve"> </w:t>
      </w:r>
      <w:r>
        <w:t xml:space="preserve">held-out threshold error (Table S9).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Replacing mean-centred STCC with the un-centred cosine</w:t>
      </w:r>
      <w:r>
        <w:t xml:space="preserve"> </w:t>
      </w:r>
      <w:r>
        <w:t xml:space="preserve">costs 0.16 of separation on the dense protein fingerprint (0.75→0.59) but only 0.0002 on the sparse</w:t>
      </w:r>
      <w:r>
        <w:t xml:space="preserve"> </w:t>
      </w:r>
      <w:r>
        <w:t xml:space="preserve">stick set (0.7447→0.7445), showing where global mean-centring matters.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Separation and worst-case margin for the primary methods on both regimes, computed from</w:t>
      </w:r>
      <w:r>
        <w:t xml:space="preserve"> </w:t>
      </w:r>
      <w:r>
        <w:t xml:space="preserve">unrounded scores. Higher is better; every method self-scores 1.00.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H–</w:t>
            </w:r>
            <m:oMath>
              <m:sSup>
                <m:e>
                  <m:r>
                    <m:t>​</m:t>
                  </m:r>
                </m:e>
                <m:sup>
                  <m:r>
                    <m:t>15</m:t>
                  </m:r>
                </m:sup>
              </m:sSup>
            </m:oMath>
            <w:r>
              <w:t xml:space="preserve">N sep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margin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H–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sep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(Bodis, 2009)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+ 45° rotation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Quad-tree (Castillo, 2013)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 neighbour (Pierens, 2012)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Cosine, un-centred (STCC ablation)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STCC (this work)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0.37</w:t>
            </w:r>
          </w:p>
        </w:tc>
      </w:tr>
    </w:tbl>
    <w:p>
      <w:pPr>
        <w:pStyle w:val="BodyText"/>
      </w:pPr>
      <w:r>
        <w:t xml:space="preserve">The un-centred cosine is STCC without mean-centring, on the same rendered/blurred images; it is an</w:t>
      </w:r>
      <w:r>
        <w:t xml:space="preserve"> </w:t>
      </w:r>
      <w:r>
        <w:t xml:space="preserve">ablation, not an independent method; its dense-protein margin is not tabulated here (the code</w:t>
      </w:r>
      <w:r>
        <w:t xml:space="preserve"> </w:t>
      </w:r>
      <w:r>
        <w:t xml:space="preserve">computes a margin for every method, but the stored dense ablation entry carries the separation</w:t>
      </w:r>
      <w:r>
        <w:t xml:space="preserve"> </w:t>
      </w:r>
      <w:r>
        <w:t xml:space="preserve">only). The dense separations and margins in this table are</w:t>
      </w:r>
      <w:r>
        <w:t xml:space="preserve"> </w:t>
      </w:r>
      <w:r>
        <w:rPr>
          <w:rStyle w:val="VerbatimChar"/>
        </w:rPr>
        <w:t xml:space="preserve">bench.py</w:t>
      </w:r>
      <w:r>
        <w:t xml:space="preserve"> </w:t>
      </w:r>
      <w:r>
        <w:t xml:space="preserve">output, regenerable once the</w:t>
      </w:r>
      <w:r>
        <w:t xml:space="preserve"> </w:t>
      </w:r>
      <w:r>
        <w:t xml:space="preserve">dense spectra are deposited (Data Availability Statement).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benchmark uses 5 same-compound pairs and 40</w:t>
      </w:r>
      <w:r>
        <w:t xml:space="preserve"> </w:t>
      </w:r>
      <w:r>
        <w:t xml:space="preserve">different-compound pairs; a nominal sixth pair (olivetol) was excluded as a byte-identical</w:t>
      </w:r>
      <w:r>
        <w:t xml:space="preserve"> </w:t>
      </w:r>
      <w:r>
        <w:t xml:space="preserve">duplicate. On the current stick-input sparse benchmark, compound-cluster 95% CIs are 0.508–0.982</w:t>
      </w:r>
      <w:r>
        <w:t xml:space="preserve"> </w:t>
      </w:r>
      <w:r>
        <w:t xml:space="preserve">for STCC and 0.623–0.985 for experimental Local Contrast. Their paired separation difference is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0.0757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0.0014</m:t>
        </m:r>
        <m:r>
          <m:rPr>
            <m:sty m:val="p"/>
          </m:rPr>
          <m:t>,</m:t>
        </m:r>
        <m:r>
          <m:t>0.2057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0.0067</m:t>
        </m:r>
      </m:oMath>
      <w:r>
        <w:t xml:space="preserve">). Both nevertheless have</w:t>
      </w:r>
      <w:r>
        <w:t xml:space="preserve"> </w:t>
      </w:r>
      <w:r>
        <w:t xml:space="preserve">AUROC/AUPRC/top-1/MRR = 1.00 and zero leave-one-compound-out error and rejection FPR. The candidate</w:t>
      </w:r>
      <w:r>
        <w:t xml:space="preserve"> </w:t>
      </w:r>
      <w:r>
        <w:t xml:space="preserve">therefore improves descriptive separation without improving the held-out operating point.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Expanded dense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benchmark addressing the single-decoy limitation: a PRL3</w:t>
      </w:r>
      <w:r>
        <w:t xml:space="preserve"> </w:t>
      </w:r>
      <w:r>
        <w:t xml:space="preserve">apo–olsalazine titration (23 same-protein points, exps 4–48) scored against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decoy proteins</w:t>
      </w:r>
      <w:r>
        <w:t xml:space="preserve"> </w:t>
      </w:r>
      <w:r>
        <w:t xml:space="preserve">(OAA, EphB3) in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6.5–10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105–130 ppm window. Separation = mean same − mean</w:t>
      </w:r>
      <w:r>
        <w:t xml:space="preserve"> </w:t>
      </w:r>
      <w:r>
        <w:t xml:space="preserve">decoy; margin = worst same − worst decoy. Higher is better; every method self-scores 1.00.</w:t>
      </w:r>
      <w:r>
        <w:t xml:space="preserve"> </w:t>
      </w:r>
      <w:r>
        <w:t xml:space="preserve">Computed by</w:t>
      </w:r>
      <w:r>
        <w:t xml:space="preserve"> </w:t>
      </w:r>
      <w:r>
        <w:rPr>
          <w:rStyle w:val="VerbatimChar"/>
        </w:rPr>
        <w:t xml:space="preserve">python3 bench_nhsqc.py</w:t>
      </w:r>
      <w:r>
        <w:t xml:space="preserve"> </w:t>
      </w:r>
      <w:r>
        <w:t xml:space="preserve">(harness and derived scores</w:t>
      </w:r>
      <w:r>
        <w:t xml:space="preserve"> </w:t>
      </w:r>
      <w:r>
        <w:rPr>
          <w:rStyle w:val="VerbatimChar"/>
        </w:rPr>
        <w:t xml:space="preserve">results/nhsqc_dense.json</w:t>
      </w:r>
      <w:r>
        <w:t xml:space="preserve"> </w:t>
      </w:r>
      <w:r>
        <w:t xml:space="preserve">are in</w:t>
      </w:r>
      <w:r>
        <w:t xml:space="preserve"> </w:t>
      </w:r>
      <w:r>
        <w:t xml:space="preserve">the repository; raw spectra per the Data Availability Statement).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 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EphB3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Contrast (experimental)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STCC (default)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Cosine, un-centred (STCC ablation)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(Bodis, 2009)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+ 45° rotation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Quad-tree (Castillo, 2013)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 neighbour (Pierens, 2012)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separation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Contrast (experimental)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STCC (default)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Cosine, un-centred (STCC ablation)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(Bodis, 2009)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+ 45° rotation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Quad-tree (Castillo, 2013)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 neighbour (Pierens, 2012)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</w:tbl>
    <w:p>
      <w:pPr>
        <w:pStyle w:val="BodyText"/>
      </w:pPr>
      <w:r>
        <w:t xml:space="preserve">Both decoy proteins score below every one of the 23 titration points for STCC (worst same 0.82 &gt;</w:t>
      </w:r>
      <w:r>
        <w:t xml:space="preserve"> </w:t>
      </w:r>
      <w:r>
        <w:t xml:space="preserve">worst decoy 0.41) and Local Contrast (0.66 &gt; 0.14), so each margin is positive across two distinct</w:t>
      </w:r>
      <w:r>
        <w:t xml:space="preserve"> </w:t>
      </w:r>
      <w:r>
        <w:t xml:space="preserve">folds. The candidate suppresses both decoys more strongly, raising separation from 0.57 to 0.67 and</w:t>
      </w:r>
      <w:r>
        <w:t xml:space="preserve"> </w:t>
      </w:r>
      <w:r>
        <w:t xml:space="preserve">margin from 0.41 to 0.52. It is nevertheless reported as an experimental, post hoc extension: the</w:t>
      </w:r>
      <w:r>
        <w:t xml:space="preserve"> </w:t>
      </w:r>
      <w:r>
        <w:t xml:space="preserve">held-out sparse operating metrics below do not improve over default STCC. The STCC numbers are lower</w:t>
      </w:r>
      <w:r>
        <w:t xml:space="preserve"> </w:t>
      </w:r>
      <w:r>
        <w:t xml:space="preserve">than the single-decoy benchmark (Table 1) because this test is harder on both axes: the olsalazine</w:t>
      </w:r>
      <w:r>
        <w:t xml:space="preserve"> </w:t>
      </w:r>
      <w:r>
        <w:t xml:space="preserve">titration reaches larger shifts (min same 0.82 vs 0.89) and EphB3 is a tougher decoy than OAA</w:t>
      </w:r>
      <w:r>
        <w:t xml:space="preserve"> </w:t>
      </w:r>
      <w:r>
        <w:t xml:space="preserve">(0.41 vs 0.19).</w:t>
      </w:r>
    </w:p>
    <w:bookmarkEnd w:id="18"/>
    <w:bookmarkStart w:id="19" w:name="supporting-information"/>
    <w:p>
      <w:pPr>
        <w:pStyle w:val="Heading2"/>
      </w:pPr>
      <w:r>
        <w:t xml:space="preserve">Supporting Information</w:t>
      </w:r>
    </w:p>
    <w:p>
      <w:pPr>
        <w:pStyle w:val="FirstParagraph"/>
      </w:pPr>
      <w:r>
        <w:t xml:space="preserve">The Supporting Information (full mathematical derivation with proofs, both benchmark protocols,</w:t>
      </w:r>
      <w:r>
        <w:t xml:space="preserve"> </w:t>
      </w:r>
      <w:r>
        <w:t xml:space="preserve">all per-comparison and per-pair numerical tables, robustness sweeps, parameter reference and</w:t>
      </w:r>
      <w:r>
        <w:t xml:space="preserve"> </w:t>
      </w:r>
      <w:r>
        <w:t xml:space="preserve">test-suite description) is available and referenced throughout the text.</w:t>
      </w:r>
    </w:p>
    <w:bookmarkEnd w:id="19"/>
    <w:bookmarkStart w:id="2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developers of the simpleNMR project for the public HSQC peak-list example</w:t>
      </w:r>
      <w:r>
        <w:t xml:space="preserve"> </w:t>
      </w:r>
      <w:r>
        <w:t xml:space="preserve">set used in the sparse-regime benchmark.</w:t>
      </w:r>
    </w:p>
    <w:bookmarkEnd w:id="20"/>
    <w:bookmarkStart w:id="21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1"/>
    <w:bookmarkStart w:id="22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(STCC, experimental Local Contrast, the three reference methods, the</w:t>
      </w:r>
      <w:r>
        <w:t xml:space="preserve"> </w:t>
      </w:r>
      <w:r>
        <w:t xml:space="preserve">un-centred-cosine ablation, all benchmark harnesses, the tabulated scores and the 46-test</w:t>
      </w:r>
      <w:r>
        <w:t xml:space="preserve"> </w:t>
      </w:r>
      <w:r>
        <w:t xml:space="preserve">suite) is freely available under the MIT</w:t>
      </w:r>
      <w:r>
        <w:t xml:space="preserve"> </w:t>
      </w:r>
      <w:r>
        <w:t xml:space="preserve">license at https://github.com/deepnmr/spectra_similarity_tool. The</w:t>
      </w:r>
      <w:r>
        <w:t xml:space="preserve"> </w:t>
      </w:r>
      <w:r>
        <w:rPr>
          <w:b/>
          <w:bCs/>
        </w:rPr>
        <w:t xml:space="preserve">sparse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H–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rPr>
          <w:b/>
          <w:bCs/>
        </w:rPr>
        <w:t xml:space="preserve">C</w:t>
      </w:r>
      <w:r>
        <w:rPr>
          <w:b/>
          <w:bCs/>
        </w:rPr>
        <w:t xml:space="preserve"> </w:t>
      </w:r>
      <w:r>
        <w:rPr>
          <w:b/>
          <w:bCs/>
        </w:rPr>
        <w:t xml:space="preserve">benchmark and the dereplication/retrieval experiment are fully reproducible from public data</w:t>
      </w:r>
      <w:r>
        <w:t xml:space="preserve">:</w:t>
      </w:r>
      <w:r>
        <w:t xml:space="preserve"> </w:t>
      </w:r>
      <w:r>
        <w:t xml:space="preserve">the harnesses download the simpleNMR peak lists (https://github.com/EricHughesABC/simpleNMR)</w:t>
      </w:r>
      <w:r>
        <w:t xml:space="preserve"> </w:t>
      </w:r>
      <w:r>
        <w:t xml:space="preserve">automatically and contain no hard-coded paths. The dense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H–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benchmark uses PRL3 and OAA</w:t>
      </w:r>
      <w:r>
        <w:t xml:space="preserve"> </w:t>
      </w:r>
      <w:r>
        <w:t xml:space="preserve">Bruker spectra available from the author on reasonable request (the harness reads their location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--prl3/--oaa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$PRL3_DIR/$OAA_DIR</w:t>
      </w:r>
      <w:r>
        <w:t xml:space="preserve">); a public deposition of the processed spectra is in</w:t>
      </w:r>
      <w:r>
        <w:t xml:space="preserve"> </w:t>
      </w:r>
      <w:r>
        <w:t xml:space="preserve">preparation so that the dense benchmark also becomes independently reproducible. The expanded</w:t>
      </w:r>
      <w:r>
        <w:t xml:space="preserve"> </w:t>
      </w:r>
      <w:r>
        <w:t xml:space="preserve">dense benchmark of Table 2 (PRL3–olsalazine titration and the OAA and EphB3 decoy spectra) is</w:t>
      </w:r>
      <w:r>
        <w:t xml:space="preserve"> </w:t>
      </w:r>
      <w:r>
        <w:t xml:space="preserve">computed by</w:t>
      </w:r>
      <w:r>
        <w:t xml:space="preserve"> </w:t>
      </w:r>
      <w:r>
        <w:rPr>
          <w:rStyle w:val="VerbatimChar"/>
        </w:rPr>
        <w:t xml:space="preserve">bench_nhsqc.py</w:t>
      </w:r>
      <w:r>
        <w:t xml:space="preserve"> </w:t>
      </w:r>
      <w:r>
        <w:t xml:space="preserve">from the same processed Bruker data and is included in that deposition.</w:t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S. L. Robinette, R. Brüschweiler, F. C. Schroeder, A. S. Edison,</w:t>
      </w:r>
      <w:r>
        <w:t xml:space="preserve"> </w:t>
      </w:r>
      <w:r>
        <w:rPr>
          <w:i/>
          <w:iCs/>
        </w:rPr>
        <w:t xml:space="preserve">Acc. Chem. Res.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 288–297.</w:t>
      </w:r>
    </w:p>
    <w:p>
      <w:pPr>
        <w:pStyle w:val="BodyText"/>
      </w:pPr>
      <w:r>
        <w:t xml:space="preserve">[2] K. Bingol, R. Brüschweiler,</w:t>
      </w:r>
      <w:r>
        <w:t xml:space="preserve"> </w:t>
      </w:r>
      <w:r>
        <w:rPr>
          <w:i/>
          <w:iCs/>
        </w:rPr>
        <w:t xml:space="preserve">Anal. Chem.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86</w:t>
      </w:r>
      <w:r>
        <w:t xml:space="preserve">, 47–57.</w:t>
      </w:r>
    </w:p>
    <w:p>
      <w:pPr>
        <w:pStyle w:val="BodyText"/>
      </w:pPr>
      <w:r>
        <w:t xml:space="preserve">[3] B. Worley, R. Powers,</w:t>
      </w:r>
      <w:r>
        <w:t xml:space="preserve"> </w:t>
      </w:r>
      <w:r>
        <w:rPr>
          <w:i/>
          <w:iCs/>
        </w:rPr>
        <w:t xml:space="preserve">Curr. Metabolomics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 92–107.</w:t>
      </w:r>
    </w:p>
    <w:p>
      <w:pPr>
        <w:pStyle w:val="BodyText"/>
      </w:pPr>
      <w:r>
        <w:t xml:space="preserve">[4] E. L. Ulrich, H. Akutsu, J. F. Doreleijers, Y. Harano, Y. E. Ioannidis, J. Lin, M. Livny,</w:t>
      </w:r>
      <w:r>
        <w:t xml:space="preserve"> </w:t>
      </w:r>
      <w:r>
        <w:t xml:space="preserve">S. Mading, D. Maziuk, Z. Miller, E. Nakatani, C. F. Schulte, D. E. Tolmie, R. K. Wenger, H. Yao,</w:t>
      </w:r>
      <w:r>
        <w:t xml:space="preserve"> </w:t>
      </w:r>
      <w:r>
        <w:t xml:space="preserve">J. L. Markley,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2008</w:t>
      </w:r>
      <w:r>
        <w:t xml:space="preserve">,</w:t>
      </w:r>
      <w:r>
        <w:t xml:space="preserve"> </w:t>
      </w:r>
      <w:r>
        <w:rPr>
          <w:i/>
          <w:iCs/>
        </w:rPr>
        <w:t xml:space="preserve">36</w:t>
      </w:r>
      <w:r>
        <w:t xml:space="preserve">, D402–D408.</w:t>
      </w:r>
    </w:p>
    <w:p>
      <w:pPr>
        <w:pStyle w:val="BodyText"/>
      </w:pPr>
      <w:r>
        <w:t xml:space="preserve">[5] C. Steinbeck, S. Kuhn,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 </w:t>
      </w:r>
      <w:r>
        <w:rPr>
          <w:b/>
          <w:bCs/>
        </w:rPr>
        <w:t xml:space="preserve">2004</w:t>
      </w:r>
      <w:r>
        <w:t xml:space="preserve">,</w:t>
      </w:r>
      <w:r>
        <w:t xml:space="preserve"> </w:t>
      </w:r>
      <w:r>
        <w:rPr>
          <w:i/>
          <w:iCs/>
        </w:rPr>
        <w:t xml:space="preserve">65</w:t>
      </w:r>
      <w:r>
        <w:t xml:space="preserve">, 2711–2717.</w:t>
      </w:r>
    </w:p>
    <w:p>
      <w:pPr>
        <w:pStyle w:val="BodyText"/>
      </w:pPr>
      <w:r>
        <w:t xml:space="preserve">[6] D. S. Wishart, A. Guo, E. Oler, F. Wang, A. Anjum, H. Peters, R. Dizon, Z. Sayeeda, S. Tian,</w:t>
      </w:r>
      <w:r>
        <w:t xml:space="preserve"> </w:t>
      </w:r>
      <w:r>
        <w:t xml:space="preserve">B. L. Lee, M. Berjanskii, R. Mah, M. Yamamoto, J. Jovel, C. Torres-Calzada, M. Hiebert-Giesbrecht,</w:t>
      </w:r>
      <w:r>
        <w:t xml:space="preserve"> </w:t>
      </w:r>
      <w:r>
        <w:t xml:space="preserve">V. W. Lui, D. Varshavi, D. Varshavi, D. Allen, D. Arndt, N. Khetarpal, A. Sivakumaran, K. Harford,</w:t>
      </w:r>
      <w:r>
        <w:t xml:space="preserve"> </w:t>
      </w:r>
      <w:r>
        <w:t xml:space="preserve">S. Sanford, K. Yee, X. Cao, Z. Budinski, J. Liigand, L. Zhang, J. Zheng, R. Mandal, N. Karu,</w:t>
      </w:r>
      <w:r>
        <w:t xml:space="preserve"> </w:t>
      </w:r>
      <w:r>
        <w:t xml:space="preserve">M. Dambrova, H. B. Schiöth, R. Greiner, V. Gautam,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50</w:t>
      </w:r>
      <w:r>
        <w:t xml:space="preserve">, D622–D631.</w:t>
      </w:r>
    </w:p>
    <w:p>
      <w:pPr>
        <w:pStyle w:val="BodyText"/>
      </w:pPr>
      <w:r>
        <w:t xml:space="preserve">[7] S. B. Shuker, P. J. Hajduk, R. P. Meadows, S. W. Fesik,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274</w:t>
      </w:r>
      <w:r>
        <w:t xml:space="preserve">, 1531–1534.</w:t>
      </w:r>
    </w:p>
    <w:p>
      <w:pPr>
        <w:pStyle w:val="BodyText"/>
      </w:pPr>
      <w:r>
        <w:t xml:space="preserve">[8] M. Pellecchia, I. Bertini, D. Cowburn, C. Dalvit, E. Giralt, W. Jahnke, T. L. James,</w:t>
      </w:r>
      <w:r>
        <w:t xml:space="preserve"> </w:t>
      </w:r>
      <w:r>
        <w:t xml:space="preserve">S. W. Homans, H. Kessler, C. Luchinat, B. Meyer, H. Oschkinat, J. Peng, H. Schwalbe, G. Siegal,</w:t>
      </w:r>
      <w:r>
        <w:t xml:space="preserve"> </w:t>
      </w:r>
      <w:r>
        <w:rPr>
          <w:i/>
          <w:iCs/>
        </w:rPr>
        <w:t xml:space="preserve">Nat. Rev. Drug Discov.</w:t>
      </w:r>
      <w:r>
        <w:t xml:space="preserve"> </w:t>
      </w:r>
      <w:r>
        <w:rPr>
          <w:b/>
          <w:bCs/>
        </w:rPr>
        <w:t xml:space="preserve">2008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 738–745.</w:t>
      </w:r>
    </w:p>
    <w:p>
      <w:pPr>
        <w:pStyle w:val="BodyText"/>
      </w:pPr>
      <w:r>
        <w:t xml:space="preserve">[9] D. A. Erlanson, S. W. Fesik, R. E. Hubbard, W. Jahnke, H. Jhoti,</w:t>
      </w:r>
      <w:r>
        <w:t xml:space="preserve"> </w:t>
      </w:r>
      <w:r>
        <w:rPr>
          <w:i/>
          <w:iCs/>
        </w:rPr>
        <w:t xml:space="preserve">Nat. Rev. Drug Discov.</w:t>
      </w:r>
      <w:r>
        <w:t xml:space="preserve"> </w:t>
      </w:r>
      <w:r>
        <w:rPr>
          <w:b/>
          <w:bCs/>
        </w:rPr>
        <w:t xml:space="preserve">2016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, 605–619.</w:t>
      </w:r>
    </w:p>
    <w:p>
      <w:pPr>
        <w:pStyle w:val="BodyText"/>
      </w:pPr>
      <w:r>
        <w:t xml:space="preserve">[10] M. P. Williamson,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73</w:t>
      </w:r>
      <w:r>
        <w:t xml:space="preserve">, 1–16.</w:t>
      </w:r>
    </w:p>
    <w:p>
      <w:pPr>
        <w:pStyle w:val="BodyText"/>
      </w:pPr>
      <w:r>
        <w:t xml:space="preserve">[11] S. A. Berkowitz, J. R. Engen, J. R. Mazzeo, G. B. Jones,</w:t>
      </w:r>
      <w:r>
        <w:t xml:space="preserve"> </w:t>
      </w:r>
      <w:r>
        <w:rPr>
          <w:i/>
          <w:iCs/>
        </w:rPr>
        <w:t xml:space="preserve">Nat. Rev. Drug Discov.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 527–540.</w:t>
      </w:r>
    </w:p>
    <w:p>
      <w:pPr>
        <w:pStyle w:val="BodyText"/>
      </w:pPr>
      <w:r>
        <w:t xml:space="preserve">[12] J. P. Gabrielson, W. F. Weiss IV,</w:t>
      </w:r>
      <w:r>
        <w:t xml:space="preserve"> </w:t>
      </w:r>
      <w:r>
        <w:rPr>
          <w:i/>
          <w:iCs/>
        </w:rPr>
        <w:t xml:space="preserve">J. Pharm. Sci.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104</w:t>
      </w:r>
      <w:r>
        <w:t xml:space="preserve">, 1240–1245.</w:t>
      </w:r>
    </w:p>
    <w:p>
      <w:pPr>
        <w:pStyle w:val="BodyText"/>
      </w:pPr>
      <w:r>
        <w:t xml:space="preserve">[13] L. W. Arbogast, R. G. Brinson, J. P. Marino,</w:t>
      </w:r>
      <w:r>
        <w:t xml:space="preserve"> </w:t>
      </w:r>
      <w:r>
        <w:rPr>
          <w:i/>
          <w:iCs/>
        </w:rPr>
        <w:t xml:space="preserve">Anal. Chem.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87</w:t>
      </w:r>
      <w:r>
        <w:t xml:space="preserve">, 3556–3561.</w:t>
      </w:r>
    </w:p>
    <w:p>
      <w:pPr>
        <w:pStyle w:val="BodyText"/>
      </w:pPr>
      <w:r>
        <w:t xml:space="preserve">[14] H. Ghasriani, D. J. Hodgson, R. G. Brinson, I. McEwen, L. F. Buhse, S. Kozlowski, J. P. Marino,</w:t>
      </w:r>
      <w:r>
        <w:t xml:space="preserve"> </w:t>
      </w:r>
      <w:r>
        <w:t xml:space="preserve">Y. Aubin, D. A. Keire,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2016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, 139–141.</w:t>
      </w:r>
    </w:p>
    <w:p>
      <w:pPr>
        <w:pStyle w:val="BodyText"/>
      </w:pPr>
      <w:r>
        <w:t xml:space="preserve">[15] R. G. Brinson, J. P. Marino, F. Delaglio, L. W. Arbogast, R. M. Evans, A. Kearsley, G. Gingras,</w:t>
      </w:r>
      <w:r>
        <w:t xml:space="preserve"> </w:t>
      </w:r>
      <w:r>
        <w:t xml:space="preserve">H. Ghasriani, Y. Aubin, G. K. Pierens, X. Jia, M. Mobli, H. G. Grant, D. W. Keizer, K. Schweimer,</w:t>
      </w:r>
      <w:r>
        <w:t xml:space="preserve"> </w:t>
      </w:r>
      <w:r>
        <w:t xml:space="preserve">J. Ståhle, G. Widmalm, E. R. Zartler, C. W. Lawrence, P. N. Reardon, J. R. Cort, P. Xu, F. Ni,</w:t>
      </w:r>
      <w:r>
        <w:t xml:space="preserve"> </w:t>
      </w:r>
      <w:r>
        <w:t xml:space="preserve">S. Yanaka, K. Kato, S. R. Parnham, D. Tsao, A. Blomgren, T. Rundlöf, N. Trieloff, P. Schmieder,</w:t>
      </w:r>
      <w:r>
        <w:t xml:space="preserve"> </w:t>
      </w:r>
      <w:r>
        <w:t xml:space="preserve">A. Ross, K. Skidmore, K. Chen, D. Keire, D. I. Freedberg, T. Suter-Stahel, G. Wider, G. Ilc,</w:t>
      </w:r>
      <w:r>
        <w:t xml:space="preserve"> </w:t>
      </w:r>
      <w:r>
        <w:t xml:space="preserve">J. Plavec, S. A. Bradley, D. M. Baldisseri, M. L. Sforça, A. C. de M. Zeri, J. Y. Wei, C. M. Szabo,</w:t>
      </w:r>
      <w:r>
        <w:t xml:space="preserve"> </w:t>
      </w:r>
      <w:r>
        <w:t xml:space="preserve">C. A. Amezcua, J. B. Jordan, M. Wikström,</w:t>
      </w:r>
      <w:r>
        <w:t xml:space="preserve"> </w:t>
      </w:r>
      <w:r>
        <w:rPr>
          <w:i/>
          <w:iCs/>
        </w:rPr>
        <w:t xml:space="preserve">mAbs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 94–105.</w:t>
      </w:r>
    </w:p>
    <w:p>
      <w:pPr>
        <w:pStyle w:val="BodyText"/>
      </w:pPr>
      <w:r>
        <w:t xml:space="preserve">[16] L. W. Arbogast, F. Delaglio, J. E. Schiel, J. P. Marino,</w:t>
      </w:r>
      <w:r>
        <w:t xml:space="preserve"> </w:t>
      </w:r>
      <w:r>
        <w:rPr>
          <w:i/>
          <w:iCs/>
        </w:rPr>
        <w:t xml:space="preserve">Anal. Chem.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89</w:t>
      </w:r>
      <w:r>
        <w:t xml:space="preserve">,</w:t>
      </w:r>
      <w:r>
        <w:t xml:space="preserve"> </w:t>
      </w:r>
      <w:r>
        <w:t xml:space="preserve">11839–11845.</w:t>
      </w:r>
    </w:p>
    <w:p>
      <w:pPr>
        <w:pStyle w:val="BodyText"/>
      </w:pPr>
      <w:r>
        <w:t xml:space="preserve">[17] D. J. Schuirmann,</w:t>
      </w:r>
      <w:r>
        <w:t xml:space="preserve"> </w:t>
      </w:r>
      <w:r>
        <w:rPr>
          <w:i/>
          <w:iCs/>
        </w:rPr>
        <w:t xml:space="preserve">J. Pharmacokinet. Biopharm.</w:t>
      </w:r>
      <w:r>
        <w:t xml:space="preserve"> </w:t>
      </w:r>
      <w:r>
        <w:rPr>
          <w:b/>
          <w:bCs/>
        </w:rPr>
        <w:t xml:space="preserve">1987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, 657–680.</w:t>
      </w:r>
    </w:p>
    <w:p>
      <w:pPr>
        <w:pStyle w:val="BodyText"/>
      </w:pPr>
      <w:r>
        <w:t xml:space="preserve">[18] S. Wellek,</w:t>
      </w:r>
      <w:r>
        <w:t xml:space="preserve"> </w:t>
      </w:r>
      <w:r>
        <w:rPr>
          <w:i/>
          <w:iCs/>
        </w:rPr>
        <w:t xml:space="preserve">Testing Statistical Hypotheses of Equivalence and Noninferiority</w:t>
      </w:r>
      <w:r>
        <w:t xml:space="preserve">, 2nd ed.,</w:t>
      </w:r>
      <w:r>
        <w:t xml:space="preserve"> </w:t>
      </w:r>
      <w:r>
        <w:t xml:space="preserve">Chapman &amp; Hall/CRC, Boca Raton,</w:t>
      </w:r>
      <w:r>
        <w:t xml:space="preserve"> </w:t>
      </w:r>
      <w:r>
        <w:rPr>
          <w:b/>
          <w:bCs/>
        </w:rPr>
        <w:t xml:space="preserve">2010</w:t>
      </w:r>
      <w:r>
        <w:t xml:space="preserve">.</w:t>
      </w:r>
    </w:p>
    <w:p>
      <w:pPr>
        <w:pStyle w:val="BodyText"/>
      </w:pPr>
      <w:r>
        <w:t xml:space="preserve">[19]</w:t>
      </w:r>
      <w:r>
        <w:t xml:space="preserve"> </w:t>
      </w:r>
      <w:r>
        <w:rPr>
          <w:i/>
          <w:iCs/>
        </w:rPr>
        <w:t xml:space="preserve">ICH Harmonised Tripartite Guideline Q5E: Comparability of Biotechnological/Biological Products</w:t>
      </w:r>
      <w:r>
        <w:rPr>
          <w:i/>
          <w:iCs/>
        </w:rPr>
        <w:t xml:space="preserve"> </w:t>
      </w:r>
      <w:r>
        <w:rPr>
          <w:i/>
          <w:iCs/>
        </w:rPr>
        <w:t xml:space="preserve">Subject to Changes in Their Manufacturing Process</w:t>
      </w:r>
      <w:r>
        <w:t xml:space="preserve">, International Council for Harmonisation of</w:t>
      </w:r>
      <w:r>
        <w:t xml:space="preserve"> </w:t>
      </w:r>
      <w:r>
        <w:t xml:space="preserve">Technical Requirements for Pharmaceuticals for Human Use,</w:t>
      </w:r>
      <w:r>
        <w:t xml:space="preserve"> </w:t>
      </w:r>
      <w:r>
        <w:rPr>
          <w:b/>
          <w:bCs/>
        </w:rPr>
        <w:t xml:space="preserve">2004</w:t>
      </w:r>
      <w:r>
        <w:t xml:space="preserve">.</w:t>
      </w:r>
    </w:p>
    <w:p>
      <w:pPr>
        <w:pStyle w:val="BodyText"/>
      </w:pPr>
      <w:r>
        <w:t xml:space="preserve">[20] J. Woodcock, J. Griffin, R. Behrman, B. Cherney, T. Crescenzi, B. Fraser, D. Hixon,</w:t>
      </w:r>
      <w:r>
        <w:t xml:space="preserve"> </w:t>
      </w:r>
      <w:r>
        <w:t xml:space="preserve">C. Joneckis, S. Kozlowski, A. Rosenberg, L. Schrager, E. Shacter, R. Temple, K. Webber, H. Winkle,</w:t>
      </w:r>
      <w:r>
        <w:t xml:space="preserve"> </w:t>
      </w:r>
      <w:r>
        <w:rPr>
          <w:i/>
          <w:iCs/>
        </w:rPr>
        <w:t xml:space="preserve">Nat. Rev. Drug Discov.</w:t>
      </w:r>
      <w:r>
        <w:t xml:space="preserve"> </w:t>
      </w:r>
      <w:r>
        <w:rPr>
          <w:b/>
          <w:bCs/>
        </w:rPr>
        <w:t xml:space="preserve">2007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 437–442.</w:t>
      </w:r>
    </w:p>
    <w:p>
      <w:pPr>
        <w:pStyle w:val="BodyText"/>
      </w:pPr>
      <w:r>
        <w:t xml:space="preserve">[21] L. Bodis, A. Ross, E. Pretsch,</w:t>
      </w:r>
      <w:r>
        <w:t xml:space="preserve"> </w:t>
      </w:r>
      <w:r>
        <w:rPr>
          <w:i/>
          <w:iCs/>
        </w:rPr>
        <w:t xml:space="preserve">Chemometr. Intell. Lab. Syst.</w:t>
      </w:r>
      <w:r>
        <w:t xml:space="preserve"> </w:t>
      </w:r>
      <w:r>
        <w:rPr>
          <w:b/>
          <w:bCs/>
        </w:rPr>
        <w:t xml:space="preserve">2007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, 1–8.</w:t>
      </w:r>
    </w:p>
    <w:p>
      <w:pPr>
        <w:pStyle w:val="BodyText"/>
      </w:pPr>
      <w:r>
        <w:t xml:space="preserve">[22] L. Bodis, A. Ross, J. Bodis, E. Pretsch,</w:t>
      </w:r>
      <w:r>
        <w:t xml:space="preserve"> </w:t>
      </w:r>
      <w:r>
        <w:rPr>
          <w:i/>
          <w:iCs/>
        </w:rPr>
        <w:t xml:space="preserve">Talanta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, 1379–1386.</w:t>
      </w:r>
    </w:p>
    <w:p>
      <w:pPr>
        <w:pStyle w:val="BodyText"/>
      </w:pPr>
      <w:r>
        <w:t xml:space="preserve">[23] A. Craig, O. Cloarec, E. Holmes, J. K. Nicholson, J. C. Lindon,</w:t>
      </w:r>
      <w:r>
        <w:t xml:space="preserve"> </w:t>
      </w:r>
      <w:r>
        <w:rPr>
          <w:i/>
          <w:iCs/>
        </w:rPr>
        <w:t xml:space="preserve">Anal. Chem.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, 2262–2267.</w:t>
      </w:r>
    </w:p>
    <w:p>
      <w:pPr>
        <w:pStyle w:val="BodyText"/>
      </w:pPr>
      <w:r>
        <w:t xml:space="preserve">[24] F. Dieterle, A. Ross, G. Schlotterbeck, H. Senn,</w:t>
      </w:r>
      <w:r>
        <w:t xml:space="preserve"> </w:t>
      </w:r>
      <w:r>
        <w:rPr>
          <w:i/>
          <w:iCs/>
        </w:rPr>
        <w:t xml:space="preserve">Anal. Chem.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, 4281–4290.</w:t>
      </w:r>
    </w:p>
    <w:p>
      <w:pPr>
        <w:pStyle w:val="BodyText"/>
      </w:pPr>
      <w:r>
        <w:t xml:space="preserve">[25] A. M. Castillo, L. Uribe, L. Patiny, J. Wist,</w:t>
      </w:r>
      <w:r>
        <w:t xml:space="preserve"> </w:t>
      </w:r>
      <w:r>
        <w:rPr>
          <w:i/>
          <w:iCs/>
        </w:rPr>
        <w:t xml:space="preserve">Chemometr. Intell. Lab. Syst.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127</w:t>
      </w:r>
      <w:r>
        <w:t xml:space="preserve">, 1–6.</w:t>
      </w:r>
    </w:p>
    <w:p>
      <w:pPr>
        <w:pStyle w:val="BodyText"/>
      </w:pPr>
      <w:r>
        <w:t xml:space="preserve">[26] G. K. Pierens, S. Brossi, Z. Yang, D. C. Reutens, V. Vegh,</w:t>
      </w:r>
      <w:r>
        <w:t xml:space="preserve"> </w:t>
      </w:r>
      <w:r>
        <w:rPr>
          <w:i/>
          <w:iCs/>
        </w:rPr>
        <w:t xml:space="preserve">J. Cheminform.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, 25.</w:t>
      </w:r>
    </w:p>
    <w:p>
      <w:pPr>
        <w:pStyle w:val="BodyText"/>
      </w:pPr>
      <w:r>
        <w:t xml:space="preserve">[27] F. Delaglio, S. Grzesiek, G. W. Vuister, G. Zhu, J. Pfeifer, A. Bax,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 277–293.</w:t>
      </w:r>
    </w:p>
    <w:p>
      <w:pPr>
        <w:pStyle w:val="BodyText"/>
      </w:pPr>
      <w:r>
        <w:t xml:space="preserve">[28] W. F. Vranken, W. Boucher, T. J. Stevens, R. H. Fogh, A. Pajon, M. Llinas, E. L. Ulrich,</w:t>
      </w:r>
      <w:r>
        <w:t xml:space="preserve"> </w:t>
      </w:r>
      <w:r>
        <w:t xml:space="preserve">J. L. Markley, J. Ionides, E. D. Laue,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rPr>
          <w:b/>
          <w:bCs/>
        </w:rPr>
        <w:t xml:space="preserve">2005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, 687–696.</w:t>
      </w:r>
    </w:p>
    <w:p>
      <w:pPr>
        <w:pStyle w:val="BodyText"/>
      </w:pPr>
      <w:r>
        <w:t xml:space="preserve">[29] S. P. Skinner, R. H. Fogh, W. Boucher, T. J. Ragan, L. G. Mureddu, G. W. Vuister,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 </w:t>
      </w:r>
      <w:r>
        <w:rPr>
          <w:b/>
          <w:bCs/>
        </w:rPr>
        <w:t xml:space="preserve">2016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111–124.</w:t>
      </w:r>
    </w:p>
    <w:p>
      <w:pPr>
        <w:pStyle w:val="BodyText"/>
      </w:pPr>
      <w:r>
        <w:t xml:space="preserve">[30] C. Ludwig, U. L. Günther,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366.</w:t>
      </w:r>
    </w:p>
    <w:p>
      <w:pPr>
        <w:pStyle w:val="BodyText"/>
      </w:pPr>
      <w:r>
        <w:t xml:space="preserve">[31] J. J. Helmus, C. P. Jaroniec,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355–367.</w:t>
      </w:r>
    </w:p>
    <w:p>
      <w:pPr>
        <w:pStyle w:val="BodyText"/>
      </w:pPr>
      <w:r>
        <w:t xml:space="preserve">[32] S. E. Stein, D. R. Scott,</w:t>
      </w:r>
      <w:r>
        <w:t xml:space="preserve"> </w:t>
      </w:r>
      <w:r>
        <w:rPr>
          <w:i/>
          <w:iCs/>
        </w:rPr>
        <w:t xml:space="preserve">J. Am. Soc. Mass Spectrom.</w:t>
      </w:r>
      <w:r>
        <w:t xml:space="preserve"> </w:t>
      </w:r>
      <w:r>
        <w:rPr>
          <w:b/>
          <w:bCs/>
        </w:rPr>
        <w:t xml:space="preserve">1994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859–866.</w:t>
      </w:r>
    </w:p>
    <w:p>
      <w:pPr>
        <w:pStyle w:val="BodyText"/>
      </w:pPr>
      <w:r>
        <w:t xml:space="preserve">[33] K. X. Wan, I. Vidavsky, M. L. Gross,</w:t>
      </w:r>
      <w:r>
        <w:t xml:space="preserve"> </w:t>
      </w:r>
      <w:r>
        <w:rPr>
          <w:i/>
          <w:iCs/>
        </w:rPr>
        <w:t xml:space="preserve">J. Am. Soc. Mass Spectrom.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85–88.</w:t>
      </w:r>
    </w:p>
    <w:p>
      <w:pPr>
        <w:pStyle w:val="BodyText"/>
      </w:pPr>
      <w:r>
        <w:t xml:space="preserve">[34] J. P. Lewis,</w:t>
      </w:r>
      <w:r>
        <w:t xml:space="preserve"> </w:t>
      </w:r>
      <w:r>
        <w:rPr>
          <w:i/>
          <w:iCs/>
        </w:rPr>
        <w:t xml:space="preserve">Vision Interface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120–123.</w:t>
      </w:r>
    </w:p>
    <w:p>
      <w:pPr>
        <w:pStyle w:val="BodyText"/>
      </w:pPr>
      <w:r>
        <w:t xml:space="preserve">[35] F. Savorani, G. Tomasi, S. B. Engelsen,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 </w:t>
      </w:r>
      <w:r>
        <w:rPr>
          <w:b/>
          <w:bCs/>
        </w:rPr>
        <w:t xml:space="preserve">2010</w:t>
      </w:r>
      <w:r>
        <w:t xml:space="preserve">,</w:t>
      </w:r>
      <w:r>
        <w:t xml:space="preserve"> </w:t>
      </w:r>
      <w:r>
        <w:rPr>
          <w:i/>
          <w:iCs/>
        </w:rPr>
        <w:t xml:space="preserve">202</w:t>
      </w:r>
      <w:r>
        <w:t xml:space="preserve">, 190–202.</w:t>
      </w:r>
    </w:p>
    <w:p>
      <w:pPr>
        <w:pStyle w:val="BodyText"/>
      </w:pPr>
      <w:r>
        <w:t xml:space="preserve">[36] C. R. Harris, K. J. Millman, S. J. van der Walt, R. Gommers, P. Virtanen, D. Cournapeau,</w:t>
      </w:r>
      <w:r>
        <w:t xml:space="preserve"> </w:t>
      </w:r>
      <w:r>
        <w:t xml:space="preserve">E. Wieser, J. Taylor, S. Berg, N. J. Smith, R. Kern, M. Picus, S. Hoyer, M. H. van Kerkwijk,</w:t>
      </w:r>
      <w:r>
        <w:t xml:space="preserve"> </w:t>
      </w:r>
      <w:r>
        <w:t xml:space="preserve">M. Brett, A. Haldane, J. F. del Río, M. Wiebe, P. Peterson, P. Gérard-Marchant, K. Sheppard,</w:t>
      </w:r>
      <w:r>
        <w:t xml:space="preserve"> </w:t>
      </w:r>
      <w:r>
        <w:t xml:space="preserve">T. Reddy, W. Weckesser, H. Abbasi, C. Gohlke, T. E. Oliphant,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585</w:t>
      </w:r>
      <w:r>
        <w:t xml:space="preserve">, 357–362.</w:t>
      </w:r>
    </w:p>
    <w:p>
      <w:pPr>
        <w:pStyle w:val="BodyText"/>
      </w:pPr>
      <w:r>
        <w:t xml:space="preserve">[37] J. D. Hunter,</w:t>
      </w:r>
      <w:r>
        <w:t xml:space="preserve"> </w:t>
      </w:r>
      <w:r>
        <w:rPr>
          <w:i/>
          <w:iCs/>
        </w:rPr>
        <w:t xml:space="preserve">Comput. Sci. Eng.</w:t>
      </w:r>
      <w:r>
        <w:t xml:space="preserve"> </w:t>
      </w:r>
      <w:r>
        <w:rPr>
          <w:b/>
          <w:bCs/>
        </w:rPr>
        <w:t xml:space="preserve">2007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 90–95.</w:t>
      </w:r>
    </w:p>
    <w:p>
      <w:pPr>
        <w:pStyle w:val="BodyText"/>
      </w:pPr>
      <w:r>
        <w:t xml:space="preserve">[38] E. Hughes, A. M. Kenwright,</w:t>
      </w:r>
      <w:r>
        <w:t xml:space="preserve"> </w:t>
      </w:r>
      <w:r>
        <w:rPr>
          <w:i/>
          <w:iCs/>
        </w:rPr>
        <w:t xml:space="preserve">Magn. Reson. Chem.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, 556–565.</w:t>
      </w:r>
    </w:p>
    <w:p>
      <w:pPr>
        <w:pStyle w:val="BodyText"/>
      </w:pPr>
      <w:r>
        <w:t xml:space="preserve">[39] C. E. Hart, T. Kind, P. C. Dorrestein, D. Healey, D. Domingo-Fernández,</w:t>
      </w:r>
      <w:r>
        <w:t xml:space="preserve"> </w:t>
      </w:r>
      <w:r>
        <w:rPr>
          <w:i/>
          <w:iCs/>
        </w:rPr>
        <w:t xml:space="preserve">J. Am. Soc. Mass Spectrom.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, 266–274.</w:t>
      </w:r>
    </w:p>
    <w:p>
      <w:r>
        <w:pict>
          <v:rect style="width:0;height:1.5pt" o:hralign="center" o:hrstd="t" o:hr="t"/>
        </w:pict>
      </w:r>
    </w:p>
    <w:bookmarkEnd w:id="23"/>
    <w:bookmarkStart w:id="24" w:name="table-of-contents-entry"/>
    <w:p>
      <w:pPr>
        <w:pStyle w:val="Heading2"/>
      </w:pPr>
      <w:r>
        <w:t xml:space="preserve">Table of Contents Entry</w:t>
      </w:r>
    </w:p>
    <w:p>
      <w:pPr>
        <w:pStyle w:val="FirstParagraph"/>
      </w:pPr>
      <w:r>
        <w:rPr>
          <w:b/>
          <w:bCs/>
        </w:rPr>
        <w:t xml:space="preserve">Tolerant yet discriminating.</w:t>
      </w:r>
      <w:r>
        <w:t xml:space="preserve"> </w:t>
      </w:r>
      <w:r>
        <w:t xml:space="preserve">Testing whether two 2D-HSQC spectra are the same demands tolerance</w:t>
      </w:r>
      <w:r>
        <w:t xml:space="preserve"> </w:t>
      </w:r>
      <w:r>
        <w:t xml:space="preserve">of small chemical-shift drifts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penalization of genuinely relocated intensity — requirements the</w:t>
      </w:r>
      <w:r>
        <w:t xml:space="preserve"> </w:t>
      </w:r>
      <w:r>
        <w:t xml:space="preserve">incumbent binning, tree and nearest-neighbour measures satisfy only one at a time. The Shift-Tolerant</w:t>
      </w:r>
      <w:r>
        <w:t xml:space="preserve"> </w:t>
      </w:r>
      <w:r>
        <w:t xml:space="preserve">Correlation Coefficient renders both spectra onto one grid, blurs them by the physical NMR</w:t>
      </w:r>
      <w:r>
        <w:t xml:space="preserve"> </w:t>
      </w:r>
      <w:r>
        <w:t xml:space="preserve">linewidth, and takes the mean-centred zero-lag correlation. An experimental local-contrast</w:t>
      </w:r>
      <w:r>
        <w:t xml:space="preserve"> </w:t>
      </w:r>
      <w:r>
        <w:t xml:space="preserve">extension further improves descriptive separation across dense protein and sparse small-molecule</w:t>
      </w:r>
      <w:r>
        <w:t xml:space="preserve"> </w:t>
      </w:r>
      <w:r>
        <w:t xml:space="preserve">examples, while the validated STCC remains the default.</w:t>
      </w:r>
    </w:p>
    <w:p>
      <w:pPr>
        <w:pStyle w:val="BodyText"/>
      </w:pPr>
      <w:r>
        <w:rPr>
          <w:i/>
          <w:iCs/>
        </w:rPr>
        <w:t xml:space="preserve">Suggested TOC graphic: the separation bar chart (Figure 2) with the three-step STCC schematic</w:t>
      </w:r>
      <w:r>
        <w:rPr>
          <w:i/>
          <w:iCs/>
        </w:rPr>
        <w:t xml:space="preserve"> </w:t>
      </w:r>
      <w:r>
        <w:rPr>
          <w:i/>
          <w:iCs/>
        </w:rPr>
        <w:t xml:space="preserve">inset.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Robust Sameness Scoring Using a Shift-Tolerant Correlation Coefficient</dc:title>
  <dc:creator>Donghan Lee</dc:creator>
  <cp:keywords/>
  <dcterms:created xsi:type="dcterms:W3CDTF">2026-07-19T03:01:12Z</dcterms:created>
  <dcterms:modified xsi:type="dcterms:W3CDTF">2026-07-19T03:01:12Z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/>
  </property>
  <property fmtid="{D5CDD505-2E9C-101B-9397-08002B2CF9AE}" pid="4" name="fontsize">
    <vt:lpwstr>11pt</vt:lpwstr>
  </property>
  <property fmtid="{D5CDD505-2E9C-101B-9397-08002B2CF9AE}" pid="5" name="geometry">
    <vt:lpwstr>margin=1in</vt:lpwstr>
  </property>
  <property fmtid="{D5CDD505-2E9C-101B-9397-08002B2CF9AE}" pid="6" name="header-includes">
    <vt:lpwstr/>
  </property>
  <property fmtid="{D5CDD505-2E9C-101B-9397-08002B2CF9AE}" pid="7" name="linkcolor">
    <vt:lpwstr>RoyalBlue</vt:lpwstr>
  </property>
  <property fmtid="{D5CDD505-2E9C-101B-9397-08002B2CF9AE}" pid="8" name="urlcolor">
    <vt:lpwstr>RoyalBlue</vt:lpwstr>
  </property>
</Properties>
</file>