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8.png" ContentType="image/png"/>
  <Override PartName="/word/media/rId28.png" ContentType="image/png"/>
  <Override PartName="/word/media/rId44.png" ContentType="image/png"/>
  <Override PartName="/word/media/rId37.png" ContentType="image/png"/>
  <Override PartName="/word/media/rId22.png" ContentType="image/png"/>
  <Override PartName="/word/media/rId14.png" ContentType="image/png"/>
  <Override PartName="/word/media/rId31.png" ContentType="image/png"/>
  <Override PartName="/word/media/rId34.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Supporting Information — Robust Sameness Scoring Using a Shift-Tolerant Correlation Coefficient</w:t>
      </w:r>
    </w:p>
    <w:p>
      <w:pPr>
        <w:pStyle w:val="Author"/>
      </w:pPr>
      <w:r>
        <w:t xml:space="preserve">Donghan Lee</w:t>
      </w:r>
    </w:p>
    <w:p>
      <w:pPr>
        <w:pStyle w:val="FirstParagraph"/>
      </w:pPr>
      <w:r>
        <w:t xml:space="preserve">Korea Basic Science Institute (KBSI), Ochang, Republic of Korea. Correspondence:</w:t>
      </w:r>
      <w:r>
        <w:t xml:space="preserve"> </w:t>
      </w:r>
      <w:r>
        <w:t xml:space="preserve">kbsi.bionmr@gmail.com</w:t>
      </w:r>
    </w:p>
    <w:p>
      <w:pPr>
        <w:pStyle w:val="BodyText"/>
      </w:pPr>
      <w:r>
        <w:t xml:space="preserve">Software (STCC, experimental Local Contrast and the three reference methods), all benchmark</w:t>
      </w:r>
      <w:r>
        <w:t xml:space="preserve"> </w:t>
      </w:r>
      <w:r>
        <w:t xml:space="preserve">harnesses, tabulated scores and the test suite are freely available under the MIT license at</w:t>
      </w:r>
      <w:r>
        <w:t xml:space="preserve"> </w:t>
      </w:r>
      <w:r>
        <w:t xml:space="preserve">https://github.com/deepnmr/spectra_similarity_tool. Both STCC variants are implemented in</w:t>
      </w:r>
      <w:r>
        <w:t xml:space="preserve"> </w:t>
      </w:r>
      <w:r>
        <w:rPr>
          <w:rStyle w:val="VerbatimChar"/>
        </w:rPr>
        <w:t xml:space="preserve">hsqc_lcc.py</w:t>
      </w:r>
      <w:r>
        <w:t xml:space="preserve">.</w:t>
      </w:r>
    </w:p>
    <w:bookmarkStart w:id="9" w:name="contents"/>
    <w:p>
      <w:pPr>
        <w:pStyle w:val="Heading2"/>
      </w:pPr>
      <w:r>
        <w:t xml:space="preserve">Contents</w:t>
      </w:r>
    </w:p>
    <w:p>
      <w:pPr>
        <w:pStyle w:val="Compact"/>
        <w:numPr>
          <w:ilvl w:val="0"/>
          <w:numId w:val="1001"/>
        </w:numPr>
      </w:pPr>
      <w:r>
        <w:rPr>
          <w:b/>
          <w:bCs/>
        </w:rPr>
        <w:t xml:space="preserve">S1</w:t>
      </w:r>
      <w:r>
        <w:t xml:space="preserve"> </w:t>
      </w:r>
      <w:r>
        <w:t xml:space="preserve">Setup and preprocessing</w:t>
      </w:r>
    </w:p>
    <w:p>
      <w:pPr>
        <w:pStyle w:val="Compact"/>
        <w:numPr>
          <w:ilvl w:val="0"/>
          <w:numId w:val="1001"/>
        </w:numPr>
      </w:pPr>
      <w:r>
        <w:rPr>
          <w:b/>
          <w:bCs/>
        </w:rPr>
        <w:t xml:space="preserve">S2</w:t>
      </w:r>
      <w:r>
        <w:t xml:space="preserve"> </w:t>
      </w:r>
      <w:r>
        <w:t xml:space="preserve">Rendering to a shared grid</w:t>
      </w:r>
    </w:p>
    <w:p>
      <w:pPr>
        <w:pStyle w:val="Compact"/>
        <w:numPr>
          <w:ilvl w:val="0"/>
          <w:numId w:val="1001"/>
        </w:numPr>
      </w:pPr>
      <w:r>
        <w:rPr>
          <w:b/>
          <w:bCs/>
        </w:rPr>
        <w:t xml:space="preserve">S3</w:t>
      </w:r>
      <w:r>
        <w:t xml:space="preserve"> </w:t>
      </w:r>
      <w:r>
        <w:t xml:space="preserve">Lineshape blur</w:t>
      </w:r>
    </w:p>
    <w:p>
      <w:pPr>
        <w:pStyle w:val="Compact"/>
        <w:numPr>
          <w:ilvl w:val="0"/>
          <w:numId w:val="1001"/>
        </w:numPr>
      </w:pPr>
      <w:r>
        <w:rPr>
          <w:b/>
          <w:bCs/>
        </w:rPr>
        <w:t xml:space="preserve">S4</w:t>
      </w:r>
      <w:r>
        <w:t xml:space="preserve"> </w:t>
      </w:r>
      <w:r>
        <w:t xml:space="preserve">Mean-centring, the STCC score and experimental Local Contrast</w:t>
      </w:r>
    </w:p>
    <w:p>
      <w:pPr>
        <w:pStyle w:val="Compact"/>
        <w:numPr>
          <w:ilvl w:val="0"/>
          <w:numId w:val="1001"/>
        </w:numPr>
      </w:pPr>
      <w:r>
        <w:rPr>
          <w:b/>
          <w:bCs/>
        </w:rPr>
        <w:t xml:space="preserve">S5</w:t>
      </w:r>
      <w:r>
        <w:t xml:space="preserve"> </w:t>
      </w:r>
      <w:r>
        <w:t xml:space="preserve">Properties (with proofs)</w:t>
      </w:r>
    </w:p>
    <w:p>
      <w:pPr>
        <w:pStyle w:val="Compact"/>
        <w:numPr>
          <w:ilvl w:val="0"/>
          <w:numId w:val="1001"/>
        </w:numPr>
      </w:pPr>
      <w:r>
        <w:rPr>
          <w:b/>
          <w:bCs/>
        </w:rPr>
        <w:t xml:space="preserve">S6</w:t>
      </w:r>
      <w:r>
        <w:t xml:space="preserve"> </w:t>
      </w:r>
      <w:r>
        <w:t xml:space="preserve">Why STCC beats the existing methods</w:t>
      </w:r>
    </w:p>
    <w:p>
      <w:pPr>
        <w:pStyle w:val="Compact"/>
        <w:numPr>
          <w:ilvl w:val="0"/>
          <w:numId w:val="1001"/>
        </w:numPr>
      </w:pPr>
      <w:r>
        <w:rPr>
          <w:b/>
          <w:bCs/>
        </w:rPr>
        <w:t xml:space="preserve">S7</w:t>
      </w:r>
      <w:r>
        <w:t xml:space="preserve"> </w:t>
      </w:r>
      <w:r>
        <w:t xml:space="preserve">Parameters</w:t>
      </w:r>
    </w:p>
    <w:p>
      <w:pPr>
        <w:pStyle w:val="Compact"/>
        <w:numPr>
          <w:ilvl w:val="0"/>
          <w:numId w:val="1001"/>
        </w:numPr>
      </w:pPr>
      <w:r>
        <w:rPr>
          <w:b/>
          <w:bCs/>
        </w:rPr>
        <w:t xml:space="preserve">S8</w:t>
      </w:r>
      <w:r>
        <w:t xml:space="preserve"> </w:t>
      </w:r>
      <w:r>
        <w:t xml:space="preserve">Benchmark 1 — dense protein</w:t>
      </w:r>
      <w:r>
        <w:t xml:space="preserve"> </w:t>
      </w:r>
      <m:oMath>
        <m:sSup>
          <m:e>
            <m:r>
              <m:t>​</m:t>
            </m:r>
          </m:e>
          <m:sup>
            <m:r>
              <m:t>1</m:t>
            </m:r>
          </m:sup>
        </m:sSup>
      </m:oMath>
      <w:r>
        <w:t xml:space="preserve">H–</w:t>
      </w:r>
      <m:oMath>
        <m:sSup>
          <m:e>
            <m:r>
              <m:t>​</m:t>
            </m:r>
          </m:e>
          <m:sup>
            <m:r>
              <m:t>15</m:t>
            </m:r>
          </m:sup>
        </m:sSup>
      </m:oMath>
      <w:r>
        <w:t xml:space="preserve">N</w:t>
      </w:r>
    </w:p>
    <w:p>
      <w:pPr>
        <w:pStyle w:val="Compact"/>
        <w:numPr>
          <w:ilvl w:val="0"/>
          <w:numId w:val="1001"/>
        </w:numPr>
      </w:pPr>
      <w:r>
        <w:rPr>
          <w:b/>
          <w:bCs/>
        </w:rPr>
        <w:t xml:space="preserve">S9</w:t>
      </w:r>
      <w:r>
        <w:t xml:space="preserve"> </w:t>
      </w:r>
      <w:r>
        <w:t xml:space="preserve">Benchmark 2 — sparse small-molecule</w:t>
      </w:r>
      <w:r>
        <w:t xml:space="preserve"> </w:t>
      </w:r>
      <m:oMath>
        <m:sSup>
          <m:e>
            <m:r>
              <m:t>​</m:t>
            </m:r>
          </m:e>
          <m:sup>
            <m:r>
              <m:t>1</m:t>
            </m:r>
          </m:sup>
        </m:sSup>
      </m:oMath>
      <w:r>
        <w:t xml:space="preserve">H–</w:t>
      </w:r>
      <m:oMath>
        <m:sSup>
          <m:e>
            <m:r>
              <m:t>​</m:t>
            </m:r>
          </m:e>
          <m:sup>
            <m:r>
              <m:t>13</m:t>
            </m:r>
          </m:sup>
        </m:sSup>
      </m:oMath>
      <w:r>
        <w:t xml:space="preserve">C</w:t>
      </w:r>
    </w:p>
    <w:p>
      <w:pPr>
        <w:pStyle w:val="Compact"/>
        <w:numPr>
          <w:ilvl w:val="0"/>
          <w:numId w:val="1001"/>
        </w:numPr>
      </w:pPr>
      <w:r>
        <w:rPr>
          <w:b/>
          <w:bCs/>
        </w:rPr>
        <w:t xml:space="preserve">S10</w:t>
      </w:r>
      <w:r>
        <w:t xml:space="preserve"> </w:t>
      </w:r>
      <w:r>
        <w:t xml:space="preserve">Robustness and ablation</w:t>
      </w:r>
    </w:p>
    <w:p>
      <w:pPr>
        <w:pStyle w:val="Compact"/>
        <w:numPr>
          <w:ilvl w:val="0"/>
          <w:numId w:val="1001"/>
        </w:numPr>
      </w:pPr>
      <w:r>
        <w:rPr>
          <w:b/>
          <w:bCs/>
        </w:rPr>
        <w:t xml:space="preserve">S11</w:t>
      </w:r>
      <w:r>
        <w:t xml:space="preserve"> </w:t>
      </w:r>
      <w:r>
        <w:t xml:space="preserve">Relationship to the source methods</w:t>
      </w:r>
    </w:p>
    <w:p>
      <w:pPr>
        <w:pStyle w:val="Compact"/>
        <w:numPr>
          <w:ilvl w:val="0"/>
          <w:numId w:val="1001"/>
        </w:numPr>
      </w:pPr>
      <w:r>
        <w:rPr>
          <w:b/>
          <w:bCs/>
        </w:rPr>
        <w:t xml:space="preserve">S12</w:t>
      </w:r>
      <w:r>
        <w:t xml:space="preserve"> </w:t>
      </w:r>
      <w:r>
        <w:t xml:space="preserve">Software, reproduction and test suite</w:t>
      </w:r>
    </w:p>
    <w:p>
      <w:pPr>
        <w:pStyle w:val="Compact"/>
        <w:numPr>
          <w:ilvl w:val="0"/>
          <w:numId w:val="1001"/>
        </w:numPr>
      </w:pPr>
      <w:r>
        <w:rPr>
          <w:b/>
          <w:bCs/>
        </w:rPr>
        <w:t xml:space="preserve">S13</w:t>
      </w:r>
      <w:r>
        <w:t xml:space="preserve"> </w:t>
      </w:r>
      <w:r>
        <w:t xml:space="preserve">Statistical strength: bootstrap CIs and a retrieval test</w:t>
      </w:r>
    </w:p>
    <w:p>
      <w:pPr>
        <w:pStyle w:val="Compact"/>
        <w:numPr>
          <w:ilvl w:val="0"/>
          <w:numId w:val="1001"/>
        </w:numPr>
      </w:pPr>
      <w:r>
        <w:rPr>
          <w:b/>
          <w:bCs/>
        </w:rPr>
        <w:t xml:space="preserve">S14</w:t>
      </w:r>
      <w:r>
        <w:t xml:space="preserve"> </w:t>
      </w:r>
      <w:r>
        <w:t xml:space="preserve">Supporting references</w:t>
      </w:r>
    </w:p>
    <w:p>
      <w:r>
        <w:pict>
          <v:rect style="width:0;height:1.5pt" o:hralign="center" o:hrstd="t" o:hr="t"/>
        </w:pict>
      </w:r>
    </w:p>
    <w:bookmarkEnd w:id="9"/>
    <w:bookmarkStart w:id="13" w:name="s1-setup-and-preprocessing"/>
    <w:p>
      <w:pPr>
        <w:pStyle w:val="Heading2"/>
      </w:pPr>
      <w:r>
        <w:t xml:space="preserve">S1 Setup and preprocessing</w:t>
      </w:r>
    </w:p>
    <w:p>
      <w:pPr>
        <w:pStyle w:val="FirstParagraph"/>
      </w:pPr>
      <w:r>
        <w:t xml:space="preserve">Two spectra</w:t>
      </w:r>
      <w:r>
        <w:t xml:space="preserve"> </w:t>
      </w:r>
      <m:oMath>
        <m:r>
          <m:t>a</m:t>
        </m:r>
        <m:r>
          <m:rPr>
            <m:sty m:val="p"/>
          </m:rPr>
          <m:t>∈</m:t>
        </m:r>
        <m:r>
          <m:rPr>
            <m:sty m:val="p"/>
          </m:rPr>
          <m:t>{</m:t>
        </m:r>
        <m:r>
          <m:t>x</m:t>
        </m:r>
        <m:r>
          <m:rPr>
            <m:sty m:val="p"/>
          </m:rPr>
          <m:t>,</m:t>
        </m:r>
        <m:r>
          <m:t>y</m:t>
        </m:r>
        <m:r>
          <m:rPr>
            <m:sty m:val="p"/>
          </m:rPr>
          <m:t>}</m:t>
        </m:r>
      </m:oMath>
      <w:r>
        <w:t xml:space="preserve"> </w:t>
      </w:r>
      <w:r>
        <w:t xml:space="preserve">are compared inside a common window</w:t>
      </w:r>
      <w:r>
        <w:t xml:space="preserve"> </w:t>
      </w:r>
      <m:oMath>
        <m:r>
          <m:rPr>
            <m:sty m:val="p"/>
          </m:rPr>
          <m:t>Ω</m:t>
        </m:r>
        <m:r>
          <m:rPr>
            <m:sty m:val="p"/>
          </m:rPr>
          <m:t>=</m:t>
        </m:r>
        <m:r>
          <m:rPr>
            <m:sty m:val="p"/>
          </m:rPr>
          <m:t>[</m:t>
        </m:r>
        <m:sSubSup>
          <m:e>
            <m:r>
              <m:t>δ</m:t>
            </m:r>
          </m:e>
          <m:sub>
            <m:r>
              <m:rPr>
                <m:nor/>
                <m:sty m:val="p"/>
              </m:rPr>
              <m:t>lo</m:t>
            </m:r>
          </m:sub>
          <m:sup>
            <m:r>
              <m:t>F</m:t>
            </m:r>
            <m:r>
              <m:t>2</m:t>
            </m:r>
          </m:sup>
        </m:sSubSup>
        <m:r>
          <m:rPr>
            <m:sty m:val="p"/>
          </m:rPr>
          <m:t>,</m:t>
        </m:r>
        <m:sSubSup>
          <m:e>
            <m:r>
              <m:t>δ</m:t>
            </m:r>
          </m:e>
          <m:sub>
            <m:r>
              <m:rPr>
                <m:nor/>
                <m:sty m:val="p"/>
              </m:rPr>
              <m:t>hi</m:t>
            </m:r>
          </m:sub>
          <m:sup>
            <m:r>
              <m:t>F</m:t>
            </m:r>
            <m:r>
              <m:t>2</m:t>
            </m:r>
          </m:sup>
        </m:sSubSup>
        <m:r>
          <m:rPr>
            <m:sty m:val="p"/>
          </m:rPr>
          <m:t>]</m:t>
        </m:r>
        <m:r>
          <m:rPr>
            <m:sty m:val="p"/>
          </m:rPr>
          <m:t>×</m:t>
        </m:r>
        <m:r>
          <m:rPr>
            <m:sty m:val="p"/>
          </m:rPr>
          <m:t>[</m:t>
        </m:r>
        <m:sSubSup>
          <m:e>
            <m:r>
              <m:t>δ</m:t>
            </m:r>
          </m:e>
          <m:sub>
            <m:r>
              <m:rPr>
                <m:nor/>
                <m:sty m:val="p"/>
              </m:rPr>
              <m:t>lo</m:t>
            </m:r>
          </m:sub>
          <m:sup>
            <m:r>
              <m:t>F</m:t>
            </m:r>
            <m:r>
              <m:t>1</m:t>
            </m:r>
          </m:sup>
        </m:sSubSup>
        <m:r>
          <m:rPr>
            <m:sty m:val="p"/>
          </m:rPr>
          <m:t>,</m:t>
        </m:r>
        <m:sSubSup>
          <m:e>
            <m:r>
              <m:t>δ</m:t>
            </m:r>
          </m:e>
          <m:sub>
            <m:r>
              <m:rPr>
                <m:nor/>
                <m:sty m:val="p"/>
              </m:rPr>
              <m:t>hi</m:t>
            </m:r>
          </m:sub>
          <m:sup>
            <m:r>
              <m:t>F</m:t>
            </m:r>
            <m:r>
              <m:t>1</m:t>
            </m:r>
          </m:sup>
        </m:sSubSup>
        <m:r>
          <m:rPr>
            <m:sty m:val="p"/>
          </m:rPr>
          <m:t>]</m:t>
        </m:r>
      </m:oMath>
      <w:r>
        <w:t xml:space="preserve"> </w:t>
      </w:r>
      <w:r>
        <w:t xml:space="preserve">(direct dimension</w:t>
      </w:r>
      <w:r>
        <w:t xml:space="preserve"> </w:t>
      </w:r>
      <m:oMath>
        <m:r>
          <m:t>F</m:t>
        </m:r>
        <m:r>
          <m:t>2</m:t>
        </m:r>
      </m:oMath>
      <w:r>
        <w:t xml:space="preserve">, e.g. </w:t>
      </w:r>
      <m:oMath>
        <m:sSup>
          <m:e>
            <m:r>
              <m:t>​</m:t>
            </m:r>
          </m:e>
          <m:sup>
            <m:r>
              <m:t>1</m:t>
            </m:r>
          </m:sup>
        </m:sSup>
        <m:r>
          <m:rPr>
            <m:sty m:val="p"/>
          </m:rPr>
          <m:t>H</m:t>
        </m:r>
      </m:oMath>
      <w:r>
        <w:t xml:space="preserve">; indirect dimension</w:t>
      </w:r>
      <w:r>
        <w:t xml:space="preserve"> </w:t>
      </w:r>
      <m:oMath>
        <m:r>
          <m:t>F</m:t>
        </m:r>
        <m:r>
          <m:t>1</m:t>
        </m:r>
      </m:oMath>
      <w:r>
        <w:t xml:space="preserve">, e.g. </w:t>
      </w:r>
      <m:oMath>
        <m:sSup>
          <m:e>
            <m:r>
              <m:t>​</m:t>
            </m:r>
          </m:e>
          <m:sup>
            <m:r>
              <m:t>15</m:t>
            </m:r>
          </m:sup>
        </m:sSup>
        <m:r>
          <m:rPr>
            <m:sty m:val="p"/>
          </m:rPr>
          <m:t>N</m:t>
        </m:r>
      </m:oMath>
      <w:r>
        <w:t xml:space="preserve"> </w:t>
      </w:r>
      <w:r>
        <w:t xml:space="preserve">or</w:t>
      </w:r>
      <w:r>
        <w:t xml:space="preserve"> </w:t>
      </w:r>
      <m:oMath>
        <m:sSup>
          <m:e>
            <m:r>
              <m:t>​</m:t>
            </m:r>
          </m:e>
          <m:sup>
            <m:r>
              <m:t>13</m:t>
            </m:r>
          </m:sup>
        </m:sSup>
        <m:r>
          <m:rPr>
            <m:sty m:val="p"/>
          </m:rPr>
          <m:t>C</m:t>
        </m:r>
      </m:oMath>
      <w:r>
        <w:t xml:space="preserve">). Each processed point</w:t>
      </w:r>
      <w:r>
        <w:t xml:space="preserve"> </w:t>
      </w:r>
      <m:oMath>
        <m:r>
          <m:t>p</m:t>
        </m:r>
      </m:oMath>
      <w:r>
        <w:t xml:space="preserve"> </w:t>
      </w:r>
      <w:r>
        <w:t xml:space="preserve">has shifts</w:t>
      </w:r>
      <w:r>
        <w:t xml:space="preserve"> </w:t>
      </w:r>
      <m:oMath>
        <m:sSub>
          <m:e>
            <m:r>
              <m:t>δ</m:t>
            </m:r>
          </m:e>
          <m:sub>
            <m:r>
              <m:t>F</m:t>
            </m:r>
            <m:r>
              <m:t>2</m:t>
            </m:r>
          </m:sub>
        </m:sSub>
        <m:r>
          <m:rPr>
            <m:sty m:val="p"/>
          </m:rPr>
          <m:t>(</m:t>
        </m:r>
        <m:r>
          <m:t>p</m:t>
        </m:r>
        <m:r>
          <m:rPr>
            <m:sty m:val="p"/>
          </m:rPr>
          <m:t>)</m:t>
        </m:r>
        <m:r>
          <m:rPr>
            <m:sty m:val="p"/>
          </m:rPr>
          <m:t>,</m:t>
        </m:r>
        <m:sSub>
          <m:e>
            <m:r>
              <m:t>δ</m:t>
            </m:r>
          </m:e>
          <m:sub>
            <m:r>
              <m:t>F</m:t>
            </m:r>
            <m:r>
              <m:t>1</m:t>
            </m:r>
          </m:sub>
        </m:sSub>
        <m:r>
          <m:rPr>
            <m:sty m:val="p"/>
          </m:rPr>
          <m:t>(</m:t>
        </m:r>
        <m:r>
          <m:t>p</m:t>
        </m:r>
        <m:r>
          <m:rPr>
            <m:sty m:val="p"/>
          </m:rPr>
          <m:t>)</m:t>
        </m:r>
      </m:oMath>
      <w:r>
        <w:t xml:space="preserve"> </w:t>
      </w:r>
      <w:r>
        <w:t xml:space="preserve">and</w:t>
      </w:r>
      <w:r>
        <w:t xml:space="preserve"> </w:t>
      </w:r>
      <w:r>
        <w:t xml:space="preserve">intensity</w:t>
      </w:r>
      <w:r>
        <w:t xml:space="preserve"> </w:t>
      </w:r>
      <m:oMath>
        <m:sSub>
          <m:e>
            <m:r>
              <m:t>I</m:t>
            </m:r>
          </m:e>
          <m:sub>
            <m:r>
              <m:t>a</m:t>
            </m:r>
          </m:sub>
        </m:sSub>
        <m:r>
          <m:rPr>
            <m:sty m:val="p"/>
          </m:rPr>
          <m:t>(</m:t>
        </m:r>
        <m:r>
          <m:t>p</m:t>
        </m:r>
        <m:r>
          <m:rPr>
            <m:sty m:val="p"/>
          </m:rPr>
          <m:t>)</m:t>
        </m:r>
      </m:oMath>
      <w:r>
        <w:t xml:space="preserve">. With the default</w:t>
      </w:r>
      <w:r>
        <w:t xml:space="preserve"> </w:t>
      </w:r>
      <w:r>
        <w:rPr>
          <w:rStyle w:val="VerbatimChar"/>
        </w:rPr>
        <w:t xml:space="preserve">clip</w:t>
      </w:r>
      <w:r>
        <w:t xml:space="preserve"> </w:t>
      </w:r>
      <w:r>
        <w:t xml:space="preserve">baseline, negative intensities are zeroed and every</w:t>
      </w:r>
      <w:r>
        <w:t xml:space="preserve"> </w:t>
      </w:r>
      <w:r>
        <w:t xml:space="preserve">point is weighted by its local integration area so that spectra of different digital resolution</w:t>
      </w:r>
      <w:r>
        <w:t xml:space="preserve"> </w:t>
      </w:r>
      <w:r>
        <w:t xml:space="preserve">integrate consistently:</w:t>
      </w:r>
    </w:p>
    <w:p>
      <w:pPr>
        <w:pStyle w:val="BodyText"/>
      </w:pPr>
      <m:oMathPara>
        <m:oMathParaPr>
          <m:jc m:val="center"/>
        </m:oMathParaPr>
        <m:oMath>
          <m:sSub>
            <m:e>
              <m:r>
                <m:t>w</m:t>
              </m:r>
            </m:e>
            <m:sub>
              <m:r>
                <m:t>a</m:t>
              </m:r>
            </m:sub>
          </m:sSub>
          <m:r>
            <m:rPr>
              <m:sty m:val="p"/>
            </m:rPr>
            <m:t>(</m:t>
          </m:r>
          <m:r>
            <m:t>p</m:t>
          </m:r>
          <m:r>
            <m:rPr>
              <m:sty m:val="p"/>
            </m:rPr>
            <m:t>)</m:t>
          </m:r>
          <m:r>
            <m:t> </m:t>
          </m:r>
          <m:r>
            <m:rPr>
              <m:sty m:val="p"/>
            </m:rPr>
            <m:t>=</m:t>
          </m:r>
          <m:r>
            <m:t> </m:t>
          </m:r>
          <m:r>
            <m:rPr>
              <m:sty m:val="p"/>
            </m:rPr>
            <m:t>max</m:t>
          </m:r>
          <m:r>
            <m:t>​</m:t>
          </m:r>
          <m:d>
            <m:dPr>
              <m:begChr m:val="("/>
              <m:sepChr m:val=""/>
              <m:endChr m:val=")"/>
              <m:grow/>
            </m:dPr>
            <m:e>
              <m:sSub>
                <m:e>
                  <m:r>
                    <m:t>I</m:t>
                  </m:r>
                </m:e>
                <m:sub>
                  <m:r>
                    <m:t>a</m:t>
                  </m:r>
                </m:sub>
              </m:sSub>
              <m:r>
                <m:rPr>
                  <m:sty m:val="p"/>
                </m:rPr>
                <m:t>(</m:t>
              </m:r>
              <m:r>
                <m:t>p</m:t>
              </m:r>
              <m:r>
                <m:rPr>
                  <m:sty m:val="p"/>
                </m:rPr>
                <m:t>)</m:t>
              </m:r>
              <m:r>
                <m:rPr>
                  <m:sty m:val="p"/>
                </m:rPr>
                <m:t>,</m:t>
              </m:r>
              <m:r>
                <m:t> </m:t>
              </m:r>
              <m:r>
                <m:t>0</m:t>
              </m:r>
            </m:e>
          </m:d>
          <m:r>
            <m:t> </m:t>
          </m:r>
          <m:r>
            <m:rPr>
              <m:sty m:val="p"/>
            </m:rPr>
            <m:t>⋅</m:t>
          </m:r>
          <m:r>
            <m:t> </m:t>
          </m:r>
          <m:r>
            <m:rPr>
              <m:sty m:val="p"/>
            </m:rPr>
            <m:t>|</m:t>
          </m:r>
          <m:r>
            <m:rPr>
              <m:sty m:val="p"/>
            </m:rPr>
            <m:t>Δ</m:t>
          </m:r>
          <m:sSub>
            <m:e>
              <m:r>
                <m:t>δ</m:t>
              </m:r>
            </m:e>
            <m:sub>
              <m:r>
                <m:t>F</m:t>
              </m:r>
              <m:r>
                <m:t>1</m:t>
              </m:r>
            </m:sub>
          </m:sSub>
          <m:r>
            <m:rPr>
              <m:sty m:val="p"/>
            </m:rPr>
            <m:t>(</m:t>
          </m:r>
          <m:r>
            <m:t>p</m:t>
          </m:r>
          <m:r>
            <m:rPr>
              <m:sty m:val="p"/>
            </m:rPr>
            <m:t>)</m:t>
          </m:r>
          <m:r>
            <m:rPr>
              <m:sty m:val="p"/>
            </m:rPr>
            <m:t>|</m:t>
          </m:r>
          <m:r>
            <m:t> </m:t>
          </m:r>
          <m:r>
            <m:rPr>
              <m:sty m:val="p"/>
            </m:rPr>
            <m:t>⋅</m:t>
          </m:r>
          <m:r>
            <m:t> </m:t>
          </m:r>
          <m:r>
            <m:rPr>
              <m:sty m:val="p"/>
            </m:rPr>
            <m:t>|</m:t>
          </m:r>
          <m:r>
            <m:rPr>
              <m:sty m:val="p"/>
            </m:rPr>
            <m:t>Δ</m:t>
          </m:r>
          <m:sSub>
            <m:e>
              <m:r>
                <m:t>δ</m:t>
              </m:r>
            </m:e>
            <m:sub>
              <m:r>
                <m:t>F</m:t>
              </m:r>
              <m:r>
                <m:t>2</m:t>
              </m:r>
            </m:sub>
          </m:sSub>
          <m:r>
            <m:rPr>
              <m:sty m:val="p"/>
            </m:rPr>
            <m:t>(</m:t>
          </m:r>
          <m:r>
            <m:t>p</m:t>
          </m:r>
          <m:r>
            <m:rPr>
              <m:sty m:val="p"/>
            </m:rPr>
            <m:t>)</m:t>
          </m:r>
          <m:r>
            <m:rPr>
              <m:sty m:val="p"/>
            </m:rPr>
            <m:t>|</m:t>
          </m:r>
          <m:r>
            <m:rPr>
              <m:sty m:val="p"/>
            </m:rPr>
            <m:t>.</m:t>
          </m:r>
        </m:oMath>
      </m:oMathPara>
    </w:p>
    <w:p>
      <w:pPr>
        <w:pStyle w:val="FirstParagraph"/>
      </w:pPr>
      <w:r>
        <w:rPr>
          <w:b/>
          <w:bCs/>
        </w:rPr>
        <w:t xml:space="preserve">Negative peaks (edited HSQC).</w:t>
      </w:r>
      <w:r>
        <w:t xml:space="preserve"> </w:t>
      </w:r>
      <w:r>
        <w:rPr>
          <w:rStyle w:val="VerbatimChar"/>
        </w:rPr>
        <w:t xml:space="preserve">clip</w:t>
      </w:r>
      <w:r>
        <w:t xml:space="preserve"> </w:t>
      </w:r>
      <w:r>
        <w:t xml:space="preserve">is correct for a non-edited spectrum, where negatives are</w:t>
      </w:r>
      <w:r>
        <w:t xml:space="preserve"> </w:t>
      </w:r>
      <w:r>
        <w:t xml:space="preserve">baseline noise. In a</w:t>
      </w:r>
      <w:r>
        <w:t xml:space="preserve"> </w:t>
      </w:r>
      <w:r>
        <w:rPr>
          <w:b/>
          <w:bCs/>
        </w:rPr>
        <w:t xml:space="preserve">multiplicity-edited</w:t>
      </w:r>
      <w:r>
        <w:t xml:space="preserve"> </w:t>
      </w:r>
      <w:r>
        <w:t xml:space="preserve">HSQC, however, the sign encodes multiplicity (CH/CH</w:t>
      </w:r>
      <m:oMath>
        <m:sSub>
          <m:e>
            <m:r>
              <m:t>​</m:t>
            </m:r>
          </m:e>
          <m:sub>
            <m:r>
              <m:t>3</m:t>
            </m:r>
          </m:sub>
        </m:sSub>
      </m:oMath>
      <w:r>
        <w:t xml:space="preserve"> </w:t>
      </w:r>
      <w:r>
        <w:t xml:space="preserve">positive, CH</w:t>
      </w:r>
      <m:oMath>
        <m:sSub>
          <m:e>
            <m:r>
              <m:t>​</m:t>
            </m:r>
          </m:e>
          <m:sub>
            <m:r>
              <m:t>2</m:t>
            </m:r>
          </m:sub>
        </m:sSub>
      </m:oMath>
      <w:r>
        <w:t xml:space="preserve"> </w:t>
      </w:r>
      <w:r>
        <w:t xml:space="preserve">negative), not absence [1] —</w:t>
      </w:r>
      <w:r>
        <w:t xml:space="preserve"> </w:t>
      </w:r>
      <w:r>
        <w:rPr>
          <w:rStyle w:val="VerbatimChar"/>
        </w:rPr>
        <w:t xml:space="preserve">clip</w:t>
      </w:r>
      <w:r>
        <w:t xml:space="preserve"> </w:t>
      </w:r>
      <w:r>
        <w:t xml:space="preserve">would silently delete every CH</w:t>
      </w:r>
      <m:oMath>
        <m:sSub>
          <m:e>
            <m:r>
              <m:t>​</m:t>
            </m:r>
          </m:e>
          <m:sub>
            <m:r>
              <m:t>2</m:t>
            </m:r>
          </m:sub>
        </m:sSub>
      </m:oMath>
      <w:r>
        <w:t xml:space="preserve"> </w:t>
      </w:r>
      <w:r>
        <w:t xml:space="preserve">crosspeak. For</w:t>
      </w:r>
      <w:r>
        <w:t xml:space="preserve"> </w:t>
      </w:r>
      <w:r>
        <w:t xml:space="preserve">such data use</w:t>
      </w:r>
      <w:r>
        <w:t xml:space="preserve"> </w:t>
      </w:r>
      <w:r>
        <w:rPr>
          <w:rStyle w:val="VerbatimChar"/>
        </w:rPr>
        <w:t xml:space="preserve">baseline="abs"</w:t>
      </w:r>
      <w:r>
        <w:t xml:space="preserve">, which weights by</w:t>
      </w:r>
      <w:r>
        <w:t xml:space="preserve"> </w:t>
      </w:r>
      <m:oMath>
        <m:r>
          <m:rPr>
            <m:sty m:val="p"/>
          </m:rPr>
          <m:t>|</m:t>
        </m:r>
        <m:sSub>
          <m:e>
            <m:r>
              <m:t>I</m:t>
            </m:r>
          </m:e>
          <m:sub>
            <m:r>
              <m:t>a</m:t>
            </m:r>
          </m:sub>
        </m:sSub>
        <m:r>
          <m:rPr>
            <m:sty m:val="p"/>
          </m:rPr>
          <m:t>(</m:t>
        </m:r>
        <m:r>
          <m:t>p</m:t>
        </m:r>
        <m:r>
          <m:rPr>
            <m:sty m:val="p"/>
          </m:rPr>
          <m:t>)</m:t>
        </m:r>
        <m:r>
          <m:rPr>
            <m:sty m:val="p"/>
          </m:rPr>
          <m:t>|</m:t>
        </m:r>
      </m:oMath>
      <w:r>
        <w:t xml:space="preserve"> </w:t>
      </w:r>
      <w:r>
        <w:t xml:space="preserve">(replacing</w:t>
      </w:r>
      <w:r>
        <w:t xml:space="preserve"> </w:t>
      </w:r>
      <m:oMath>
        <m:r>
          <m:rPr>
            <m:sty m:val="p"/>
          </m:rPr>
          <m:t>max</m:t>
        </m:r>
        <m:r>
          <m:rPr>
            <m:sty m:val="p"/>
          </m:rPr>
          <m:t>(</m:t>
        </m:r>
        <m:sSub>
          <m:e>
            <m:r>
              <m:t>I</m:t>
            </m:r>
          </m:e>
          <m:sub>
            <m:r>
              <m:t>a</m:t>
            </m:r>
          </m:sub>
        </m:sSub>
        <m:r>
          <m:rPr>
            <m:sty m:val="p"/>
          </m:rPr>
          <m:t>,</m:t>
        </m:r>
        <m:r>
          <m:t>0</m:t>
        </m:r>
        <m:r>
          <m:rPr>
            <m:sty m:val="p"/>
          </m:rPr>
          <m:t>)</m:t>
        </m:r>
      </m:oMath>
      <w:r>
        <w:t xml:space="preserve"> </w:t>
      </w:r>
      <w:r>
        <w:t xml:space="preserve">in Eq. S1)</w:t>
      </w:r>
      <w:r>
        <w:t xml:space="preserve"> </w:t>
      </w:r>
      <w:r>
        <w:t xml:space="preserve">and preserves the CH</w:t>
      </w:r>
      <m:oMath>
        <m:sSub>
          <m:e>
            <m:r>
              <m:t>​</m:t>
            </m:r>
          </m:e>
          <m:sub>
            <m:r>
              <m:t>2</m:t>
            </m:r>
          </m:sub>
        </m:sSub>
      </m:oMath>
      <w:r>
        <w:t xml:space="preserve"> </w:t>
      </w:r>
      <w:r>
        <w:t xml:space="preserve">peaks; all methods and the CLI expose this option. The sparse</w:t>
      </w:r>
      <w:r>
        <w:t xml:space="preserve"> </w:t>
      </w:r>
      <m:oMath>
        <m:sSup>
          <m:e>
            <m:r>
              <m:t>​</m:t>
            </m:r>
          </m:e>
          <m:sup>
            <m:r>
              <m:t>1</m:t>
            </m:r>
          </m:sup>
        </m:sSup>
      </m:oMath>
      <w:r>
        <w:t xml:space="preserve">H–</w:t>
      </w:r>
      <m:oMath>
        <m:sSup>
          <m:e>
            <m:r>
              <m:t>​</m:t>
            </m:r>
          </m:e>
          <m:sup>
            <m:r>
              <m:t>13</m:t>
            </m:r>
          </m:sup>
        </m:sSup>
      </m:oMath>
      <w:r>
        <w:t xml:space="preserve">C peak-list benchmark already renders with</w:t>
      </w:r>
      <w:r>
        <w:t xml:space="preserve"> </w:t>
      </w:r>
      <m:oMath>
        <m:r>
          <m:rPr>
            <m:sty m:val="p"/>
          </m:rPr>
          <m:t>|</m:t>
        </m:r>
      </m:oMath>
      <w:r>
        <w:t xml:space="preserve">intensity</w:t>
      </w:r>
      <m:oMath>
        <m:r>
          <m:rPr>
            <m:sty m:val="p"/>
          </m:rPr>
          <m:t>|</m:t>
        </m:r>
      </m:oMath>
      <w:r>
        <w:t xml:space="preserve"> </w:t>
      </w:r>
      <w:r>
        <w:t xml:space="preserve">for exactly this reason</w:t>
      </w:r>
      <w:r>
        <w:t xml:space="preserve"> </w:t>
      </w:r>
      <w:r>
        <w:t xml:space="preserve">(§S9).</w:t>
      </w:r>
    </w:p>
    <w:p>
      <w:pPr>
        <w:pStyle w:val="BodyText"/>
      </w:pPr>
      <w:r>
        <w:t xml:space="preserve">This is exactly the area weighting of the bin method [2]. The mass is normalized to</w:t>
      </w:r>
      <w:r>
        <w:t xml:space="preserve"> </w:t>
      </w:r>
      <m:oMath>
        <m:nary>
          <m:naryPr>
            <m:chr m:val="∑"/>
            <m:limLoc m:val="undOvr"/>
            <m:subHide m:val="off"/>
            <m:supHide m:val="on"/>
          </m:naryPr>
          <m:sub>
            <m:r>
              <m:t>p</m:t>
            </m:r>
          </m:sub>
          <m:sup>
            <m:r>
              <m:t>​</m:t>
            </m:r>
          </m:sup>
          <m:e>
            <m:sSub>
              <m:e>
                <m:r>
                  <m:t>w</m:t>
                </m:r>
              </m:e>
              <m:sub>
                <m:r>
                  <m:t>a</m:t>
                </m:r>
              </m:sub>
            </m:sSub>
          </m:e>
        </m:nary>
        <m:r>
          <m:rPr>
            <m:sty m:val="p"/>
          </m:rPr>
          <m:t>(</m:t>
        </m:r>
        <m:r>
          <m:t>p</m:t>
        </m:r>
        <m:r>
          <m:rPr>
            <m:sty m:val="p"/>
          </m:rPr>
          <m:t>)</m:t>
        </m:r>
        <m:r>
          <m:rPr>
            <m:sty m:val="p"/>
          </m:rPr>
          <m:t>=</m:t>
        </m:r>
        <m:r>
          <m:t>1</m:t>
        </m:r>
      </m:oMath>
      <w:r>
        <w:t xml:space="preserve">; the final score is invariant to this scale, so normalization only guards</w:t>
      </w:r>
      <w:r>
        <w:t xml:space="preserve"> </w:t>
      </w:r>
      <w:r>
        <w:t xml:space="preserve">against numerical overflow.</w:t>
      </w:r>
    </w:p>
    <w:p>
      <w:pPr>
        <w:pStyle w:val="CaptionedFigure"/>
      </w:pPr>
      <w:r>
        <w:drawing>
          <wp:inline>
            <wp:extent cx="5334000" cy="1778898"/>
            <wp:effectExtent b="0" l="0" r="0" t="0"/>
            <wp:docPr descr="Figure S1. Baseline modes on a multiplicity-edited HSQC cross-section. Left: the raw signal, with a positive CH/CH_3 peak and a negative CH_2 peak (the sign encodes multiplicity, not absence). Middle (clip, default): \max(I,0) zeroes negatives — correct when negatives are baseline noise, but it silently deletes the CH_2 crosspeak. Right (abs): |I| preserves the CH_2 peak. Use clip for a non-edited spectrum and abs for edited data; the sparse ^1H–^{13}C benchmark renders with |intensity| for exactly this reason (§S9)." title="" id="11" name="Picture"/>
            <a:graphic>
              <a:graphicData uri="http://schemas.openxmlformats.org/drawingml/2006/picture">
                <pic:pic>
                  <pic:nvPicPr>
                    <pic:cNvPr descr="../results/si_baseline.png" id="12" name="Picture"/>
                    <pic:cNvPicPr>
                      <a:picLocks noChangeArrowheads="1" noChangeAspect="1"/>
                    </pic:cNvPicPr>
                  </pic:nvPicPr>
                  <pic:blipFill>
                    <a:blip r:embed="rId10"/>
                    <a:stretch>
                      <a:fillRect/>
                    </a:stretch>
                  </pic:blipFill>
                  <pic:spPr bwMode="auto">
                    <a:xfrm>
                      <a:off x="0" y="0"/>
                      <a:ext cx="5334000" cy="1778898"/>
                    </a:xfrm>
                    <a:prstGeom prst="rect">
                      <a:avLst/>
                    </a:prstGeom>
                    <a:noFill/>
                    <a:ln w="9525">
                      <a:noFill/>
                      <a:headEnd/>
                      <a:tailEnd/>
                    </a:ln>
                  </pic:spPr>
                </pic:pic>
              </a:graphicData>
            </a:graphic>
          </wp:inline>
        </w:drawing>
      </w:r>
    </w:p>
    <w:p>
      <w:pPr>
        <w:pStyle w:val="ImageCaption"/>
      </w:pPr>
      <w:r>
        <w:rPr>
          <w:b/>
          <w:bCs/>
        </w:rPr>
        <w:t xml:space="preserve">Figure S1.</w:t>
      </w:r>
      <w:r>
        <w:t xml:space="preserve"> </w:t>
      </w:r>
      <w:r>
        <w:t xml:space="preserve">Baseline modes on a multiplicity-edited HSQC cross-section.</w:t>
      </w:r>
      <w:r>
        <w:t xml:space="preserve"> </w:t>
      </w:r>
      <w:r>
        <w:rPr>
          <w:b/>
          <w:bCs/>
        </w:rPr>
        <w:t xml:space="preserve">Left:</w:t>
      </w:r>
      <w:r>
        <w:t xml:space="preserve"> </w:t>
      </w:r>
      <w:r>
        <w:t xml:space="preserve">the raw</w:t>
      </w:r>
      <w:r>
        <w:t xml:space="preserve"> </w:t>
      </w:r>
      <w:r>
        <w:t xml:space="preserve">signal, with a positive CH/CH</w:t>
      </w:r>
      <m:oMath>
        <m:sSub>
          <m:e>
            <m:r>
              <m:t>​</m:t>
            </m:r>
          </m:e>
          <m:sub>
            <m:r>
              <m:t>3</m:t>
            </m:r>
          </m:sub>
        </m:sSub>
      </m:oMath>
      <w:r>
        <w:t xml:space="preserve"> </w:t>
      </w:r>
      <w:r>
        <w:t xml:space="preserve">peak and a</w:t>
      </w:r>
      <w:r>
        <w:t xml:space="preserve"> </w:t>
      </w:r>
      <w:r>
        <w:rPr>
          <w:b/>
          <w:bCs/>
        </w:rPr>
        <w:t xml:space="preserve">negative</w:t>
      </w:r>
      <w:r>
        <w:t xml:space="preserve"> </w:t>
      </w:r>
      <w:r>
        <w:t xml:space="preserve">CH</w:t>
      </w:r>
      <m:oMath>
        <m:sSub>
          <m:e>
            <m:r>
              <m:t>​</m:t>
            </m:r>
          </m:e>
          <m:sub>
            <m:r>
              <m:t>2</m:t>
            </m:r>
          </m:sub>
        </m:sSub>
      </m:oMath>
      <w:r>
        <w:t xml:space="preserve"> </w:t>
      </w:r>
      <w:r>
        <w:t xml:space="preserve">peak (the sign encodes</w:t>
      </w:r>
      <w:r>
        <w:t xml:space="preserve"> </w:t>
      </w:r>
      <w:r>
        <w:t xml:space="preserve">multiplicity, not absence).</w:t>
      </w:r>
      <w:r>
        <w:t xml:space="preserve"> </w:t>
      </w:r>
      <w:r>
        <w:rPr>
          <w:b/>
          <w:bCs/>
        </w:rPr>
        <w:t xml:space="preserve">Middle (</w:t>
      </w:r>
      <w:r>
        <w:rPr>
          <w:rStyle w:val="VerbatimChar"/>
          <w:b/>
          <w:bCs/>
        </w:rPr>
        <w:t xml:space="preserve">clip</w:t>
      </w:r>
      <w:r>
        <w:rPr>
          <w:b/>
          <w:bCs/>
        </w:rPr>
        <w:t xml:space="preserve">, default):</w:t>
      </w:r>
      <w:r>
        <w:t xml:space="preserve"> </w:t>
      </w:r>
      <m:oMath>
        <m:r>
          <m:rPr>
            <m:sty m:val="p"/>
          </m:rPr>
          <m:t>max</m:t>
        </m:r>
        <m:r>
          <m:rPr>
            <m:sty m:val="p"/>
          </m:rPr>
          <m:t>(</m:t>
        </m:r>
        <m:r>
          <m:t>I</m:t>
        </m:r>
        <m:r>
          <m:rPr>
            <m:sty m:val="p"/>
          </m:rPr>
          <m:t>,</m:t>
        </m:r>
        <m:r>
          <m:t>0</m:t>
        </m:r>
        <m:r>
          <m:rPr>
            <m:sty m:val="p"/>
          </m:rPr>
          <m:t>)</m:t>
        </m:r>
      </m:oMath>
      <w:r>
        <w:t xml:space="preserve"> </w:t>
      </w:r>
      <w:r>
        <w:t xml:space="preserve">zeroes negatives — correct</w:t>
      </w:r>
      <w:r>
        <w:t xml:space="preserve"> </w:t>
      </w:r>
      <w:r>
        <w:t xml:space="preserve">when negatives are baseline noise, but it silently</w:t>
      </w:r>
      <w:r>
        <w:t xml:space="preserve"> </w:t>
      </w:r>
      <w:r>
        <w:rPr>
          <w:b/>
          <w:bCs/>
        </w:rPr>
        <w:t xml:space="preserve">deletes the CH</w:t>
      </w:r>
      <m:oMath>
        <m:sSub>
          <m:e>
            <m:r>
              <m:t>​</m:t>
            </m:r>
          </m:e>
          <m:sub>
            <m:r>
              <m:t>2</m:t>
            </m:r>
          </m:sub>
        </m:sSub>
      </m:oMath>
      <w:r>
        <w:rPr>
          <w:b/>
          <w:bCs/>
        </w:rPr>
        <w:t xml:space="preserve"> </w:t>
      </w:r>
      <w:r>
        <w:rPr>
          <w:b/>
          <w:bCs/>
        </w:rPr>
        <w:t xml:space="preserve">crosspeak</w:t>
      </w:r>
      <w:r>
        <w:t xml:space="preserve">.</w:t>
      </w:r>
      <w:r>
        <w:t xml:space="preserve"> </w:t>
      </w:r>
      <w:r>
        <w:rPr>
          <w:b/>
          <w:bCs/>
        </w:rPr>
        <w:t xml:space="preserve">Right</w:t>
      </w:r>
      <w:r>
        <w:rPr>
          <w:b/>
          <w:bCs/>
        </w:rPr>
        <w:t xml:space="preserve"> </w:t>
      </w:r>
      <w:r>
        <w:rPr>
          <w:b/>
          <w:bCs/>
        </w:rPr>
        <w:t xml:space="preserve">(</w:t>
      </w:r>
      <w:r>
        <w:rPr>
          <w:rStyle w:val="VerbatimChar"/>
          <w:b/>
          <w:bCs/>
        </w:rPr>
        <w:t xml:space="preserve">abs</w:t>
      </w:r>
      <w:r>
        <w:rPr>
          <w:b/>
          <w:bCs/>
        </w:rPr>
        <w:t xml:space="preserve">):</w:t>
      </w:r>
      <w:r>
        <w:t xml:space="preserve"> </w:t>
      </w:r>
      <m:oMath>
        <m:r>
          <m:rPr>
            <m:sty m:val="p"/>
          </m:rPr>
          <m:t>|</m:t>
        </m:r>
        <m:r>
          <m:t>I</m:t>
        </m:r>
        <m:r>
          <m:rPr>
            <m:sty m:val="p"/>
          </m:rPr>
          <m:t>|</m:t>
        </m:r>
      </m:oMath>
      <w:r>
        <w:t xml:space="preserve"> </w:t>
      </w:r>
      <w:r>
        <w:t xml:space="preserve">preserves the CH</w:t>
      </w:r>
      <m:oMath>
        <m:sSub>
          <m:e>
            <m:r>
              <m:t>​</m:t>
            </m:r>
          </m:e>
          <m:sub>
            <m:r>
              <m:t>2</m:t>
            </m:r>
          </m:sub>
        </m:sSub>
      </m:oMath>
      <w:r>
        <w:t xml:space="preserve"> </w:t>
      </w:r>
      <w:r>
        <w:t xml:space="preserve">peak. Use</w:t>
      </w:r>
      <w:r>
        <w:t xml:space="preserve"> </w:t>
      </w:r>
      <w:r>
        <w:rPr>
          <w:rStyle w:val="VerbatimChar"/>
        </w:rPr>
        <w:t xml:space="preserve">clip</w:t>
      </w:r>
      <w:r>
        <w:t xml:space="preserve"> </w:t>
      </w:r>
      <w:r>
        <w:t xml:space="preserve">for a non-edited spectrum and</w:t>
      </w:r>
      <w:r>
        <w:t xml:space="preserve"> </w:t>
      </w:r>
      <w:r>
        <w:rPr>
          <w:rStyle w:val="VerbatimChar"/>
        </w:rPr>
        <w:t xml:space="preserve">abs</w:t>
      </w:r>
      <w:r>
        <w:t xml:space="preserve"> </w:t>
      </w:r>
      <w:r>
        <w:t xml:space="preserve">for</w:t>
      </w:r>
      <w:r>
        <w:t xml:space="preserve"> </w:t>
      </w:r>
      <w:r>
        <w:t xml:space="preserve">edited data; the sparse</w:t>
      </w:r>
      <w:r>
        <w:t xml:space="preserve"> </w:t>
      </w:r>
      <m:oMath>
        <m:sSup>
          <m:e>
            <m:r>
              <m:t>​</m:t>
            </m:r>
          </m:e>
          <m:sup>
            <m:r>
              <m:t>1</m:t>
            </m:r>
          </m:sup>
        </m:sSup>
      </m:oMath>
      <w:r>
        <w:t xml:space="preserve">H–</w:t>
      </w:r>
      <m:oMath>
        <m:sSup>
          <m:e>
            <m:r>
              <m:t>​</m:t>
            </m:r>
          </m:e>
          <m:sup>
            <m:r>
              <m:t>13</m:t>
            </m:r>
          </m:sup>
        </m:sSup>
      </m:oMath>
      <w:r>
        <w:t xml:space="preserve">C benchmark renders with</w:t>
      </w:r>
      <w:r>
        <w:t xml:space="preserve"> </w:t>
      </w:r>
      <m:oMath>
        <m:r>
          <m:rPr>
            <m:sty m:val="p"/>
          </m:rPr>
          <m:t>|</m:t>
        </m:r>
      </m:oMath>
      <w:r>
        <w:t xml:space="preserve">intensity</w:t>
      </w:r>
      <m:oMath>
        <m:r>
          <m:rPr>
            <m:sty m:val="p"/>
          </m:rPr>
          <m:t>|</m:t>
        </m:r>
      </m:oMath>
      <w:r>
        <w:t xml:space="preserve"> </w:t>
      </w:r>
      <w:r>
        <w:t xml:space="preserve">for exactly this</w:t>
      </w:r>
      <w:r>
        <w:t xml:space="preserve"> </w:t>
      </w:r>
      <w:r>
        <w:t xml:space="preserve">reason (§S9).</w:t>
      </w:r>
    </w:p>
    <w:bookmarkEnd w:id="13"/>
    <w:bookmarkStart w:id="17" w:name="s2-rendering-to-a-shared-grid"/>
    <w:p>
      <w:pPr>
        <w:pStyle w:val="Heading2"/>
      </w:pPr>
      <w:r>
        <w:t xml:space="preserve">S2 Rendering to a shared grid</w:t>
      </w:r>
    </w:p>
    <w:p>
      <w:pPr>
        <w:pStyle w:val="FirstParagraph"/>
      </w:pPr>
      <w:r>
        <w:t xml:space="preserve">The window is discretized once into a fixed grid shared by</w:t>
      </w:r>
      <w:r>
        <w:t xml:space="preserve"> </w:t>
      </w:r>
      <w:r>
        <w:rPr>
          <w:b/>
          <w:bCs/>
        </w:rPr>
        <w:t xml:space="preserve">both</w:t>
      </w:r>
      <w:r>
        <w:t xml:space="preserve"> </w:t>
      </w:r>
      <w:r>
        <w:t xml:space="preserve">spectra:</w:t>
      </w:r>
      <w:r>
        <w:t xml:space="preserve"> </w:t>
      </w:r>
      <m:oMath>
        <m:r>
          <m:t>K</m:t>
        </m:r>
      </m:oMath>
      <w:r>
        <w:t xml:space="preserve"> </w:t>
      </w:r>
      <w:r>
        <w:t xml:space="preserve">bins along</w:t>
      </w:r>
      <w:r>
        <w:t xml:space="preserve"> </w:t>
      </w:r>
      <m:oMath>
        <m:r>
          <m:t>F</m:t>
        </m:r>
        <m:r>
          <m:t>1</m:t>
        </m:r>
      </m:oMath>
      <w:r>
        <w:t xml:space="preserve"> </w:t>
      </w:r>
      <w:r>
        <w:t xml:space="preserve">of width</w:t>
      </w:r>
      <w:r>
        <w:t xml:space="preserve"> </w:t>
      </w:r>
      <m:oMath>
        <m:sSub>
          <m:e>
            <m:r>
              <m:rPr>
                <m:sty m:val="p"/>
              </m:rPr>
              <m:t>Δ</m:t>
            </m:r>
          </m:e>
          <m:sub>
            <m:r>
              <m:t>1</m:t>
            </m:r>
          </m:sub>
        </m:sSub>
      </m:oMath>
      <w:r>
        <w:t xml:space="preserve"> </w:t>
      </w:r>
      <w:r>
        <w:t xml:space="preserve">(default</w:t>
      </w:r>
      <w:r>
        <w:t xml:space="preserve"> </w:t>
      </w:r>
      <w:r>
        <w:rPr>
          <w:rStyle w:val="VerbatimChar"/>
        </w:rPr>
        <w:t xml:space="preserve">step_f1</w:t>
      </w:r>
      <w:r>
        <w:t xml:space="preserve"> </w:t>
      </w:r>
      <m:oMath>
        <m:r>
          <m:rPr>
            <m:sty m:val="p"/>
          </m:rPr>
          <m:t>=</m:t>
        </m:r>
        <m:r>
          <m:t>0.10</m:t>
        </m:r>
      </m:oMath>
      <w:r>
        <w:t xml:space="preserve"> </w:t>
      </w:r>
      <w:r>
        <w:t xml:space="preserve">ppm) and</w:t>
      </w:r>
      <w:r>
        <w:t xml:space="preserve"> </w:t>
      </w:r>
      <m:oMath>
        <m:r>
          <m:t>L</m:t>
        </m:r>
      </m:oMath>
      <w:r>
        <w:t xml:space="preserve"> </w:t>
      </w:r>
      <w:r>
        <w:t xml:space="preserve">bins along</w:t>
      </w:r>
      <w:r>
        <w:t xml:space="preserve"> </w:t>
      </w:r>
      <m:oMath>
        <m:r>
          <m:t>F</m:t>
        </m:r>
        <m:r>
          <m:t>2</m:t>
        </m:r>
      </m:oMath>
      <w:r>
        <w:t xml:space="preserve"> </w:t>
      </w:r>
      <w:r>
        <w:t xml:space="preserve">of width</w:t>
      </w:r>
      <w:r>
        <w:t xml:space="preserve"> </w:t>
      </w:r>
      <m:oMath>
        <m:sSub>
          <m:e>
            <m:r>
              <m:rPr>
                <m:sty m:val="p"/>
              </m:rPr>
              <m:t>Δ</m:t>
            </m:r>
          </m:e>
          <m:sub>
            <m:r>
              <m:t>2</m:t>
            </m:r>
          </m:sub>
        </m:sSub>
      </m:oMath>
      <w:r>
        <w:t xml:space="preserve"> </w:t>
      </w:r>
      <w:r>
        <w:t xml:space="preserve">(default</w:t>
      </w:r>
      <w:r>
        <w:t xml:space="preserve"> </w:t>
      </w:r>
      <w:r>
        <w:rPr>
          <w:rStyle w:val="VerbatimChar"/>
        </w:rPr>
        <w:t xml:space="preserve">step_f2</w:t>
      </w:r>
      <w:r>
        <w:t xml:space="preserve"> </w:t>
      </w:r>
      <m:oMath>
        <m:r>
          <m:rPr>
            <m:sty m:val="p"/>
          </m:rPr>
          <m:t>=</m:t>
        </m:r>
        <m:r>
          <m:t>0.01</m:t>
        </m:r>
      </m:oMath>
      <w:r>
        <w:t xml:space="preserve"> </w:t>
      </w:r>
      <w:r>
        <w:t xml:space="preserve">ppm). Each spectrum is rendered by summing its weighted points into</w:t>
      </w:r>
      <w:r>
        <w:t xml:space="preserve"> </w:t>
      </w:r>
      <w:r>
        <w:t xml:space="preserve">cells</w:t>
      </w:r>
      <w:r>
        <w:t xml:space="preserve"> </w:t>
      </w:r>
      <m:oMath>
        <m:r>
          <m:rPr>
            <m:sty m:val="p"/>
          </m:rPr>
          <m:t>(</m:t>
        </m:r>
        <m:r>
          <m:t>k</m:t>
        </m:r>
        <m:r>
          <m:rPr>
            <m:sty m:val="p"/>
          </m:rPr>
          <m:t>,</m:t>
        </m:r>
        <m:r>
          <m:t>l</m:t>
        </m:r>
        <m:r>
          <m:rPr>
            <m:sty m:val="p"/>
          </m:rPr>
          <m:t>)</m:t>
        </m:r>
      </m:oMath>
      <w:r>
        <w:t xml:space="preserve">:</w:t>
      </w:r>
    </w:p>
    <w:p>
      <w:pPr>
        <w:pStyle w:val="BodyText"/>
      </w:pPr>
      <m:oMathPara>
        <m:oMathParaPr>
          <m:jc m:val="center"/>
        </m:oMathParaPr>
        <m:oMath>
          <m:sSub>
            <m:e>
              <m:r>
                <m:t>R</m:t>
              </m:r>
            </m:e>
            <m:sub>
              <m:r>
                <m:t>a</m:t>
              </m:r>
            </m:sub>
          </m:sSub>
          <m:r>
            <m:rPr>
              <m:sty m:val="p"/>
            </m:rPr>
            <m:t>[</m:t>
          </m:r>
          <m:r>
            <m:t>k</m:t>
          </m:r>
          <m:r>
            <m:rPr>
              <m:sty m:val="p"/>
            </m:rPr>
            <m:t>,</m:t>
          </m:r>
          <m:r>
            <m:t>l</m:t>
          </m:r>
          <m:r>
            <m:rPr>
              <m:sty m:val="p"/>
            </m:rPr>
            <m:t>]</m:t>
          </m:r>
          <m:r>
            <m:t> </m:t>
          </m:r>
          <m:r>
            <m:rPr>
              <m:sty m:val="p"/>
            </m:rPr>
            <m:t>=</m:t>
          </m:r>
          <m:r>
            <m:t>​</m:t>
          </m:r>
          <m:r>
            <m:t>​</m:t>
          </m:r>
          <m:nary>
            <m:naryPr>
              <m:chr m:val="∑"/>
              <m:limLoc m:val="undOvr"/>
              <m:subHide m:val="off"/>
              <m:supHide m:val="on"/>
            </m:naryPr>
            <m:sub>
              <m:r>
                <m:t>p</m:t>
              </m:r>
              <m:r>
                <m:t> </m:t>
              </m:r>
              <m:r>
                <m:rPr>
                  <m:sty m:val="p"/>
                </m:rPr>
                <m:t>:</m:t>
              </m:r>
              <m:r>
                <m:t> </m:t>
              </m:r>
              <m:r>
                <m:t>δ</m:t>
              </m:r>
              <m:r>
                <m:rPr>
                  <m:sty m:val="p"/>
                </m:rPr>
                <m:t>(</m:t>
              </m:r>
              <m:r>
                <m:t>p</m:t>
              </m:r>
              <m:r>
                <m:rPr>
                  <m:sty m:val="p"/>
                </m:rPr>
                <m:t>)</m:t>
              </m:r>
              <m:r>
                <m:t> </m:t>
              </m:r>
              <m:r>
                <m:rPr>
                  <m:sty m:val="p"/>
                </m:rPr>
                <m:t>∈</m:t>
              </m:r>
              <m:r>
                <m:t> </m:t>
              </m:r>
              <m:r>
                <m:rPr>
                  <m:nor/>
                  <m:sty m:val="p"/>
                </m:rPr>
                <m:t>cell</m:t>
              </m:r>
              <m:r>
                <m:rPr>
                  <m:sty m:val="p"/>
                </m:rPr>
                <m:t>(</m:t>
              </m:r>
              <m:r>
                <m:t>k</m:t>
              </m:r>
              <m:r>
                <m:rPr>
                  <m:sty m:val="p"/>
                </m:rPr>
                <m:t>,</m:t>
              </m:r>
              <m:r>
                <m:t>l</m:t>
              </m:r>
              <m:r>
                <m:rPr>
                  <m:sty m:val="p"/>
                </m:rPr>
                <m:t>)</m:t>
              </m:r>
            </m:sub>
            <m:sup>
              <m:r>
                <m:t>​</m:t>
              </m:r>
            </m:sup>
            <m:e>
              <m:r>
                <m:t>​</m:t>
              </m:r>
            </m:e>
          </m:nary>
          <m:r>
            <m:t>​</m:t>
          </m:r>
          <m:sSub>
            <m:e>
              <m:r>
                <m:t>w</m:t>
              </m:r>
            </m:e>
            <m:sub>
              <m:r>
                <m:t>a</m:t>
              </m:r>
            </m:sub>
          </m:sSub>
          <m:r>
            <m:rPr>
              <m:sty m:val="p"/>
            </m:rPr>
            <m:t>(</m:t>
          </m:r>
          <m:r>
            <m:t>p</m:t>
          </m:r>
          <m:r>
            <m:rPr>
              <m:sty m:val="p"/>
            </m:rPr>
            <m:t>)</m:t>
          </m:r>
          <m:r>
            <m:rPr>
              <m:sty m:val="p"/>
            </m:rPr>
            <m:t>,</m:t>
          </m:r>
          <m:r>
            <m:t>  </m:t>
          </m:r>
          <m:r>
            <m:t>k</m:t>
          </m:r>
          <m:r>
            <m:rPr>
              <m:sty m:val="p"/>
            </m:rPr>
            <m:t>=</m:t>
          </m:r>
          <m:r>
            <m:t>1</m:t>
          </m:r>
          <m:r>
            <m:rPr>
              <m:sty m:val="p"/>
            </m:rPr>
            <m:t>,</m:t>
          </m:r>
          <m:r>
            <m:rPr>
              <m:sty m:val="p"/>
            </m:rPr>
            <m:t>…</m:t>
          </m:r>
          <m:r>
            <m:rPr>
              <m:sty m:val="p"/>
            </m:rPr>
            <m:t>,</m:t>
          </m:r>
          <m:r>
            <m:t>K</m:t>
          </m:r>
          <m:r>
            <m:rPr>
              <m:sty m:val="p"/>
            </m:rPr>
            <m:t>,</m:t>
          </m:r>
          <m:r>
            <m:t> </m:t>
          </m:r>
          <m:r>
            <m:t> </m:t>
          </m:r>
          <m:r>
            <m:t>l</m:t>
          </m:r>
          <m:r>
            <m:rPr>
              <m:sty m:val="p"/>
            </m:rPr>
            <m:t>=</m:t>
          </m:r>
          <m:r>
            <m:t>1</m:t>
          </m:r>
          <m:r>
            <m:rPr>
              <m:sty m:val="p"/>
            </m:rPr>
            <m:t>,</m:t>
          </m:r>
          <m:r>
            <m:rPr>
              <m:sty m:val="p"/>
            </m:rPr>
            <m:t>…</m:t>
          </m:r>
          <m:r>
            <m:rPr>
              <m:sty m:val="p"/>
            </m:rPr>
            <m:t>,</m:t>
          </m:r>
          <m:r>
            <m:t>L</m:t>
          </m:r>
          <m:r>
            <m:rPr>
              <m:sty m:val="p"/>
            </m:rPr>
            <m:t>.</m:t>
          </m:r>
        </m:oMath>
      </m:oMathPara>
    </w:p>
    <w:p>
      <w:pPr>
        <w:pStyle w:val="FirstParagraph"/>
      </w:pPr>
      <w:r>
        <w:t xml:space="preserve">Rendering both spectra onto the</w:t>
      </w:r>
      <w:r>
        <w:t xml:space="preserve"> </w:t>
      </w:r>
      <w:r>
        <w:rPr>
          <w:i/>
          <w:iCs/>
        </w:rPr>
        <w:t xml:space="preserve">same</w:t>
      </w:r>
      <w:r>
        <w:t xml:space="preserve"> </w:t>
      </w:r>
      <w:r>
        <w:t xml:space="preserve">edges is what makes the two images directly comparable</w:t>
      </w:r>
      <w:r>
        <w:t xml:space="preserve"> </w:t>
      </w:r>
      <w:r>
        <w:t xml:space="preserve">regardless of their native resolutions [3].</w:t>
      </w:r>
      <w:r>
        <w:t xml:space="preserve"> </w:t>
      </w:r>
      <w:r>
        <w:rPr>
          <w:b/>
          <w:bCs/>
        </w:rPr>
        <w:t xml:space="preserve">Optional STCC intensity compression:</w:t>
      </w:r>
      <w:r>
        <w:t xml:space="preserve"> </w:t>
      </w:r>
      <w:r>
        <w:t xml:space="preserve">to stop a single</w:t>
      </w:r>
      <w:r>
        <w:t xml:space="preserve"> </w:t>
      </w:r>
      <w:r>
        <w:t xml:space="preserve">dominant amide from dominating the correlation, the rendered intensities may be raised to a power</w:t>
      </w:r>
      <w:r>
        <w:t xml:space="preserve"> </w:t>
      </w:r>
      <m:oMath>
        <m:r>
          <m:t>ρ</m:t>
        </m:r>
      </m:oMath>
      <w:r>
        <w:t xml:space="preserve"> </w:t>
      </w:r>
      <w:r>
        <w:t xml:space="preserve">(</w:t>
      </w:r>
      <w:r>
        <w:rPr>
          <w:rStyle w:val="VerbatimChar"/>
        </w:rPr>
        <w:t xml:space="preserve">--p</w:t>
      </w:r>
      <w:r>
        <w:t xml:space="preserve">, default</w:t>
      </w:r>
      <w:r>
        <w:t xml:space="preserve"> </w:t>
      </w:r>
      <m:oMath>
        <m:r>
          <m:t>ρ</m:t>
        </m:r>
        <m:r>
          <m:rPr>
            <m:sty m:val="p"/>
          </m:rPr>
          <m:t>=</m:t>
        </m:r>
        <m:r>
          <m:t>1</m:t>
        </m:r>
      </m:oMath>
      <w:r>
        <w:t xml:space="preserve">, i.e. off):</w:t>
      </w:r>
      <w:r>
        <w:t xml:space="preserve"> </w:t>
      </w:r>
      <m:oMath>
        <m:sSub>
          <m:e>
            <m:r>
              <m:t>R</m:t>
            </m:r>
          </m:e>
          <m:sub>
            <m:r>
              <m:t>a</m:t>
            </m:r>
          </m:sub>
        </m:sSub>
        <m:r>
          <m:rPr>
            <m:sty m:val="p"/>
          </m:rPr>
          <m:t>[</m:t>
        </m:r>
        <m:r>
          <m:t>k</m:t>
        </m:r>
        <m:r>
          <m:rPr>
            <m:sty m:val="p"/>
          </m:rPr>
          <m:t>,</m:t>
        </m:r>
        <m:r>
          <m:t>l</m:t>
        </m:r>
        <m:r>
          <m:rPr>
            <m:sty m:val="p"/>
          </m:rPr>
          <m:t>]</m:t>
        </m:r>
        <m:r>
          <m:rPr>
            <m:sty m:val="p"/>
          </m:rPr>
          <m:t>←</m:t>
        </m:r>
        <m:sSub>
          <m:e>
            <m:r>
              <m:t>R</m:t>
            </m:r>
          </m:e>
          <m:sub>
            <m:r>
              <m:t>a</m:t>
            </m:r>
          </m:sub>
        </m:sSub>
        <m:r>
          <m:rPr>
            <m:sty m:val="p"/>
          </m:rPr>
          <m:t>[</m:t>
        </m:r>
        <m:r>
          <m:t>k</m:t>
        </m:r>
        <m:r>
          <m:rPr>
            <m:sty m:val="p"/>
          </m:rPr>
          <m:t>,</m:t>
        </m:r>
        <m:r>
          <m:t>l</m:t>
        </m:r>
        <m:sSup>
          <m:e>
            <m:r>
              <m:rPr>
                <m:sty m:val="p"/>
              </m:rPr>
              <m:t>]</m:t>
            </m:r>
          </m:e>
          <m:sup>
            <m:r>
              <m:t>ρ</m:t>
            </m:r>
          </m:sup>
        </m:sSup>
      </m:oMath>
      <w:r>
        <w:t xml:space="preserve">. Both the</w:t>
      </w:r>
      <w:r>
        <w:t xml:space="preserve"> </w:t>
      </w:r>
      <w:r>
        <w:t xml:space="preserve">unit-mass normalization and this optional compression are the standard scaling/normalization</w:t>
      </w:r>
      <w:r>
        <w:t xml:space="preserve"> </w:t>
      </w:r>
      <w:r>
        <w:t xml:space="preserve">operations of quantitative NMR profiling [4,5]. The experimental Local-Contrast method does not</w:t>
      </w:r>
      <w:r>
        <w:t xml:space="preserve"> </w:t>
      </w:r>
      <w:r>
        <w:t xml:space="preserve">use</w:t>
      </w:r>
      <w:r>
        <w:t xml:space="preserve"> </w:t>
      </w:r>
      <w:r>
        <w:rPr>
          <w:rStyle w:val="VerbatimChar"/>
        </w:rPr>
        <w:t xml:space="preserve">--p</w:t>
      </w:r>
      <w:r>
        <w:t xml:space="preserve">; its fixed square-root transform is applied after the lineshape blur (§S4).</w:t>
      </w:r>
    </w:p>
    <w:p>
      <w:pPr>
        <w:pStyle w:val="CaptionedFigure"/>
      </w:pPr>
      <w:r>
        <w:drawing>
          <wp:inline>
            <wp:extent cx="5334000" cy="1912736"/>
            <wp:effectExtent b="0" l="0" r="0" t="0"/>
            <wp:docPr descr="Figure S2. Rendering onto a shared grid. The same four crosspeaks are recorded by two instruments at different native digital resolutions (left, fine \Delta; middle, coarse \Delta). Histogramming both onto one shared grid with identical cell edges (right) places corresponding peaks in the same cell, so the two images become directly comparable regardless of their native resolutions (Eq. S2)." title="" id="15" name="Picture"/>
            <a:graphic>
              <a:graphicData uri="http://schemas.openxmlformats.org/drawingml/2006/picture">
                <pic:pic>
                  <pic:nvPicPr>
                    <pic:cNvPr descr="../results/si_sharedgrid.png" id="16" name="Picture"/>
                    <pic:cNvPicPr>
                      <a:picLocks noChangeArrowheads="1" noChangeAspect="1"/>
                    </pic:cNvPicPr>
                  </pic:nvPicPr>
                  <pic:blipFill>
                    <a:blip r:embed="rId14"/>
                    <a:stretch>
                      <a:fillRect/>
                    </a:stretch>
                  </pic:blipFill>
                  <pic:spPr bwMode="auto">
                    <a:xfrm>
                      <a:off x="0" y="0"/>
                      <a:ext cx="5334000" cy="1912736"/>
                    </a:xfrm>
                    <a:prstGeom prst="rect">
                      <a:avLst/>
                    </a:prstGeom>
                    <a:noFill/>
                    <a:ln w="9525">
                      <a:noFill/>
                      <a:headEnd/>
                      <a:tailEnd/>
                    </a:ln>
                  </pic:spPr>
                </pic:pic>
              </a:graphicData>
            </a:graphic>
          </wp:inline>
        </w:drawing>
      </w:r>
    </w:p>
    <w:p>
      <w:pPr>
        <w:pStyle w:val="ImageCaption"/>
      </w:pPr>
      <w:r>
        <w:rPr>
          <w:b/>
          <w:bCs/>
        </w:rPr>
        <w:t xml:space="preserve">Figure S2.</w:t>
      </w:r>
      <w:r>
        <w:t xml:space="preserve"> </w:t>
      </w:r>
      <w:r>
        <w:t xml:space="preserve">Rendering onto a shared grid. The</w:t>
      </w:r>
      <w:r>
        <w:t xml:space="preserve"> </w:t>
      </w:r>
      <w:r>
        <w:rPr>
          <w:b/>
          <w:bCs/>
        </w:rPr>
        <w:t xml:space="preserve">same</w:t>
      </w:r>
      <w:r>
        <w:t xml:space="preserve"> </w:t>
      </w:r>
      <w:r>
        <w:t xml:space="preserve">four crosspeaks are recorded by two</w:t>
      </w:r>
      <w:r>
        <w:t xml:space="preserve"> </w:t>
      </w:r>
      <w:r>
        <w:t xml:space="preserve">instruments at different native digital resolutions (</w:t>
      </w:r>
      <w:r>
        <w:rPr>
          <w:b/>
          <w:bCs/>
        </w:rPr>
        <w:t xml:space="preserve">left</w:t>
      </w:r>
      <w:r>
        <w:t xml:space="preserve">, fine</w:t>
      </w:r>
      <w:r>
        <w:t xml:space="preserve"> </w:t>
      </w:r>
      <m:oMath>
        <m:r>
          <m:rPr>
            <m:sty m:val="p"/>
          </m:rPr>
          <m:t>Δ</m:t>
        </m:r>
      </m:oMath>
      <w:r>
        <w:t xml:space="preserve">;</w:t>
      </w:r>
      <w:r>
        <w:t xml:space="preserve"> </w:t>
      </w:r>
      <w:r>
        <w:rPr>
          <w:b/>
          <w:bCs/>
        </w:rPr>
        <w:t xml:space="preserve">middle</w:t>
      </w:r>
      <w:r>
        <w:t xml:space="preserve">, coarse</w:t>
      </w:r>
      <w:r>
        <w:t xml:space="preserve"> </w:t>
      </w:r>
      <m:oMath>
        <m:r>
          <m:rPr>
            <m:sty m:val="p"/>
          </m:rPr>
          <m:t>Δ</m:t>
        </m:r>
      </m:oMath>
      <w:r>
        <w:t xml:space="preserve">). Histogramming both onto one</w:t>
      </w:r>
      <w:r>
        <w:t xml:space="preserve"> </w:t>
      </w:r>
      <w:r>
        <w:rPr>
          <w:b/>
          <w:bCs/>
        </w:rPr>
        <w:t xml:space="preserve">shared</w:t>
      </w:r>
      <w:r>
        <w:t xml:space="preserve"> </w:t>
      </w:r>
      <w:r>
        <w:t xml:space="preserve">grid with identical cell edges (</w:t>
      </w:r>
      <w:r>
        <w:rPr>
          <w:b/>
          <w:bCs/>
        </w:rPr>
        <w:t xml:space="preserve">right</w:t>
      </w:r>
      <w:r>
        <w:t xml:space="preserve">) places</w:t>
      </w:r>
      <w:r>
        <w:t xml:space="preserve"> </w:t>
      </w:r>
      <w:r>
        <w:t xml:space="preserve">corresponding peaks in the</w:t>
      </w:r>
      <w:r>
        <w:t xml:space="preserve"> </w:t>
      </w:r>
      <w:r>
        <w:rPr>
          <w:b/>
          <w:bCs/>
        </w:rPr>
        <w:t xml:space="preserve">same cell</w:t>
      </w:r>
      <w:r>
        <w:t xml:space="preserve">, so the two images become directly comparable regardless of</w:t>
      </w:r>
      <w:r>
        <w:t xml:space="preserve"> </w:t>
      </w:r>
      <w:r>
        <w:t xml:space="preserve">their native resolutions (Eq. S2).</w:t>
      </w:r>
    </w:p>
    <w:bookmarkEnd w:id="17"/>
    <w:bookmarkStart w:id="21" w:name="s3-lineshape-blur"/>
    <w:p>
      <w:pPr>
        <w:pStyle w:val="Heading2"/>
      </w:pPr>
      <w:r>
        <w:t xml:space="preserve">S3 Lineshape blur</w:t>
      </w:r>
    </w:p>
    <w:p>
      <w:pPr>
        <w:pStyle w:val="FirstParagraph"/>
      </w:pPr>
      <w:r>
        <w:t xml:space="preserve">The discrete image is convolved with a separable Gaussian whose width is the physical NMR</w:t>
      </w:r>
      <w:r>
        <w:t xml:space="preserve"> </w:t>
      </w:r>
      <w:r>
        <w:t xml:space="preserve">linewidth</w:t>
      </w:r>
      <w:r>
        <w:t xml:space="preserve"> </w:t>
      </w:r>
      <w:r>
        <w:rPr>
          <w:i/>
          <w:iCs/>
        </w:rPr>
        <w:t xml:space="preserve">plus</w:t>
      </w:r>
      <w:r>
        <w:t xml:space="preserve"> </w:t>
      </w:r>
      <w:r>
        <w:t xml:space="preserve">the expected chemical-shift drift, one</w:t>
      </w:r>
      <w:r>
        <w:t xml:space="preserve"> </w:t>
      </w:r>
      <m:oMath>
        <m:r>
          <m:t>σ</m:t>
        </m:r>
      </m:oMath>
      <w:r>
        <w:t xml:space="preserve"> </w:t>
      </w:r>
      <w:r>
        <w:t xml:space="preserve">per axis:</w:t>
      </w:r>
    </w:p>
    <w:p>
      <w:pPr>
        <w:pStyle w:val="BodyText"/>
      </w:pPr>
      <m:oMathPara>
        <m:oMathParaPr>
          <m:jc m:val="center"/>
        </m:oMathParaPr>
        <m:oMath>
          <m:sSub>
            <m:e>
              <m:r>
                <m:t>σ</m:t>
              </m:r>
            </m:e>
            <m:sub>
              <m:r>
                <m:t>F</m:t>
              </m:r>
              <m:r>
                <m:t>2</m:t>
              </m:r>
            </m:sub>
          </m:sSub>
          <m:r>
            <m:rPr>
              <m:sty m:val="p"/>
            </m:rPr>
            <m:t>=</m:t>
          </m:r>
          <m:rad>
            <m:radPr>
              <m:degHide m:val="on"/>
            </m:radPr>
            <m:deg/>
            <m:e>
              <m:sSubSup>
                <m:e>
                  <m:r>
                    <m:t>ℓ</m:t>
                  </m:r>
                </m:e>
                <m:sub>
                  <m:r>
                    <m:t>F</m:t>
                  </m:r>
                  <m:r>
                    <m:t>2</m:t>
                  </m:r>
                </m:sub>
                <m:sup>
                  <m:r>
                    <m:t>2</m:t>
                  </m:r>
                </m:sup>
              </m:sSubSup>
              <m:r>
                <m:rPr>
                  <m:sty m:val="p"/>
                </m:rPr>
                <m:t>+</m:t>
              </m:r>
              <m:sSubSup>
                <m:e>
                  <m:r>
                    <m:t>d</m:t>
                  </m:r>
                </m:e>
                <m:sub>
                  <m:r>
                    <m:t>F</m:t>
                  </m:r>
                  <m:r>
                    <m:t>2</m:t>
                  </m:r>
                </m:sub>
                <m:sup>
                  <m:r>
                    <m:t>2</m:t>
                  </m:r>
                </m:sup>
              </m:sSubSup>
            </m:e>
          </m:rad>
          <m:r>
            <m:rPr>
              <m:sty m:val="p"/>
            </m:rPr>
            <m:t>,</m:t>
          </m:r>
          <m:r>
            <m:t>  </m:t>
          </m:r>
          <m:sSub>
            <m:e>
              <m:r>
                <m:t>σ</m:t>
              </m:r>
            </m:e>
            <m:sub>
              <m:r>
                <m:t>F</m:t>
              </m:r>
              <m:r>
                <m:t>1</m:t>
              </m:r>
            </m:sub>
          </m:sSub>
          <m:r>
            <m:rPr>
              <m:sty m:val="p"/>
            </m:rPr>
            <m:t>=</m:t>
          </m:r>
          <m:rad>
            <m:radPr>
              <m:degHide m:val="on"/>
            </m:radPr>
            <m:deg/>
            <m:e>
              <m:sSubSup>
                <m:e>
                  <m:r>
                    <m:t>ℓ</m:t>
                  </m:r>
                </m:e>
                <m:sub>
                  <m:r>
                    <m:t>F</m:t>
                  </m:r>
                  <m:r>
                    <m:t>1</m:t>
                  </m:r>
                </m:sub>
                <m:sup>
                  <m:r>
                    <m:t>2</m:t>
                  </m:r>
                </m:sup>
              </m:sSubSup>
              <m:r>
                <m:rPr>
                  <m:sty m:val="p"/>
                </m:rPr>
                <m:t>+</m:t>
              </m:r>
              <m:sSubSup>
                <m:e>
                  <m:r>
                    <m:t>d</m:t>
                  </m:r>
                </m:e>
                <m:sub>
                  <m:r>
                    <m:t>F</m:t>
                  </m:r>
                  <m:r>
                    <m:t>1</m:t>
                  </m:r>
                </m:sub>
                <m:sup>
                  <m:r>
                    <m:t>2</m:t>
                  </m:r>
                </m:sup>
              </m:sSubSup>
            </m:e>
          </m:rad>
          <m:r>
            <m:rPr>
              <m:sty m:val="p"/>
            </m:rPr>
            <m:t>,</m:t>
          </m:r>
        </m:oMath>
      </m:oMathPara>
    </w:p>
    <w:p>
      <w:pPr>
        <w:pStyle w:val="FirstParagraph"/>
      </w:pPr>
      <w:r>
        <w:t xml:space="preserve">with linewidth</w:t>
      </w:r>
      <w:r>
        <w:t xml:space="preserve"> </w:t>
      </w:r>
      <m:oMath>
        <m:r>
          <m:t>ℓ</m:t>
        </m:r>
      </m:oMath>
      <w:r>
        <w:t xml:space="preserve"> </w:t>
      </w:r>
      <w:r>
        <w:t xml:space="preserve">and expected drift</w:t>
      </w:r>
      <w:r>
        <w:t xml:space="preserve"> </w:t>
      </w:r>
      <m:oMath>
        <m:r>
          <m:t>d</m:t>
        </m:r>
      </m:oMath>
      <w:r>
        <w:t xml:space="preserve"> </w:t>
      </w:r>
      <w:r>
        <w:t xml:space="preserve">(defaults</w:t>
      </w:r>
      <w:r>
        <w:t xml:space="preserve"> </w:t>
      </w:r>
      <m:oMath>
        <m:sSub>
          <m:e>
            <m:r>
              <m:t>σ</m:t>
            </m:r>
          </m:e>
          <m:sub>
            <m:r>
              <m:t>F</m:t>
            </m:r>
            <m:r>
              <m:t>2</m:t>
            </m:r>
          </m:sub>
        </m:sSub>
        <m:r>
          <m:rPr>
            <m:sty m:val="p"/>
          </m:rPr>
          <m:t>=</m:t>
        </m:r>
        <m:r>
          <m:t>0.03</m:t>
        </m:r>
      </m:oMath>
      <w:r>
        <w:t xml:space="preserve">,</w:t>
      </w:r>
      <w:r>
        <w:t xml:space="preserve"> </w:t>
      </w:r>
      <m:oMath>
        <m:sSub>
          <m:e>
            <m:r>
              <m:t>σ</m:t>
            </m:r>
          </m:e>
          <m:sub>
            <m:r>
              <m:t>F</m:t>
            </m:r>
            <m:r>
              <m:t>1</m:t>
            </m:r>
          </m:sub>
        </m:sSub>
        <m:r>
          <m:rPr>
            <m:sty m:val="p"/>
          </m:rPr>
          <m:t>=</m:t>
        </m:r>
        <m:r>
          <m:t>0.30</m:t>
        </m:r>
      </m:oMath>
      <w:r>
        <w:t xml:space="preserve"> </w:t>
      </w:r>
      <w:r>
        <w:t xml:space="preserve">ppm for</w:t>
      </w:r>
      <w:r>
        <w:t xml:space="preserve"> </w:t>
      </w:r>
      <m:oMath>
        <m:sSup>
          <m:e>
            <m:r>
              <m:t>​</m:t>
            </m:r>
          </m:e>
          <m:sup>
            <m:r>
              <m:t>1</m:t>
            </m:r>
          </m:sup>
        </m:sSup>
      </m:oMath>
      <w:r>
        <w:t xml:space="preserve">H–</w:t>
      </w:r>
      <m:oMath>
        <m:sSup>
          <m:e>
            <m:r>
              <m:t>​</m:t>
            </m:r>
          </m:e>
          <m:sup>
            <m:r>
              <m:t>15</m:t>
            </m:r>
          </m:sup>
        </m:sSup>
      </m:oMath>
      <w:r>
        <w:t xml:space="preserve">N). The 1-D kernel, with</w:t>
      </w:r>
      <w:r>
        <w:t xml:space="preserve"> </w:t>
      </w:r>
      <m:oMath>
        <m:r>
          <m:t>s</m:t>
        </m:r>
        <m:r>
          <m:rPr>
            <m:sty m:val="p"/>
          </m:rPr>
          <m:t>=</m:t>
        </m:r>
        <m:r>
          <m:t>σ</m:t>
        </m:r>
        <m:r>
          <m:rPr>
            <m:sty m:val="p"/>
          </m:rPr>
          <m:t>/</m:t>
        </m:r>
        <m:r>
          <m:rPr>
            <m:sty m:val="p"/>
          </m:rPr>
          <m:t>Δ</m:t>
        </m:r>
      </m:oMath>
      <w:r>
        <w:t xml:space="preserve"> </w:t>
      </w:r>
      <w:r>
        <w:t xml:space="preserve">the width</w:t>
      </w:r>
      <w:r>
        <w:t xml:space="preserve"> </w:t>
      </w:r>
      <w:r>
        <w:t xml:space="preserve">in pixels and radius</w:t>
      </w:r>
      <w:r>
        <w:t xml:space="preserve"> </w:t>
      </w:r>
      <m:oMath>
        <m:r>
          <m:t>r</m:t>
        </m:r>
        <m:r>
          <m:rPr>
            <m:sty m:val="p"/>
          </m:rPr>
          <m:t>=</m:t>
        </m:r>
        <m:r>
          <m:rPr>
            <m:sty m:val="p"/>
          </m:rPr>
          <m:t>⌈</m:t>
        </m:r>
        <m:r>
          <m:t>3</m:t>
        </m:r>
        <m:r>
          <m:t>s</m:t>
        </m:r>
        <m:r>
          <m:rPr>
            <m:sty m:val="p"/>
          </m:rPr>
          <m:t>⌉</m:t>
        </m:r>
      </m:oMath>
      <w:r>
        <w:t xml:space="preserve">, is</w:t>
      </w:r>
    </w:p>
    <w:p>
      <w:pPr>
        <w:pStyle w:val="BodyText"/>
      </w:pPr>
      <m:oMathPara>
        <m:oMathParaPr>
          <m:jc m:val="center"/>
        </m:oMathParaPr>
        <m:oMath>
          <m:sSub>
            <m:e>
              <m:r>
                <m:t>g</m:t>
              </m:r>
            </m:e>
            <m:sub>
              <m:r>
                <m:t>σ</m:t>
              </m:r>
            </m:sub>
          </m:sSub>
          <m:r>
            <m:rPr>
              <m:sty m:val="p"/>
            </m:rPr>
            <m:t>(</m:t>
          </m:r>
          <m:r>
            <m:t>m</m:t>
          </m:r>
          <m:r>
            <m:rPr>
              <m:sty m:val="p"/>
            </m:rPr>
            <m:t>)</m:t>
          </m:r>
          <m:r>
            <m:t> </m:t>
          </m:r>
          <m:r>
            <m:rPr>
              <m:sty m:val="p"/>
            </m:rPr>
            <m:t>=</m:t>
          </m:r>
          <m:r>
            <m:t> </m:t>
          </m:r>
          <m:f>
            <m:fPr>
              <m:type m:val="bar"/>
            </m:fPr>
            <m:num>
              <m:r>
                <m:rPr>
                  <m:sty m:val="p"/>
                </m:rPr>
                <m:t>exp</m:t>
              </m:r>
              <m:r>
                <m:t>​</m:t>
              </m:r>
              <m:d>
                <m:dPr>
                  <m:begChr m:val="("/>
                  <m:sepChr m:val=""/>
                  <m:endChr m:val=")"/>
                  <m:grow/>
                </m:dPr>
                <m:e>
                  <m:r>
                    <m:rPr>
                      <m:sty m:val="p"/>
                    </m:rPr>
                    <m:t>−</m:t>
                  </m:r>
                  <m:sSup>
                    <m:e>
                      <m:r>
                        <m:t>m</m:t>
                      </m:r>
                    </m:e>
                    <m:sup>
                      <m:r>
                        <m:t>2</m:t>
                      </m:r>
                    </m:sup>
                  </m:sSup>
                  <m:r>
                    <m:rPr>
                      <m:sty m:val="p"/>
                    </m:rPr>
                    <m:t>/</m:t>
                  </m:r>
                  <m:r>
                    <m:t>2</m:t>
                  </m:r>
                  <m:sSup>
                    <m:e>
                      <m:r>
                        <m:t>s</m:t>
                      </m:r>
                    </m:e>
                    <m:sup>
                      <m:r>
                        <m:t>2</m:t>
                      </m:r>
                    </m:sup>
                  </m:sSup>
                </m:e>
              </m:d>
            </m:num>
            <m:den>
              <m:nary>
                <m:naryPr>
                  <m:chr m:val="∑"/>
                  <m:limLoc m:val="undOvr"/>
                  <m:subHide m:val="off"/>
                  <m:supHide m:val="off"/>
                </m:naryPr>
                <m:sub>
                  <m:sSup>
                    <m:e>
                      <m:r>
                        <m:t>m</m:t>
                      </m:r>
                    </m:e>
                    <m:sup>
                      <m:r>
                        <m:rPr>
                          <m:sty m:val="p"/>
                        </m:rPr>
                        <m:t>′</m:t>
                      </m:r>
                    </m:sup>
                  </m:sSup>
                  <m:r>
                    <m:rPr>
                      <m:sty m:val="p"/>
                    </m:rPr>
                    <m:t>=</m:t>
                  </m:r>
                  <m:r>
                    <m:rPr>
                      <m:sty m:val="p"/>
                    </m:rPr>
                    <m:t>−</m:t>
                  </m:r>
                  <m:r>
                    <m:t>r</m:t>
                  </m:r>
                </m:sub>
                <m:sup>
                  <m:r>
                    <m:t>r</m:t>
                  </m:r>
                </m:sup>
                <m:e>
                  <m:r>
                    <m:rPr>
                      <m:sty m:val="p"/>
                    </m:rPr>
                    <m:t>exp</m:t>
                  </m:r>
                </m:e>
              </m:nary>
              <m:r>
                <m:t>​</m:t>
              </m:r>
              <m:d>
                <m:dPr>
                  <m:begChr m:val="("/>
                  <m:sepChr m:val=""/>
                  <m:endChr m:val=")"/>
                  <m:grow/>
                </m:dPr>
                <m:e>
                  <m:r>
                    <m:rPr>
                      <m:sty m:val="p"/>
                    </m:rPr>
                    <m:t>−</m:t>
                  </m:r>
                  <m:sSup>
                    <m:e>
                      <m:r>
                        <m:t>m</m:t>
                      </m:r>
                    </m:e>
                    <m:sup>
                      <m:r>
                        <m:rPr>
                          <m:sty m:val="p"/>
                        </m:rPr>
                        <m:t>′</m:t>
                      </m:r>
                    </m:sup>
                  </m:sSup>
                  <m:sSup>
                    <m:e>
                      <m:r>
                        <m:t>​</m:t>
                      </m:r>
                    </m:e>
                    <m:sup>
                      <m:r>
                        <m:t>2</m:t>
                      </m:r>
                    </m:sup>
                  </m:sSup>
                  <m:r>
                    <m:rPr>
                      <m:sty m:val="p"/>
                    </m:rPr>
                    <m:t>/</m:t>
                  </m:r>
                  <m:r>
                    <m:t>2</m:t>
                  </m:r>
                  <m:sSup>
                    <m:e>
                      <m:r>
                        <m:t>s</m:t>
                      </m:r>
                    </m:e>
                    <m:sup>
                      <m:r>
                        <m:t>2</m:t>
                      </m:r>
                    </m:sup>
                  </m:sSup>
                </m:e>
              </m:d>
            </m:den>
          </m:f>
          <m:r>
            <m:rPr>
              <m:sty m:val="p"/>
            </m:rPr>
            <m:t>,</m:t>
          </m:r>
          <m:r>
            <m:t>  </m:t>
          </m:r>
          <m:r>
            <m:t>m</m:t>
          </m:r>
          <m:r>
            <m:rPr>
              <m:sty m:val="p"/>
            </m:rPr>
            <m:t>=</m:t>
          </m:r>
          <m:r>
            <m:rPr>
              <m:sty m:val="p"/>
            </m:rPr>
            <m:t>−</m:t>
          </m:r>
          <m:r>
            <m:t>r</m:t>
          </m:r>
          <m:r>
            <m:rPr>
              <m:sty m:val="p"/>
            </m:rPr>
            <m:t>,</m:t>
          </m:r>
          <m:r>
            <m:rPr>
              <m:sty m:val="p"/>
            </m:rPr>
            <m:t>…</m:t>
          </m:r>
          <m:r>
            <m:rPr>
              <m:sty m:val="p"/>
            </m:rPr>
            <m:t>,</m:t>
          </m:r>
          <m:r>
            <m:t>r</m:t>
          </m:r>
          <m:r>
            <m:rPr>
              <m:sty m:val="p"/>
            </m:rPr>
            <m:t>,</m:t>
          </m:r>
        </m:oMath>
      </m:oMathPara>
    </w:p>
    <w:p>
      <w:pPr>
        <w:pStyle w:val="FirstParagraph"/>
      </w:pPr>
      <w:r>
        <w:t xml:space="preserve">and the blurred (</w:t>
      </w:r>
      <w:r>
        <w:t xml:space="preserve">“lineshape-rendered”</w:t>
      </w:r>
      <w:r>
        <w:t xml:space="preserve">) image is the separable convolution</w:t>
      </w:r>
    </w:p>
    <w:p>
      <w:pPr>
        <w:pStyle w:val="BodyText"/>
      </w:pPr>
      <m:oMathPara>
        <m:oMathParaPr>
          <m:jc m:val="center"/>
        </m:oMathParaPr>
        <m:oMath>
          <m:sSub>
            <m:e>
              <m:r>
                <m:t>G</m:t>
              </m:r>
            </m:e>
            <m:sub>
              <m:r>
                <m:t>a</m:t>
              </m:r>
            </m:sub>
          </m:sSub>
          <m:r>
            <m:t> </m:t>
          </m:r>
          <m:r>
            <m:rPr>
              <m:sty m:val="p"/>
            </m:rPr>
            <m:t>=</m:t>
          </m:r>
          <m:r>
            <m:t> </m:t>
          </m:r>
          <m:sSub>
            <m:e>
              <m:r>
                <m:t>g</m:t>
              </m:r>
            </m:e>
            <m:sub>
              <m:sSub>
                <m:e>
                  <m:r>
                    <m:t>σ</m:t>
                  </m:r>
                </m:e>
                <m:sub>
                  <m:r>
                    <m:t>F</m:t>
                  </m:r>
                  <m:r>
                    <m:t>1</m:t>
                  </m:r>
                </m:sub>
              </m:sSub>
            </m:sub>
          </m:sSub>
          <m:r>
            <m:t> </m:t>
          </m:r>
          <m:sSub>
            <m:e>
              <m:r>
                <m:rPr>
                  <m:sty m:val="p"/>
                </m:rPr>
                <m:t>*</m:t>
              </m:r>
            </m:e>
            <m:sub>
              <m:r>
                <m:t>F</m:t>
              </m:r>
              <m:r>
                <m:t>1</m:t>
              </m:r>
            </m:sub>
          </m:sSub>
          <m:r>
            <m:t> </m:t>
          </m:r>
          <m:d>
            <m:dPr>
              <m:begChr m:val="("/>
              <m:sepChr m:val=""/>
              <m:endChr m:val=")"/>
              <m:grow/>
            </m:dPr>
            <m:e>
              <m:r>
                <m:t> </m:t>
              </m:r>
              <m:sSub>
                <m:e>
                  <m:r>
                    <m:t>g</m:t>
                  </m:r>
                </m:e>
                <m:sub>
                  <m:sSub>
                    <m:e>
                      <m:r>
                        <m:t>σ</m:t>
                      </m:r>
                    </m:e>
                    <m:sub>
                      <m:r>
                        <m:t>F</m:t>
                      </m:r>
                      <m:r>
                        <m:t>2</m:t>
                      </m:r>
                    </m:sub>
                  </m:sSub>
                </m:sub>
              </m:sSub>
              <m:r>
                <m:t> </m:t>
              </m:r>
              <m:sSub>
                <m:e>
                  <m:r>
                    <m:rPr>
                      <m:sty m:val="p"/>
                    </m:rPr>
                    <m:t>*</m:t>
                  </m:r>
                </m:e>
                <m:sub>
                  <m:r>
                    <m:t>F</m:t>
                  </m:r>
                  <m:r>
                    <m:t>2</m:t>
                  </m:r>
                </m:sub>
              </m:sSub>
              <m:r>
                <m:t> </m:t>
              </m:r>
              <m:sSub>
                <m:e>
                  <m:r>
                    <m:t>R</m:t>
                  </m:r>
                </m:e>
                <m:sub>
                  <m:r>
                    <m:t>a</m:t>
                  </m:r>
                </m:sub>
              </m:sSub>
              <m:r>
                <m:t> </m:t>
              </m:r>
            </m:e>
          </m:d>
          <m:r>
            <m:rPr>
              <m:sty m:val="p"/>
            </m:rPr>
            <m:t>.</m:t>
          </m:r>
        </m:oMath>
      </m:oMathPara>
    </w:p>
    <w:p>
      <w:pPr>
        <w:pStyle w:val="FirstParagraph"/>
      </w:pPr>
      <w:r>
        <w:t xml:space="preserve">The continuous Gaussian is precisely what replaces the bin method’s</w:t>
      </w:r>
      <w:r>
        <w:t xml:space="preserve"> </w:t>
      </w:r>
      <w:r>
        <w:rPr>
          <w:i/>
          <w:iCs/>
        </w:rPr>
        <w:t xml:space="preserve">hard</w:t>
      </w:r>
      <w:r>
        <w:t xml:space="preserve"> </w:t>
      </w:r>
      <w:r>
        <w:t xml:space="preserve">bin edges with a</w:t>
      </w:r>
      <w:r>
        <w:t xml:space="preserve"> </w:t>
      </w:r>
      <w:r>
        <w:rPr>
          <w:i/>
          <w:iCs/>
        </w:rPr>
        <w:t xml:space="preserve">soft</w:t>
      </w:r>
      <w:r>
        <w:t xml:space="preserve"> </w:t>
      </w:r>
      <w:r>
        <w:t xml:space="preserve">response (see §S6).</w:t>
      </w:r>
    </w:p>
    <w:p>
      <w:pPr>
        <w:pStyle w:val="CaptionedFigure"/>
      </w:pPr>
      <w:r>
        <w:drawing>
          <wp:inline>
            <wp:extent cx="5334000" cy="2198376"/>
            <wp:effectExtent b="0" l="0" r="0" t="0"/>
            <wp:docPr descr="Figure S3. The lineshape blur width. (a) Each axis blur \sigma combines the physical NMR linewidth \ell and the expected chemical-shift drift d in quadrature, \sigma=\sqrt{\ell^2+d^2} (Eq. S3). (b) Convolving a rendered peak (a spike) with this Gaussian sets the shift-tolerance scale: a larger \sigma (linewidth plus drift) tolerates a larger displacement than the linewidth alone would." title="" id="19" name="Picture"/>
            <a:graphic>
              <a:graphicData uri="http://schemas.openxmlformats.org/drawingml/2006/picture">
                <pic:pic>
                  <pic:nvPicPr>
                    <pic:cNvPr descr="../results/si_blur.png" id="20" name="Picture"/>
                    <pic:cNvPicPr>
                      <a:picLocks noChangeArrowheads="1" noChangeAspect="1"/>
                    </pic:cNvPicPr>
                  </pic:nvPicPr>
                  <pic:blipFill>
                    <a:blip r:embed="rId18"/>
                    <a:stretch>
                      <a:fillRect/>
                    </a:stretch>
                  </pic:blipFill>
                  <pic:spPr bwMode="auto">
                    <a:xfrm>
                      <a:off x="0" y="0"/>
                      <a:ext cx="5334000" cy="2198376"/>
                    </a:xfrm>
                    <a:prstGeom prst="rect">
                      <a:avLst/>
                    </a:prstGeom>
                    <a:noFill/>
                    <a:ln w="9525">
                      <a:noFill/>
                      <a:headEnd/>
                      <a:tailEnd/>
                    </a:ln>
                  </pic:spPr>
                </pic:pic>
              </a:graphicData>
            </a:graphic>
          </wp:inline>
        </w:drawing>
      </w:r>
    </w:p>
    <w:p>
      <w:pPr>
        <w:pStyle w:val="ImageCaption"/>
      </w:pPr>
      <w:r>
        <w:rPr>
          <w:b/>
          <w:bCs/>
        </w:rPr>
        <w:t xml:space="preserve">Figure S3.</w:t>
      </w:r>
      <w:r>
        <w:t xml:space="preserve"> </w:t>
      </w:r>
      <w:r>
        <w:t xml:space="preserve">The lineshape blur width.</w:t>
      </w:r>
      <w:r>
        <w:t xml:space="preserve"> </w:t>
      </w:r>
      <w:r>
        <w:rPr>
          <w:b/>
          <w:bCs/>
        </w:rPr>
        <w:t xml:space="preserve">(a)</w:t>
      </w:r>
      <w:r>
        <w:t xml:space="preserve"> </w:t>
      </w:r>
      <w:r>
        <w:t xml:space="preserve">Each axis blur</w:t>
      </w:r>
      <w:r>
        <w:t xml:space="preserve"> </w:t>
      </w:r>
      <m:oMath>
        <m:r>
          <m:t>σ</m:t>
        </m:r>
      </m:oMath>
      <w:r>
        <w:t xml:space="preserve"> </w:t>
      </w:r>
      <w:r>
        <w:t xml:space="preserve">combines the physical NMR</w:t>
      </w:r>
      <w:r>
        <w:t xml:space="preserve"> </w:t>
      </w:r>
      <w:r>
        <w:t xml:space="preserve">linewidth</w:t>
      </w:r>
      <w:r>
        <w:t xml:space="preserve"> </w:t>
      </w:r>
      <m:oMath>
        <m:r>
          <m:t>ℓ</m:t>
        </m:r>
      </m:oMath>
      <w:r>
        <w:t xml:space="preserve"> </w:t>
      </w:r>
      <w:r>
        <w:t xml:space="preserve">and the expected chemical-shift drift</w:t>
      </w:r>
      <w:r>
        <w:t xml:space="preserve"> </w:t>
      </w:r>
      <m:oMath>
        <m:r>
          <m:t>d</m:t>
        </m:r>
      </m:oMath>
      <w:r>
        <w:t xml:space="preserve"> </w:t>
      </w:r>
      <w:r>
        <w:t xml:space="preserve">in</w:t>
      </w:r>
      <w:r>
        <w:t xml:space="preserve"> </w:t>
      </w:r>
      <w:r>
        <w:rPr>
          <w:b/>
          <w:bCs/>
        </w:rPr>
        <w:t xml:space="preserve">quadrature</w:t>
      </w:r>
      <w:r>
        <w:t xml:space="preserve">,</w:t>
      </w:r>
      <w:r>
        <w:t xml:space="preserve"> </w:t>
      </w:r>
      <m:oMath>
        <m:r>
          <m:t>σ</m:t>
        </m:r>
        <m:r>
          <m:rPr>
            <m:sty m:val="p"/>
          </m:rPr>
          <m:t>=</m:t>
        </m:r>
        <m:rad>
          <m:radPr>
            <m:degHide m:val="on"/>
          </m:radPr>
          <m:deg/>
          <m:e>
            <m:sSup>
              <m:e>
                <m:r>
                  <m:t>ℓ</m:t>
                </m:r>
              </m:e>
              <m:sup>
                <m:r>
                  <m:t>2</m:t>
                </m:r>
              </m:sup>
            </m:sSup>
            <m:r>
              <m:rPr>
                <m:sty m:val="p"/>
              </m:rPr>
              <m:t>+</m:t>
            </m:r>
            <m:sSup>
              <m:e>
                <m:r>
                  <m:t>d</m:t>
                </m:r>
              </m:e>
              <m:sup>
                <m:r>
                  <m:t>2</m:t>
                </m:r>
              </m:sup>
            </m:sSup>
          </m:e>
        </m:rad>
      </m:oMath>
      <w:r>
        <w:t xml:space="preserve"> </w:t>
      </w:r>
      <w:r>
        <w:t xml:space="preserve">(Eq. S3).</w:t>
      </w:r>
      <w:r>
        <w:t xml:space="preserve"> </w:t>
      </w:r>
      <w:r>
        <w:rPr>
          <w:b/>
          <w:bCs/>
        </w:rPr>
        <w:t xml:space="preserve">(b)</w:t>
      </w:r>
      <w:r>
        <w:t xml:space="preserve"> </w:t>
      </w:r>
      <w:r>
        <w:t xml:space="preserve">Convolving a rendered peak (a spike) with this Gaussian</w:t>
      </w:r>
      <w:r>
        <w:t xml:space="preserve"> </w:t>
      </w:r>
      <w:r>
        <w:t xml:space="preserve">sets the shift-tolerance scale: a larger</w:t>
      </w:r>
      <w:r>
        <w:t xml:space="preserve"> </w:t>
      </w:r>
      <m:oMath>
        <m:r>
          <m:t>σ</m:t>
        </m:r>
      </m:oMath>
      <w:r>
        <w:t xml:space="preserve"> </w:t>
      </w:r>
      <w:r>
        <w:t xml:space="preserve">(linewidth</w:t>
      </w:r>
      <w:r>
        <w:t xml:space="preserve"> </w:t>
      </w:r>
      <w:r>
        <w:rPr>
          <w:i/>
          <w:iCs/>
        </w:rPr>
        <w:t xml:space="preserve">plus</w:t>
      </w:r>
      <w:r>
        <w:t xml:space="preserve"> </w:t>
      </w:r>
      <w:r>
        <w:t xml:space="preserve">drift) tolerates a larger</w:t>
      </w:r>
      <w:r>
        <w:t xml:space="preserve"> </w:t>
      </w:r>
      <w:r>
        <w:t xml:space="preserve">displacement than the linewidth alone would.</w:t>
      </w:r>
    </w:p>
    <w:bookmarkEnd w:id="21"/>
    <w:bookmarkStart w:id="26" w:name="Xf6680a427d6473f4733af2f8e10f4b8e877a666"/>
    <w:p>
      <w:pPr>
        <w:pStyle w:val="Heading2"/>
      </w:pPr>
      <w:r>
        <w:t xml:space="preserve">S4 Mean-centring, the STCC score and experimental Local Contrast</w:t>
      </w:r>
    </w:p>
    <w:p>
      <w:pPr>
        <w:pStyle w:val="FirstParagraph"/>
      </w:pPr>
      <w:r>
        <w:t xml:space="preserve">Each image is centred by subtracting its global mean</w:t>
      </w:r>
    </w:p>
    <w:p>
      <w:pPr>
        <w:pStyle w:val="BodyText"/>
      </w:pPr>
      <m:oMathPara>
        <m:oMathParaPr>
          <m:jc m:val="center"/>
        </m:oMathParaPr>
        <m:oMath>
          <m:sSub>
            <m:e>
              <m:acc>
                <m:accPr>
                  <m:chr m:val="‾"/>
                </m:accPr>
                <m:e>
                  <m:r>
                    <m:t>G</m:t>
                  </m:r>
                </m:e>
              </m:acc>
            </m:e>
            <m:sub>
              <m:r>
                <m:t>a</m:t>
              </m:r>
            </m:sub>
          </m:sSub>
          <m:r>
            <m:rPr>
              <m:sty m:val="p"/>
            </m:rPr>
            <m:t>=</m:t>
          </m:r>
          <m:f>
            <m:fPr>
              <m:type m:val="bar"/>
            </m:fPr>
            <m:num>
              <m:r>
                <m:t>1</m:t>
              </m:r>
            </m:num>
            <m:den>
              <m:r>
                <m:t>K</m:t>
              </m:r>
              <m:r>
                <m:t>L</m:t>
              </m:r>
            </m:den>
          </m:f>
          <m:nary>
            <m:naryPr>
              <m:chr m:val="∑"/>
              <m:limLoc m:val="undOvr"/>
              <m:subHide m:val="off"/>
              <m:supHide m:val="on"/>
            </m:naryPr>
            <m:sub>
              <m:r>
                <m:t>k</m:t>
              </m:r>
              <m:r>
                <m:rPr>
                  <m:sty m:val="p"/>
                </m:rPr>
                <m:t>,</m:t>
              </m:r>
              <m:r>
                <m:t>l</m:t>
              </m:r>
            </m:sub>
            <m:sup>
              <m:r>
                <m:t>​</m:t>
              </m:r>
            </m:sup>
            <m:e>
              <m:sSub>
                <m:e>
                  <m:r>
                    <m:t>G</m:t>
                  </m:r>
                </m:e>
                <m:sub>
                  <m:r>
                    <m:t>a</m:t>
                  </m:r>
                </m:sub>
              </m:sSub>
            </m:e>
          </m:nary>
          <m:r>
            <m:rPr>
              <m:sty m:val="p"/>
            </m:rPr>
            <m:t>[</m:t>
          </m:r>
          <m:r>
            <m:t>k</m:t>
          </m:r>
          <m:r>
            <m:rPr>
              <m:sty m:val="p"/>
            </m:rPr>
            <m:t>,</m:t>
          </m:r>
          <m:r>
            <m:t>l</m:t>
          </m:r>
          <m:r>
            <m:rPr>
              <m:sty m:val="p"/>
            </m:rPr>
            <m:t>]</m:t>
          </m:r>
          <m:r>
            <m:rPr>
              <m:sty m:val="p"/>
            </m:rPr>
            <m:t>,</m:t>
          </m:r>
          <m:r>
            <m:t>  </m:t>
          </m:r>
          <m:sSub>
            <m:e>
              <m:acc>
                <m:accPr>
                  <m:chr m:val="̂"/>
                </m:accPr>
                <m:e>
                  <m:r>
                    <m:t>G</m:t>
                  </m:r>
                </m:e>
              </m:acc>
            </m:e>
            <m:sub>
              <m:r>
                <m:t>a</m:t>
              </m:r>
            </m:sub>
          </m:sSub>
          <m:r>
            <m:rPr>
              <m:sty m:val="p"/>
            </m:rPr>
            <m:t>[</m:t>
          </m:r>
          <m:r>
            <m:t>k</m:t>
          </m:r>
          <m:r>
            <m:rPr>
              <m:sty m:val="p"/>
            </m:rPr>
            <m:t>,</m:t>
          </m:r>
          <m:r>
            <m:t>l</m:t>
          </m:r>
          <m:r>
            <m:rPr>
              <m:sty m:val="p"/>
            </m:rPr>
            <m:t>]</m:t>
          </m:r>
          <m:r>
            <m:rPr>
              <m:sty m:val="p"/>
            </m:rPr>
            <m:t>=</m:t>
          </m:r>
          <m:sSub>
            <m:e>
              <m:r>
                <m:t>G</m:t>
              </m:r>
            </m:e>
            <m:sub>
              <m:r>
                <m:t>a</m:t>
              </m:r>
            </m:sub>
          </m:sSub>
          <m:r>
            <m:rPr>
              <m:sty m:val="p"/>
            </m:rPr>
            <m:t>[</m:t>
          </m:r>
          <m:r>
            <m:t>k</m:t>
          </m:r>
          <m:r>
            <m:rPr>
              <m:sty m:val="p"/>
            </m:rPr>
            <m:t>,</m:t>
          </m:r>
          <m:r>
            <m:t>l</m:t>
          </m:r>
          <m:r>
            <m:rPr>
              <m:sty m:val="p"/>
            </m:rPr>
            <m:t>]</m:t>
          </m:r>
          <m:r>
            <m:rPr>
              <m:sty m:val="p"/>
            </m:rPr>
            <m:t>−</m:t>
          </m:r>
          <m:sSub>
            <m:e>
              <m:acc>
                <m:accPr>
                  <m:chr m:val="‾"/>
                </m:accPr>
                <m:e>
                  <m:r>
                    <m:t>G</m:t>
                  </m:r>
                </m:e>
              </m:acc>
            </m:e>
            <m:sub>
              <m:r>
                <m:t>a</m:t>
              </m:r>
            </m:sub>
          </m:sSub>
          <m:r>
            <m:rPr>
              <m:sty m:val="p"/>
            </m:rPr>
            <m:t>,</m:t>
          </m:r>
        </m:oMath>
      </m:oMathPara>
    </w:p>
    <w:p>
      <w:pPr>
        <w:pStyle w:val="FirstParagraph"/>
      </w:pPr>
      <w:r>
        <w:t xml:space="preserve">and the similarity is the mean-centred normalized cross-correlation at</w:t>
      </w:r>
      <w:r>
        <w:t xml:space="preserve"> </w:t>
      </w:r>
      <w:r>
        <w:rPr>
          <w:b/>
          <w:bCs/>
        </w:rPr>
        <w:t xml:space="preserve">zero lag</w:t>
      </w:r>
      <w:r>
        <w:t xml:space="preserve"> </w:t>
      </w:r>
      <w:r>
        <w:t xml:space="preserve">(the Pearson</w:t>
      </w:r>
      <w:r>
        <w:t xml:space="preserve"> </w:t>
      </w:r>
      <w:r>
        <w:t xml:space="preserve">correlation coefficient of the two flattened images), clamped to</w:t>
      </w:r>
      <w:r>
        <w:t xml:space="preserve"> </w:t>
      </w:r>
      <m:oMath>
        <m:r>
          <m:rPr>
            <m:sty m:val="p"/>
          </m:rPr>
          <m:t>[</m:t>
        </m:r>
        <m:r>
          <m:t>0</m:t>
        </m:r>
        <m:r>
          <m:rPr>
            <m:sty m:val="p"/>
          </m:rPr>
          <m:t>,</m:t>
        </m:r>
        <m:r>
          <m:t>1</m:t>
        </m:r>
        <m:r>
          <m:rPr>
            <m:sty m:val="p"/>
          </m:rPr>
          <m:t>]</m:t>
        </m:r>
      </m:oMath>
      <w:r>
        <w:t xml:space="preserve">:</w:t>
      </w:r>
    </w:p>
    <w:p>
      <w:pPr>
        <w:pStyle w:val="BodyText"/>
      </w:pPr>
      <m:oMathPara>
        <m:oMathParaPr>
          <m:jc m:val="center"/>
        </m:oMathParaPr>
        <m:oMath>
          <m:borderBox>
            <m:e>
              <m:r>
                <m:t> </m:t>
              </m:r>
              <m:r>
                <m:t>S</m:t>
              </m:r>
              <m:r>
                <m:rPr>
                  <m:sty m:val="p"/>
                </m:rPr>
                <m:t>(</m:t>
              </m:r>
              <m:r>
                <m:t>x</m:t>
              </m:r>
              <m:r>
                <m:rPr>
                  <m:sty m:val="p"/>
                </m:rPr>
                <m:t>,</m:t>
              </m:r>
              <m:r>
                <m:t>y</m:t>
              </m:r>
              <m:r>
                <m:rPr>
                  <m:sty m:val="p"/>
                </m:rPr>
                <m:t>)</m:t>
              </m:r>
              <m:r>
                <m:t> </m:t>
              </m:r>
              <m:r>
                <m:rPr>
                  <m:sty m:val="p"/>
                </m:rPr>
                <m:t>=</m:t>
              </m:r>
              <m:r>
                <m:t> </m:t>
              </m:r>
              <m:r>
                <m:rPr>
                  <m:sty m:val="p"/>
                </m:rPr>
                <m:t>max</m:t>
              </m:r>
              <m:r>
                <m:t>​</m:t>
              </m:r>
              <m:d>
                <m:dPr>
                  <m:begChr m:val="("/>
                  <m:sepChr m:val=""/>
                  <m:endChr m:val=")"/>
                  <m:grow/>
                </m:dPr>
                <m:e>
                  <m:r>
                    <m:t>0</m:t>
                  </m:r>
                  <m:r>
                    <m:rPr>
                      <m:sty m:val="p"/>
                    </m:rPr>
                    <m:t>,</m:t>
                  </m:r>
                  <m:r>
                    <m:t> </m:t>
                  </m:r>
                  <m:f>
                    <m:fPr>
                      <m:type m:val="bar"/>
                    </m:fPr>
                    <m:num>
                      <m:nary>
                        <m:naryPr>
                          <m:chr m:val="∑"/>
                          <m:limLoc m:val="undOvr"/>
                          <m:subHide m:val="off"/>
                          <m:supHide m:val="on"/>
                        </m:naryPr>
                        <m:sub>
                          <m:r>
                            <m:t>k</m:t>
                          </m:r>
                          <m:r>
                            <m:rPr>
                              <m:sty m:val="p"/>
                            </m:rPr>
                            <m:t>,</m:t>
                          </m:r>
                          <m:r>
                            <m:t>l</m:t>
                          </m:r>
                        </m:sub>
                        <m:sup>
                          <m:r>
                            <m:t>​</m:t>
                          </m:r>
                        </m:sup>
                        <m:e>
                          <m:sSub>
                            <m:e>
                              <m:acc>
                                <m:accPr>
                                  <m:chr m:val="̂"/>
                                </m:accPr>
                                <m:e>
                                  <m:r>
                                    <m:t>G</m:t>
                                  </m:r>
                                </m:e>
                              </m:acc>
                            </m:e>
                            <m:sub>
                              <m:r>
                                <m:t>x</m:t>
                              </m:r>
                            </m:sub>
                          </m:sSub>
                        </m:e>
                      </m:nary>
                      <m:r>
                        <m:rPr>
                          <m:sty m:val="p"/>
                        </m:rPr>
                        <m:t>[</m:t>
                      </m:r>
                      <m:r>
                        <m:t>k</m:t>
                      </m:r>
                      <m:r>
                        <m:rPr>
                          <m:sty m:val="p"/>
                        </m:rPr>
                        <m:t>,</m:t>
                      </m:r>
                      <m:r>
                        <m:t>l</m:t>
                      </m:r>
                      <m:r>
                        <m:rPr>
                          <m:sty m:val="p"/>
                        </m:rPr>
                        <m:t>]</m:t>
                      </m:r>
                      <m:r>
                        <m:t> </m:t>
                      </m:r>
                      <m:sSub>
                        <m:e>
                          <m:acc>
                            <m:accPr>
                              <m:chr m:val="̂"/>
                            </m:accPr>
                            <m:e>
                              <m:r>
                                <m:t>G</m:t>
                              </m:r>
                            </m:e>
                          </m:acc>
                        </m:e>
                        <m:sub>
                          <m:r>
                            <m:t>y</m:t>
                          </m:r>
                        </m:sub>
                      </m:sSub>
                      <m:r>
                        <m:rPr>
                          <m:sty m:val="p"/>
                        </m:rPr>
                        <m:t>[</m:t>
                      </m:r>
                      <m:r>
                        <m:t>k</m:t>
                      </m:r>
                      <m:r>
                        <m:rPr>
                          <m:sty m:val="p"/>
                        </m:rPr>
                        <m:t>,</m:t>
                      </m:r>
                      <m:r>
                        <m:t>l</m:t>
                      </m:r>
                      <m:r>
                        <m:rPr>
                          <m:sty m:val="p"/>
                        </m:rPr>
                        <m:t>]</m:t>
                      </m:r>
                    </m:num>
                    <m:den>
                      <m:rad>
                        <m:radPr>
                          <m:degHide m:val="on"/>
                        </m:radPr>
                        <m:deg/>
                        <m:e>
                          <m:nary>
                            <m:naryPr>
                              <m:chr m:val="∑"/>
                              <m:limLoc m:val="undOvr"/>
                              <m:subHide m:val="off"/>
                              <m:supHide m:val="on"/>
                            </m:naryPr>
                            <m:sub>
                              <m:r>
                                <m:t>k</m:t>
                              </m:r>
                              <m:r>
                                <m:rPr>
                                  <m:sty m:val="p"/>
                                </m:rPr>
                                <m:t>,</m:t>
                              </m:r>
                              <m:r>
                                <m:t>l</m:t>
                              </m:r>
                            </m:sub>
                            <m:sup>
                              <m:r>
                                <m:t>​</m:t>
                              </m:r>
                            </m:sup>
                            <m:e>
                              <m:sSub>
                                <m:e>
                                  <m:acc>
                                    <m:accPr>
                                      <m:chr m:val="̂"/>
                                    </m:accPr>
                                    <m:e>
                                      <m:r>
                                        <m:t>G</m:t>
                                      </m:r>
                                    </m:e>
                                  </m:acc>
                                </m:e>
                                <m:sub>
                                  <m:r>
                                    <m:t>x</m:t>
                                  </m:r>
                                </m:sub>
                              </m:sSub>
                            </m:e>
                          </m:nary>
                          <m:r>
                            <m:rPr>
                              <m:sty m:val="p"/>
                            </m:rPr>
                            <m:t>[</m:t>
                          </m:r>
                          <m:r>
                            <m:t>k</m:t>
                          </m:r>
                          <m:r>
                            <m:rPr>
                              <m:sty m:val="p"/>
                            </m:rPr>
                            <m:t>,</m:t>
                          </m:r>
                          <m:r>
                            <m:t>l</m:t>
                          </m:r>
                          <m:sSup>
                            <m:e>
                              <m:r>
                                <m:rPr>
                                  <m:sty m:val="p"/>
                                </m:rPr>
                                <m:t>]</m:t>
                              </m:r>
                            </m:e>
                            <m:sup>
                              <m:r>
                                <m:t>2</m:t>
                              </m:r>
                            </m:sup>
                          </m:sSup>
                        </m:e>
                      </m:rad>
                      <m:r>
                        <m:t> </m:t>
                      </m:r>
                      <m:rad>
                        <m:radPr>
                          <m:degHide m:val="on"/>
                        </m:radPr>
                        <m:deg/>
                        <m:e>
                          <m:nary>
                            <m:naryPr>
                              <m:chr m:val="∑"/>
                              <m:limLoc m:val="undOvr"/>
                              <m:subHide m:val="off"/>
                              <m:supHide m:val="on"/>
                            </m:naryPr>
                            <m:sub>
                              <m:r>
                                <m:t>k</m:t>
                              </m:r>
                              <m:r>
                                <m:rPr>
                                  <m:sty m:val="p"/>
                                </m:rPr>
                                <m:t>,</m:t>
                              </m:r>
                              <m:r>
                                <m:t>l</m:t>
                              </m:r>
                            </m:sub>
                            <m:sup>
                              <m:r>
                                <m:t>​</m:t>
                              </m:r>
                            </m:sup>
                            <m:e>
                              <m:sSub>
                                <m:e>
                                  <m:acc>
                                    <m:accPr>
                                      <m:chr m:val="̂"/>
                                    </m:accPr>
                                    <m:e>
                                      <m:r>
                                        <m:t>G</m:t>
                                      </m:r>
                                    </m:e>
                                  </m:acc>
                                </m:e>
                                <m:sub>
                                  <m:r>
                                    <m:t>y</m:t>
                                  </m:r>
                                </m:sub>
                              </m:sSub>
                            </m:e>
                          </m:nary>
                          <m:r>
                            <m:rPr>
                              <m:sty m:val="p"/>
                            </m:rPr>
                            <m:t>[</m:t>
                          </m:r>
                          <m:r>
                            <m:t>k</m:t>
                          </m:r>
                          <m:r>
                            <m:rPr>
                              <m:sty m:val="p"/>
                            </m:rPr>
                            <m:t>,</m:t>
                          </m:r>
                          <m:r>
                            <m:t>l</m:t>
                          </m:r>
                          <m:sSup>
                            <m:e>
                              <m:r>
                                <m:rPr>
                                  <m:sty m:val="p"/>
                                </m:rPr>
                                <m:t>]</m:t>
                              </m:r>
                            </m:e>
                            <m:sup>
                              <m:r>
                                <m:t>2</m:t>
                              </m:r>
                            </m:sup>
                          </m:sSup>
                        </m:e>
                      </m:rad>
                    </m:den>
                  </m:f>
                </m:e>
              </m:d>
              <m:r>
                <m:t> </m:t>
              </m:r>
            </m:e>
          </m:borderBox>
        </m:oMath>
      </m:oMathPara>
    </w:p>
    <w:p>
      <w:pPr>
        <w:pStyle w:val="FirstParagraph"/>
      </w:pPr>
      <w:r>
        <w:t xml:space="preserve">No shift search / alignment is performed — this is deliberate (§S6c).</w:t>
      </w:r>
    </w:p>
    <w:p>
      <w:pPr>
        <w:pStyle w:val="CaptionedFigure"/>
      </w:pPr>
      <w:r>
        <w:drawing>
          <wp:inline>
            <wp:extent cx="5334000" cy="3278062"/>
            <wp:effectExtent b="0" l="0" r="0" t="0"/>
            <wp:docPr descr="Figure S4. The four STCC steps end to end, on a toy pair. A reference X and a same-compound copy Y with a small titration drift are each (1) rendered as area-weighted points on a single shared grid, (2) blurred by the physical linewidth (a separable Gaussian), and (3) mean-centred (red = above the image mean, blue = below). (4) The similarity is the sum of the elementwise product \widehat{G}_X\!\cdot\widehat{G}_Y (normalized): co-located intensity gives a positive (red) product and drives the score up, so this same-compound pair scores S = 0.76. No shift search is performed — the images are correlated at zero lag." title="" id="23" name="Picture"/>
            <a:graphic>
              <a:graphicData uri="http://schemas.openxmlformats.org/drawingml/2006/picture">
                <pic:pic>
                  <pic:nvPicPr>
                    <pic:cNvPr descr="../results/si_pipeline.png" id="24" name="Picture"/>
                    <pic:cNvPicPr>
                      <a:picLocks noChangeArrowheads="1" noChangeAspect="1"/>
                    </pic:cNvPicPr>
                  </pic:nvPicPr>
                  <pic:blipFill>
                    <a:blip r:embed="rId22"/>
                    <a:stretch>
                      <a:fillRect/>
                    </a:stretch>
                  </pic:blipFill>
                  <pic:spPr bwMode="auto">
                    <a:xfrm>
                      <a:off x="0" y="0"/>
                      <a:ext cx="5334000" cy="3278062"/>
                    </a:xfrm>
                    <a:prstGeom prst="rect">
                      <a:avLst/>
                    </a:prstGeom>
                    <a:noFill/>
                    <a:ln w="9525">
                      <a:noFill/>
                      <a:headEnd/>
                      <a:tailEnd/>
                    </a:ln>
                  </pic:spPr>
                </pic:pic>
              </a:graphicData>
            </a:graphic>
          </wp:inline>
        </w:drawing>
      </w:r>
    </w:p>
    <w:p>
      <w:pPr>
        <w:pStyle w:val="ImageCaption"/>
      </w:pPr>
      <w:r>
        <w:rPr>
          <w:b/>
          <w:bCs/>
        </w:rPr>
        <w:t xml:space="preserve">Figure S4.</w:t>
      </w:r>
      <w:r>
        <w:t xml:space="preserve"> </w:t>
      </w:r>
      <w:r>
        <w:t xml:space="preserve">The four STCC steps end to end, on a toy pair. A reference</w:t>
      </w:r>
      <w:r>
        <w:t xml:space="preserve"> </w:t>
      </w:r>
      <m:oMath>
        <m:r>
          <m:t>X</m:t>
        </m:r>
      </m:oMath>
      <w:r>
        <w:t xml:space="preserve"> </w:t>
      </w:r>
      <w:r>
        <w:t xml:space="preserve">and a same-compound</w:t>
      </w:r>
      <w:r>
        <w:t xml:space="preserve"> </w:t>
      </w:r>
      <w:r>
        <w:t xml:space="preserve">copy</w:t>
      </w:r>
      <w:r>
        <w:t xml:space="preserve"> </w:t>
      </w:r>
      <m:oMath>
        <m:r>
          <m:t>Y</m:t>
        </m:r>
      </m:oMath>
      <w:r>
        <w:t xml:space="preserve"> </w:t>
      </w:r>
      <w:r>
        <w:t xml:space="preserve">with a small titration drift are each (1) rendered as area-weighted points on a single</w:t>
      </w:r>
      <w:r>
        <w:t xml:space="preserve"> </w:t>
      </w:r>
      <w:r>
        <w:rPr>
          <w:b/>
          <w:bCs/>
        </w:rPr>
        <w:t xml:space="preserve">shared grid</w:t>
      </w:r>
      <w:r>
        <w:t xml:space="preserve">, (2) blurred by the physical linewidth (a separable Gaussian), and (3) mean-centred</w:t>
      </w:r>
      <w:r>
        <w:t xml:space="preserve"> </w:t>
      </w:r>
      <w:r>
        <w:t xml:space="preserve">(red</w:t>
      </w:r>
      <w:r>
        <w:t xml:space="preserve"> </w:t>
      </w:r>
      <m:oMath>
        <m:r>
          <m:rPr>
            <m:sty m:val="p"/>
          </m:rPr>
          <m:t>=</m:t>
        </m:r>
      </m:oMath>
      <w:r>
        <w:t xml:space="preserve"> </w:t>
      </w:r>
      <w:r>
        <w:t xml:space="preserve">above the image mean, blue</w:t>
      </w:r>
      <w:r>
        <w:t xml:space="preserve"> </w:t>
      </w:r>
      <m:oMath>
        <m:r>
          <m:rPr>
            <m:sty m:val="p"/>
          </m:rPr>
          <m:t>=</m:t>
        </m:r>
      </m:oMath>
      <w:r>
        <w:t xml:space="preserve"> </w:t>
      </w:r>
      <w:r>
        <w:t xml:space="preserve">below). (4) The similarity is the sum of the elementwise</w:t>
      </w:r>
      <w:r>
        <w:t xml:space="preserve"> </w:t>
      </w:r>
      <w:r>
        <w:t xml:space="preserve">product</w:t>
      </w:r>
      <w:r>
        <w:t xml:space="preserve"> </w:t>
      </w:r>
      <m:oMath>
        <m:sSub>
          <m:e>
            <m:acc>
              <m:accPr>
                <m:chr m:val="̂"/>
              </m:accPr>
              <m:e>
                <m:r>
                  <m:t>G</m:t>
                </m:r>
              </m:e>
            </m:acc>
          </m:e>
          <m:sub>
            <m:r>
              <m:t>X</m:t>
            </m:r>
          </m:sub>
        </m:sSub>
        <m:r>
          <m:t>​</m:t>
        </m:r>
        <m:r>
          <m:rPr>
            <m:sty m:val="p"/>
          </m:rPr>
          <m:t>⋅</m:t>
        </m:r>
        <m:sSub>
          <m:e>
            <m:acc>
              <m:accPr>
                <m:chr m:val="̂"/>
              </m:accPr>
              <m:e>
                <m:r>
                  <m:t>G</m:t>
                </m:r>
              </m:e>
            </m:acc>
          </m:e>
          <m:sub>
            <m:r>
              <m:t>Y</m:t>
            </m:r>
          </m:sub>
        </m:sSub>
      </m:oMath>
      <w:r>
        <w:t xml:space="preserve"> </w:t>
      </w:r>
      <w:r>
        <w:t xml:space="preserve">(normalized): co-located intensity gives a</w:t>
      </w:r>
      <w:r>
        <w:t xml:space="preserve"> </w:t>
      </w:r>
      <w:r>
        <w:rPr>
          <w:b/>
          <w:bCs/>
        </w:rPr>
        <w:t xml:space="preserve">positive</w:t>
      </w:r>
      <w:r>
        <w:t xml:space="preserve"> </w:t>
      </w:r>
      <w:r>
        <w:t xml:space="preserve">(red) product and drives the score up, so this same-compound pair scores</w:t>
      </w:r>
      <w:r>
        <w:t xml:space="preserve"> </w:t>
      </w:r>
      <m:oMath>
        <m:r>
          <m:t>S</m:t>
        </m:r>
        <m:r>
          <m:rPr>
            <m:sty m:val="p"/>
          </m:rPr>
          <m:t>=</m:t>
        </m:r>
        <m:r>
          <m:t>0.76</m:t>
        </m:r>
      </m:oMath>
      <w:r>
        <w:t xml:space="preserve">. No shift search</w:t>
      </w:r>
      <w:r>
        <w:t xml:space="preserve"> </w:t>
      </w:r>
      <w:r>
        <w:t xml:space="preserve">is performed — the images are correlated at zero lag.</w:t>
      </w:r>
    </w:p>
    <w:bookmarkStart w:id="25" w:name="experimental-local-contrast-feature"/>
    <w:p>
      <w:pPr>
        <w:pStyle w:val="Heading3"/>
      </w:pPr>
      <w:r>
        <w:t xml:space="preserve">Experimental Local-Contrast feature</w:t>
      </w:r>
    </w:p>
    <w:p>
      <w:pPr>
        <w:pStyle w:val="FirstParagraph"/>
      </w:pPr>
      <w:r>
        <w:t xml:space="preserve">The experimental candidate reuses the completed STCC render</w:t>
      </w:r>
      <w:r>
        <w:t xml:space="preserve"> </w:t>
      </w:r>
      <m:oMath>
        <m:sSub>
          <m:e>
            <m:r>
              <m:t>G</m:t>
            </m:r>
          </m:e>
          <m:sub>
            <m:r>
              <m:t>a</m:t>
            </m:r>
          </m:sub>
        </m:sSub>
      </m:oMath>
      <w:r>
        <w:t xml:space="preserve"> </w:t>
      </w:r>
      <w:r>
        <w:t xml:space="preserve">from Eq. S5. It compresses the</w:t>
      </w:r>
      <w:r>
        <w:t xml:space="preserve"> </w:t>
      </w:r>
      <w:r>
        <w:t xml:space="preserve">dynamic range, estimates a broad local background with a Gaussian three times wider than the STCC</w:t>
      </w:r>
      <w:r>
        <w:t xml:space="preserve"> </w:t>
      </w:r>
      <w:r>
        <w:t xml:space="preserve">lineshape blur on each axis, and subtracts that background:</w:t>
      </w:r>
    </w:p>
    <w:p>
      <w:pPr>
        <w:pStyle w:val="BodyText"/>
      </w:pPr>
      <m:oMathPara>
        <m:oMathParaPr>
          <m:jc m:val="center"/>
        </m:oMathParaPr>
        <m:oMath>
          <m:sSub>
            <m:e>
              <m:r>
                <m:t>H</m:t>
              </m:r>
            </m:e>
            <m:sub>
              <m:r>
                <m:t>a</m:t>
              </m:r>
            </m:sub>
          </m:sSub>
          <m:r>
            <m:rPr>
              <m:sty m:val="p"/>
            </m:rPr>
            <m:t>=</m:t>
          </m:r>
          <m:rad>
            <m:radPr>
              <m:degHide m:val="on"/>
            </m:radPr>
            <m:deg/>
            <m:e>
              <m:r>
                <m:rPr>
                  <m:sty m:val="p"/>
                </m:rPr>
                <m:t>max</m:t>
              </m:r>
              <m:r>
                <m:rPr>
                  <m:sty m:val="p"/>
                </m:rPr>
                <m:t>(</m:t>
              </m:r>
              <m:sSub>
                <m:e>
                  <m:r>
                    <m:t>G</m:t>
                  </m:r>
                </m:e>
                <m:sub>
                  <m:r>
                    <m:t>a</m:t>
                  </m:r>
                </m:sub>
              </m:sSub>
              <m:r>
                <m:rPr>
                  <m:sty m:val="p"/>
                </m:rPr>
                <m:t>,</m:t>
              </m:r>
              <m:r>
                <m:t>0</m:t>
              </m:r>
              <m:r>
                <m:rPr>
                  <m:sty m:val="p"/>
                </m:rPr>
                <m:t>)</m:t>
              </m:r>
            </m:e>
          </m:rad>
          <m:r>
            <m:rPr>
              <m:sty m:val="p"/>
            </m:rPr>
            <m:t>,</m:t>
          </m:r>
          <m:r>
            <m:t>  </m:t>
          </m:r>
          <m:sSub>
            <m:e>
              <m:r>
                <m:t>B</m:t>
              </m:r>
            </m:e>
            <m:sub>
              <m:r>
                <m:t>a</m:t>
              </m:r>
            </m:sub>
          </m:sSub>
          <m:r>
            <m:rPr>
              <m:sty m:val="p"/>
            </m:rPr>
            <m:t>=</m:t>
          </m:r>
          <m:sSub>
            <m:e>
              <m:r>
                <m:t>g</m:t>
              </m:r>
            </m:e>
            <m:sub>
              <m:r>
                <m:t>3</m:t>
              </m:r>
              <m:sSub>
                <m:e>
                  <m:r>
                    <m:t>σ</m:t>
                  </m:r>
                </m:e>
                <m:sub>
                  <m:r>
                    <m:t>F</m:t>
                  </m:r>
                  <m:r>
                    <m:t>1</m:t>
                  </m:r>
                </m:sub>
              </m:sSub>
            </m:sub>
          </m:sSub>
          <m:sSub>
            <m:e>
              <m:r>
                <m:rPr>
                  <m:sty m:val="p"/>
                </m:rPr>
                <m:t>*</m:t>
              </m:r>
            </m:e>
            <m:sub>
              <m:r>
                <m:t>F</m:t>
              </m:r>
              <m:r>
                <m:t>1</m:t>
              </m:r>
            </m:sub>
          </m:sSub>
          <m:d>
            <m:dPr>
              <m:begChr m:val="("/>
              <m:sepChr m:val=""/>
              <m:endChr m:val=")"/>
              <m:grow/>
            </m:dPr>
            <m:e>
              <m:sSub>
                <m:e>
                  <m:r>
                    <m:t>g</m:t>
                  </m:r>
                </m:e>
                <m:sub>
                  <m:r>
                    <m:t>3</m:t>
                  </m:r>
                  <m:sSub>
                    <m:e>
                      <m:r>
                        <m:t>σ</m:t>
                      </m:r>
                    </m:e>
                    <m:sub>
                      <m:r>
                        <m:t>F</m:t>
                      </m:r>
                      <m:r>
                        <m:t>2</m:t>
                      </m:r>
                    </m:sub>
                  </m:sSub>
                </m:sub>
              </m:sSub>
              <m:sSub>
                <m:e>
                  <m:r>
                    <m:rPr>
                      <m:sty m:val="p"/>
                    </m:rPr>
                    <m:t>*</m:t>
                  </m:r>
                </m:e>
                <m:sub>
                  <m:r>
                    <m:t>F</m:t>
                  </m:r>
                  <m:r>
                    <m:t>2</m:t>
                  </m:r>
                </m:sub>
              </m:sSub>
              <m:sSub>
                <m:e>
                  <m:r>
                    <m:t>H</m:t>
                  </m:r>
                </m:e>
                <m:sub>
                  <m:r>
                    <m:t>a</m:t>
                  </m:r>
                </m:sub>
              </m:sSub>
            </m:e>
          </m:d>
          <m:r>
            <m:rPr>
              <m:sty m:val="p"/>
            </m:rPr>
            <m:t>,</m:t>
          </m:r>
          <m:r>
            <m:t>  </m:t>
          </m:r>
          <m:sSub>
            <m:e>
              <m:r>
                <m:t>F</m:t>
              </m:r>
            </m:e>
            <m:sub>
              <m:r>
                <m:t>a</m:t>
              </m:r>
            </m:sub>
          </m:sSub>
          <m:r>
            <m:rPr>
              <m:sty m:val="p"/>
            </m:rPr>
            <m:t>=</m:t>
          </m:r>
          <m:sSub>
            <m:e>
              <m:r>
                <m:t>H</m:t>
              </m:r>
            </m:e>
            <m:sub>
              <m:r>
                <m:t>a</m:t>
              </m:r>
            </m:sub>
          </m:sSub>
          <m:r>
            <m:rPr>
              <m:sty m:val="p"/>
            </m:rPr>
            <m:t>−</m:t>
          </m:r>
          <m:sSub>
            <m:e>
              <m:r>
                <m:t>B</m:t>
              </m:r>
            </m:e>
            <m:sub>
              <m:r>
                <m:t>a</m:t>
              </m:r>
            </m:sub>
          </m:sSub>
          <m:r>
            <m:rPr>
              <m:sty m:val="p"/>
            </m:rPr>
            <m:t>.</m:t>
          </m:r>
        </m:oMath>
      </m:oMathPara>
    </w:p>
    <w:p>
      <w:pPr>
        <w:pStyle w:val="FirstParagraph"/>
      </w:pPr>
      <w:r>
        <w:t xml:space="preserve">The Local-Contrast similarity is the un-centred cosine of the two signed feature images at zero</w:t>
      </w:r>
      <w:r>
        <w:t xml:space="preserve"> </w:t>
      </w:r>
      <w:r>
        <w:t xml:space="preserve">lag, clipped to</w:t>
      </w:r>
      <w:r>
        <w:t xml:space="preserve"> </w:t>
      </w:r>
      <m:oMath>
        <m:r>
          <m:rPr>
            <m:sty m:val="p"/>
          </m:rPr>
          <m:t>[</m:t>
        </m:r>
        <m:r>
          <m:t>0</m:t>
        </m:r>
        <m:r>
          <m:rPr>
            <m:sty m:val="p"/>
          </m:rPr>
          <m:t>,</m:t>
        </m:r>
        <m:r>
          <m:t>1</m:t>
        </m:r>
        <m:r>
          <m:rPr>
            <m:sty m:val="p"/>
          </m:rPr>
          <m:t>]</m:t>
        </m:r>
      </m:oMath>
      <w:r>
        <w:t xml:space="preserve">:</w:t>
      </w:r>
    </w:p>
    <w:p>
      <w:pPr>
        <w:pStyle w:val="BodyText"/>
      </w:pPr>
      <m:oMathPara>
        <m:oMathParaPr>
          <m:jc m:val="center"/>
        </m:oMathParaPr>
        <m:oMath>
          <m:sSub>
            <m:e>
              <m:r>
                <m:t>S</m:t>
              </m:r>
            </m:e>
            <m:sub>
              <m:r>
                <m:rPr>
                  <m:sty m:val="p"/>
                </m:rPr>
                <m:t>L</m:t>
              </m:r>
              <m:r>
                <m:rPr>
                  <m:sty m:val="p"/>
                </m:rPr>
                <m:t>C</m:t>
              </m:r>
            </m:sub>
          </m:sSub>
          <m:r>
            <m:rPr>
              <m:sty m:val="p"/>
            </m:rPr>
            <m:t>(</m:t>
          </m:r>
          <m:r>
            <m:t>x</m:t>
          </m:r>
          <m:r>
            <m:rPr>
              <m:sty m:val="p"/>
            </m:rPr>
            <m:t>,</m:t>
          </m:r>
          <m:r>
            <m:t>y</m:t>
          </m:r>
          <m:r>
            <m:rPr>
              <m:sty m:val="p"/>
            </m:rPr>
            <m:t>)</m:t>
          </m:r>
          <m:r>
            <m:rPr>
              <m:sty m:val="p"/>
            </m:rPr>
            <m:t>=</m:t>
          </m:r>
          <m:r>
            <m:rPr>
              <m:sty m:val="p"/>
            </m:rPr>
            <m:t>clip</m:t>
          </m:r>
          <m:r>
            <m:t>​</m:t>
          </m:r>
          <m:d>
            <m:dPr>
              <m:begChr m:val="("/>
              <m:sepChr m:val=""/>
              <m:endChr m:val=")"/>
              <m:grow/>
            </m:dPr>
            <m:e>
              <m:f>
                <m:fPr>
                  <m:type m:val="bar"/>
                </m:fPr>
                <m:num>
                  <m:r>
                    <m:rPr>
                      <m:sty m:val="p"/>
                    </m:rPr>
                    <m:t>⟨</m:t>
                  </m:r>
                  <m:sSub>
                    <m:e>
                      <m:r>
                        <m:t>F</m:t>
                      </m:r>
                    </m:e>
                    <m:sub>
                      <m:r>
                        <m:t>x</m:t>
                      </m:r>
                    </m:sub>
                  </m:sSub>
                  <m:r>
                    <m:rPr>
                      <m:sty m:val="p"/>
                    </m:rPr>
                    <m:t>,</m:t>
                  </m:r>
                  <m:sSub>
                    <m:e>
                      <m:r>
                        <m:t>F</m:t>
                      </m:r>
                    </m:e>
                    <m:sub>
                      <m:r>
                        <m:t>y</m:t>
                      </m:r>
                    </m:sub>
                  </m:sSub>
                  <m:r>
                    <m:rPr>
                      <m:sty m:val="p"/>
                    </m:rPr>
                    <m:t>⟩</m:t>
                  </m:r>
                </m:num>
                <m:den>
                  <m:d>
                    <m:dPr>
                      <m:begChr m:val="‖"/>
                      <m:sepChr m:val=""/>
                      <m:endChr m:val="‖"/>
                      <m:grow/>
                    </m:dPr>
                    <m:e>
                      <m:sSub>
                        <m:e>
                          <m:r>
                            <m:t>F</m:t>
                          </m:r>
                        </m:e>
                        <m:sub>
                          <m:r>
                            <m:t>x</m:t>
                          </m:r>
                        </m:sub>
                      </m:sSub>
                    </m:e>
                  </m:d>
                  <m:d>
                    <m:dPr>
                      <m:begChr m:val="‖"/>
                      <m:sepChr m:val=""/>
                      <m:endChr m:val="‖"/>
                      <m:grow/>
                    </m:dPr>
                    <m:e>
                      <m:sSub>
                        <m:e>
                          <m:r>
                            <m:t>F</m:t>
                          </m:r>
                        </m:e>
                        <m:sub>
                          <m:r>
                            <m:t>y</m:t>
                          </m:r>
                        </m:sub>
                      </m:sSub>
                    </m:e>
                  </m:d>
                </m:den>
              </m:f>
              <m:r>
                <m:rPr>
                  <m:sty m:val="p"/>
                </m:rPr>
                <m:t>,</m:t>
              </m:r>
              <m:r>
                <m:t>0</m:t>
              </m:r>
              <m:r>
                <m:rPr>
                  <m:sty m:val="p"/>
                </m:rPr>
                <m:t>,</m:t>
              </m:r>
              <m:r>
                <m:t>1</m:t>
              </m:r>
            </m:e>
          </m:d>
          <m:r>
            <m:rPr>
              <m:sty m:val="p"/>
            </m:rPr>
            <m:t>.</m:t>
          </m:r>
        </m:oMath>
      </m:oMathPara>
    </w:p>
    <w:p>
      <w:pPr>
        <w:pStyle w:val="FirstParagraph"/>
      </w:pPr>
      <w:r>
        <w:t xml:space="preserve">If either feature norm is zero, the score is 0. The background factor 3 and square-root transform</w:t>
      </w:r>
      <w:r>
        <w:t xml:space="preserve"> </w:t>
      </w:r>
      <w:r>
        <w:t xml:space="preserve">are fixed by design and are not new tuning options. The candidate preserves the same fixed ppm</w:t>
      </w:r>
      <w:r>
        <w:t xml:space="preserve"> </w:t>
      </w:r>
      <w:r>
        <w:t xml:space="preserve">window, physical STCC blur, grid and zero-lag comparison; it adds no peak picking, alignment,</w:t>
      </w:r>
      <w:r>
        <w:t xml:space="preserve"> </w:t>
      </w:r>
      <w:r>
        <w:t xml:space="preserve">dependency or fitted model. Square-root intensity weighting has precedent in spectral-library</w:t>
      </w:r>
      <w:r>
        <w:t xml:space="preserve"> </w:t>
      </w:r>
      <w:r>
        <w:t xml:space="preserve">search [38], but that precedent is a design rationale rather than direct evidence of NMR performance;</w:t>
      </w:r>
      <w:r>
        <w:t xml:space="preserve"> </w:t>
      </w:r>
      <w:r>
        <w:t xml:space="preserve">the evidence here is restricted to the two repository benchmarks.</w:t>
      </w:r>
    </w:p>
    <w:bookmarkEnd w:id="25"/>
    <w:bookmarkEnd w:id="26"/>
    <w:bookmarkStart w:id="27" w:name="s5-properties"/>
    <w:p>
      <w:pPr>
        <w:pStyle w:val="Heading2"/>
      </w:pPr>
      <w:r>
        <w:t xml:space="preserve">S5 Properties</w:t>
      </w:r>
    </w:p>
    <w:p>
      <w:pPr>
        <w:pStyle w:val="FirstParagraph"/>
      </w:pPr>
      <w:r>
        <w:rPr>
          <w:b/>
          <w:bCs/>
        </w:rPr>
        <w:t xml:space="preserve">Self-similarity is exactly 1.</w:t>
      </w:r>
      <w:r>
        <w:t xml:space="preserve"> </w:t>
      </w:r>
      <w:r>
        <w:t xml:space="preserve">For</w:t>
      </w:r>
      <w:r>
        <w:t xml:space="preserve"> </w:t>
      </w:r>
      <m:oMath>
        <m:r>
          <m:t>y</m:t>
        </m:r>
        <m:r>
          <m:rPr>
            <m:sty m:val="p"/>
          </m:rPr>
          <m:t>=</m:t>
        </m:r>
        <m:r>
          <m:t>x</m:t>
        </m:r>
      </m:oMath>
      <w:r>
        <w:t xml:space="preserve"> </w:t>
      </w:r>
      <w:r>
        <w:t xml:space="preserve">the numerator and each factor of the denominator</w:t>
      </w:r>
      <w:r>
        <w:t xml:space="preserve"> </w:t>
      </w:r>
      <w:r>
        <w:t xml:space="preserve">are the same sum</w:t>
      </w:r>
      <w:r>
        <w:t xml:space="preserve"> </w:t>
      </w:r>
      <m:oMath>
        <m:sSup>
          <m:e>
            <m:d>
              <m:dPr>
                <m:begChr m:val="‖"/>
                <m:sepChr m:val=""/>
                <m:endChr m:val="‖"/>
                <m:grow/>
              </m:dPr>
              <m:e>
                <m:sSub>
                  <m:e>
                    <m:acc>
                      <m:accPr>
                        <m:chr m:val="̂"/>
                      </m:accPr>
                      <m:e>
                        <m:r>
                          <m:t>G</m:t>
                        </m:r>
                      </m:e>
                    </m:acc>
                  </m:e>
                  <m:sub>
                    <m:r>
                      <m:t>x</m:t>
                    </m:r>
                  </m:sub>
                </m:sSub>
              </m:e>
            </m:d>
          </m:e>
          <m:sup>
            <m:r>
              <m:t>2</m:t>
            </m:r>
          </m:sup>
        </m:sSup>
      </m:oMath>
      <w:r>
        <w:t xml:space="preserve">, so</w:t>
      </w:r>
    </w:p>
    <w:p>
      <w:pPr>
        <w:pStyle w:val="BodyText"/>
      </w:pPr>
      <m:oMathPara>
        <m:oMathParaPr>
          <m:jc m:val="center"/>
        </m:oMathParaPr>
        <m:oMath>
          <m:r>
            <m:t>S</m:t>
          </m:r>
          <m:r>
            <m:rPr>
              <m:sty m:val="p"/>
            </m:rPr>
            <m:t>(</m:t>
          </m:r>
          <m:r>
            <m:t>x</m:t>
          </m:r>
          <m:r>
            <m:rPr>
              <m:sty m:val="p"/>
            </m:rPr>
            <m:t>,</m:t>
          </m:r>
          <m:r>
            <m:t>x</m:t>
          </m:r>
          <m:r>
            <m:rPr>
              <m:sty m:val="p"/>
            </m:rPr>
            <m:t>)</m:t>
          </m:r>
          <m:r>
            <m:rPr>
              <m:sty m:val="p"/>
            </m:rPr>
            <m:t>=</m:t>
          </m:r>
          <m:f>
            <m:fPr>
              <m:type m:val="bar"/>
            </m:fPr>
            <m:num>
              <m:sSup>
                <m:e>
                  <m:d>
                    <m:dPr>
                      <m:begChr m:val="‖"/>
                      <m:sepChr m:val=""/>
                      <m:endChr m:val="‖"/>
                      <m:grow/>
                    </m:dPr>
                    <m:e>
                      <m:sSub>
                        <m:e>
                          <m:acc>
                            <m:accPr>
                              <m:chr m:val="̂"/>
                            </m:accPr>
                            <m:e>
                              <m:r>
                                <m:t>G</m:t>
                              </m:r>
                            </m:e>
                          </m:acc>
                        </m:e>
                        <m:sub>
                          <m:r>
                            <m:t>x</m:t>
                          </m:r>
                        </m:sub>
                      </m:sSub>
                    </m:e>
                  </m:d>
                </m:e>
                <m:sup>
                  <m:r>
                    <m:t>2</m:t>
                  </m:r>
                </m:sup>
              </m:sSup>
            </m:num>
            <m:den>
              <m:rad>
                <m:radPr>
                  <m:degHide m:val="on"/>
                </m:radPr>
                <m:deg/>
                <m:e>
                  <m:sSup>
                    <m:e>
                      <m:d>
                        <m:dPr>
                          <m:begChr m:val="‖"/>
                          <m:sepChr m:val=""/>
                          <m:endChr m:val="‖"/>
                          <m:grow/>
                        </m:dPr>
                        <m:e>
                          <m:sSub>
                            <m:e>
                              <m:acc>
                                <m:accPr>
                                  <m:chr m:val="̂"/>
                                </m:accPr>
                                <m:e>
                                  <m:r>
                                    <m:t>G</m:t>
                                  </m:r>
                                </m:e>
                              </m:acc>
                            </m:e>
                            <m:sub>
                              <m:r>
                                <m:t>x</m:t>
                              </m:r>
                            </m:sub>
                          </m:sSub>
                        </m:e>
                      </m:d>
                    </m:e>
                    <m:sup>
                      <m:r>
                        <m:t>2</m:t>
                      </m:r>
                    </m:sup>
                  </m:sSup>
                </m:e>
              </m:rad>
              <m:r>
                <m:t> </m:t>
              </m:r>
              <m:rad>
                <m:radPr>
                  <m:degHide m:val="on"/>
                </m:radPr>
                <m:deg/>
                <m:e>
                  <m:sSup>
                    <m:e>
                      <m:d>
                        <m:dPr>
                          <m:begChr m:val="‖"/>
                          <m:sepChr m:val=""/>
                          <m:endChr m:val="‖"/>
                          <m:grow/>
                        </m:dPr>
                        <m:e>
                          <m:sSub>
                            <m:e>
                              <m:acc>
                                <m:accPr>
                                  <m:chr m:val="̂"/>
                                </m:accPr>
                                <m:e>
                                  <m:r>
                                    <m:t>G</m:t>
                                  </m:r>
                                </m:e>
                              </m:acc>
                            </m:e>
                            <m:sub>
                              <m:r>
                                <m:t>x</m:t>
                              </m:r>
                            </m:sub>
                          </m:sSub>
                        </m:e>
                      </m:d>
                    </m:e>
                    <m:sup>
                      <m:r>
                        <m:t>2</m:t>
                      </m:r>
                    </m:sup>
                  </m:sSup>
                </m:e>
              </m:rad>
            </m:den>
          </m:f>
          <m:r>
            <m:rPr>
              <m:sty m:val="p"/>
            </m:rPr>
            <m:t>=</m:t>
          </m:r>
          <m:r>
            <m:t>1</m:t>
          </m:r>
          <m:r>
            <m:rPr>
              <m:sty m:val="p"/>
            </m:rPr>
            <m:t>,</m:t>
          </m:r>
        </m:oMath>
      </m:oMathPara>
    </w:p>
    <w:p>
      <w:pPr>
        <w:pStyle w:val="FirstParagraph"/>
      </w:pPr>
      <w:r>
        <w:t xml:space="preserve">and the</w:t>
      </w:r>
      <w:r>
        <w:t xml:space="preserve"> </w:t>
      </w:r>
      <m:oMath>
        <m:r>
          <m:rPr>
            <m:sty m:val="p"/>
          </m:rPr>
          <m:t>min</m:t>
        </m:r>
        <m:r>
          <m:rPr>
            <m:sty m:val="p"/>
          </m:rPr>
          <m:t>(</m:t>
        </m:r>
        <m:r>
          <m:t>1</m:t>
        </m:r>
        <m:r>
          <m:rPr>
            <m:sty m:val="p"/>
          </m:rPr>
          <m:t>,</m:t>
        </m:r>
        <m:r>
          <m:rPr>
            <m:sty m:val="p"/>
          </m:rPr>
          <m:t>⋅</m:t>
        </m:r>
        <m:r>
          <m:rPr>
            <m:sty m:val="p"/>
          </m:rPr>
          <m:t>)</m:t>
        </m:r>
      </m:oMath>
      <w:r>
        <w:t xml:space="preserve"> </w:t>
      </w:r>
      <w:r>
        <w:t xml:space="preserve">clamp in the code absorbs the last-ULP floating-point wobble so an</w:t>
      </w:r>
      <w:r>
        <w:t xml:space="preserve"> </w:t>
      </w:r>
      <w:r>
        <w:t xml:space="preserve">identical spectrum returns</w:t>
      </w:r>
      <w:r>
        <w:t xml:space="preserve"> </w:t>
      </w:r>
      <w:r>
        <w:rPr>
          <w:rStyle w:val="VerbatimChar"/>
        </w:rPr>
        <w:t xml:space="preserve">1.0</w:t>
      </w:r>
      <w:r>
        <w:t xml:space="preserve"> </w:t>
      </w:r>
      <w:r>
        <w:t xml:space="preserve">bit-exactly.</w:t>
      </w:r>
    </w:p>
    <w:p>
      <w:pPr>
        <w:pStyle w:val="BodyText"/>
      </w:pPr>
      <w:r>
        <w:rPr>
          <w:b/>
          <w:bCs/>
        </w:rPr>
        <w:t xml:space="preserve">Symmetry.</w:t>
      </w:r>
      <w:r>
        <w:t xml:space="preserve"> </w:t>
      </w:r>
      <m:oMath>
        <m:r>
          <m:t>S</m:t>
        </m:r>
        <m:r>
          <m:rPr>
            <m:sty m:val="p"/>
          </m:rPr>
          <m:t>(</m:t>
        </m:r>
        <m:r>
          <m:t>x</m:t>
        </m:r>
        <m:r>
          <m:rPr>
            <m:sty m:val="p"/>
          </m:rPr>
          <m:t>,</m:t>
        </m:r>
        <m:r>
          <m:t>y</m:t>
        </m:r>
        <m:r>
          <m:rPr>
            <m:sty m:val="p"/>
          </m:rPr>
          <m:t>)</m:t>
        </m:r>
        <m:r>
          <m:rPr>
            <m:sty m:val="p"/>
          </m:rPr>
          <m:t>=</m:t>
        </m:r>
        <m:r>
          <m:t>S</m:t>
        </m:r>
        <m:r>
          <m:rPr>
            <m:sty m:val="p"/>
          </m:rPr>
          <m:t>(</m:t>
        </m:r>
        <m:r>
          <m:t>y</m:t>
        </m:r>
        <m:r>
          <m:rPr>
            <m:sty m:val="p"/>
          </m:rPr>
          <m:t>,</m:t>
        </m:r>
        <m:r>
          <m:t>x</m:t>
        </m:r>
        <m:r>
          <m:rPr>
            <m:sty m:val="p"/>
          </m:rPr>
          <m:t>)</m:t>
        </m:r>
      </m:oMath>
      <w:r>
        <w:t xml:space="preserve"> </w:t>
      </w:r>
      <w:r>
        <w:t xml:space="preserve">exactly, since the score is a symmetric inner product of the two</w:t>
      </w:r>
      <w:r>
        <w:t xml:space="preserve"> </w:t>
      </w:r>
      <w:r>
        <w:t xml:space="preserve">centred images.</w:t>
      </w:r>
    </w:p>
    <w:p>
      <w:pPr>
        <w:pStyle w:val="BodyText"/>
      </w:pPr>
      <w:r>
        <w:rPr>
          <w:b/>
          <w:bCs/>
        </w:rPr>
        <w:t xml:space="preserve">Range.</w:t>
      </w:r>
      <w:r>
        <w:t xml:space="preserve"> </w:t>
      </w:r>
      <w:r>
        <w:t xml:space="preserve">As a Pearson coefficient</w:t>
      </w:r>
      <w:r>
        <w:t xml:space="preserve"> </w:t>
      </w:r>
      <m:oMath>
        <m:r>
          <m:t>S</m:t>
        </m:r>
        <m:r>
          <m:rPr>
            <m:sty m:val="p"/>
          </m:rPr>
          <m:t>∈</m:t>
        </m:r>
        <m:r>
          <m:rPr>
            <m:sty m:val="p"/>
          </m:rPr>
          <m:t>[</m:t>
        </m:r>
        <m:r>
          <m:rPr>
            <m:sty m:val="p"/>
          </m:rPr>
          <m:t>−</m:t>
        </m:r>
        <m:r>
          <m:t>1</m:t>
        </m:r>
        <m:r>
          <m:rPr>
            <m:sty m:val="p"/>
          </m:rPr>
          <m:t>,</m:t>
        </m:r>
        <m:r>
          <m:t>1</m:t>
        </m:r>
        <m:r>
          <m:rPr>
            <m:sty m:val="p"/>
          </m:rPr>
          <m:t>]</m:t>
        </m:r>
      </m:oMath>
      <w:r>
        <w:t xml:space="preserve"> </w:t>
      </w:r>
      <w:r>
        <w:t xml:space="preserve">before clamping; the clamp maps</w:t>
      </w:r>
      <w:r>
        <w:t xml:space="preserve"> </w:t>
      </w:r>
      <w:r>
        <w:t xml:space="preserve">anticorrelation to</w:t>
      </w:r>
      <w:r>
        <w:t xml:space="preserve"> </w:t>
      </w:r>
      <m:oMath>
        <m:r>
          <m:t>0</m:t>
        </m:r>
      </m:oMath>
      <w:r>
        <w:t xml:space="preserve">, giving</w:t>
      </w:r>
      <w:r>
        <w:t xml:space="preserve"> </w:t>
      </w:r>
      <m:oMath>
        <m:r>
          <m:t>S</m:t>
        </m:r>
        <m:r>
          <m:rPr>
            <m:sty m:val="p"/>
          </m:rPr>
          <m:t>∈</m:t>
        </m:r>
        <m:r>
          <m:rPr>
            <m:sty m:val="p"/>
          </m:rPr>
          <m:t>[</m:t>
        </m:r>
        <m:r>
          <m:t>0</m:t>
        </m:r>
        <m:r>
          <m:rPr>
            <m:sty m:val="p"/>
          </m:rPr>
          <m:t>,</m:t>
        </m:r>
        <m:r>
          <m:t>1</m:t>
        </m:r>
        <m:r>
          <m:rPr>
            <m:sty m:val="p"/>
          </m:rPr>
          <m:t>]</m:t>
        </m:r>
      </m:oMath>
      <w:r>
        <w:t xml:space="preserve">.</w:t>
      </w:r>
    </w:p>
    <w:p>
      <w:pPr>
        <w:pStyle w:val="BodyText"/>
      </w:pPr>
      <w:r>
        <w:rPr>
          <w:b/>
          <w:bCs/>
        </w:rPr>
        <w:t xml:space="preserve">Monotonicity in drift.</w:t>
      </w:r>
      <w:r>
        <w:t xml:space="preserve"> </w:t>
      </w:r>
      <w:r>
        <w:t xml:space="preserve">For an isolated peak on a grid large enough that mean-centring is</w:t>
      </w:r>
      <w:r>
        <w:t xml:space="preserve"> </w:t>
      </w:r>
      <w:r>
        <w:t xml:space="preserve">negligible,</w:t>
      </w:r>
      <w:r>
        <w:t xml:space="preserve"> </w:t>
      </w:r>
      <m:oMath>
        <m:r>
          <m:t>S</m:t>
        </m:r>
      </m:oMath>
      <w:r>
        <w:t xml:space="preserve"> </w:t>
      </w:r>
      <w:r>
        <w:t xml:space="preserve">is a strictly decreasing function of the displacement magnitude (Eq. S9); this is</w:t>
      </w:r>
      <w:r>
        <w:t xml:space="preserve"> </w:t>
      </w:r>
      <w:r>
        <w:t xml:space="preserve">checked numerically in the test suite.</w:t>
      </w:r>
    </w:p>
    <w:p>
      <w:pPr>
        <w:pStyle w:val="BodyText"/>
      </w:pPr>
      <w:r>
        <w:rPr>
          <w:b/>
          <w:bCs/>
        </w:rPr>
        <w:t xml:space="preserve">Degenerate guard.</w:t>
      </w:r>
      <w:r>
        <w:t xml:space="preserve"> </w:t>
      </w:r>
      <w:r>
        <w:t xml:space="preserve">A flat image (</w:t>
      </w:r>
      <m:oMath>
        <m:sSub>
          <m:e>
            <m:acc>
              <m:accPr>
                <m:chr m:val="̂"/>
              </m:accPr>
              <m:e>
                <m:r>
                  <m:t>G</m:t>
                </m:r>
              </m:e>
            </m:acc>
          </m:e>
          <m:sub>
            <m:r>
              <m:t>a</m:t>
            </m:r>
          </m:sub>
        </m:sSub>
        <m:r>
          <m:rPr>
            <m:sty m:val="p"/>
          </m:rPr>
          <m:t>≡</m:t>
        </m:r>
        <m:r>
          <m:t>0</m:t>
        </m:r>
      </m:oMath>
      <w:r>
        <w:t xml:space="preserve">) has zero denominator and returns</w:t>
      </w:r>
      <w:r>
        <w:t xml:space="preserve"> </w:t>
      </w:r>
      <m:oMath>
        <m:r>
          <m:t>0</m:t>
        </m:r>
      </m:oMath>
      <w:r>
        <w:t xml:space="preserve">; the windowing step already excludes empty windows upstream.</w:t>
      </w:r>
    </w:p>
    <w:p>
      <w:pPr>
        <w:pStyle w:val="BodyText"/>
      </w:pPr>
      <w:r>
        <w:rPr>
          <w:b/>
          <w:bCs/>
        </w:rPr>
        <w:t xml:space="preserve">Local-Contrast contract.</w:t>
      </w:r>
      <w:r>
        <w:t xml:space="preserve"> </w:t>
      </w:r>
      <w:r>
        <w:t xml:space="preserve">For non-degenerate features, Eq. SLC2 gives exact self-similarity,</w:t>
      </w:r>
      <w:r>
        <w:t xml:space="preserve"> </w:t>
      </w:r>
      <w:r>
        <w:t xml:space="preserve">symmetry and a score in</w:t>
      </w:r>
      <w:r>
        <w:t xml:space="preserve"> </w:t>
      </w:r>
      <m:oMath>
        <m:r>
          <m:rPr>
            <m:sty m:val="p"/>
          </m:rPr>
          <m:t>[</m:t>
        </m:r>
        <m:r>
          <m:t>0</m:t>
        </m:r>
        <m:r>
          <m:rPr>
            <m:sty m:val="p"/>
          </m:rPr>
          <m:t>,</m:t>
        </m:r>
        <m:r>
          <m:t>1</m:t>
        </m:r>
        <m:r>
          <m:rPr>
            <m:sty m:val="p"/>
          </m:rPr>
          <m:t>]</m:t>
        </m:r>
      </m:oMath>
      <w:r>
        <w:t xml:space="preserve">. Its normalization makes the score invariant to a global intensity</w:t>
      </w:r>
      <w:r>
        <w:t xml:space="preserve"> </w:t>
      </w:r>
      <w:r>
        <w:t xml:space="preserve">multiplier. The tests additionally verify monotone decline under increasing chemical-shift drift,</w:t>
      </w:r>
      <w:r>
        <w:t xml:space="preserve"> </w:t>
      </w:r>
      <w:r>
        <w:t xml:space="preserve">related-above-unrelated ordering after broad baseline and noise are added, a score change below</w:t>
      </w:r>
      <w:r>
        <w:t xml:space="preserve"> </w:t>
      </w:r>
      <m:oMath>
        <m:sSup>
          <m:e>
            <m:r>
              <m:t>10</m:t>
            </m:r>
          </m:e>
          <m:sup>
            <m:r>
              <m:rPr>
                <m:sty m:val="p"/>
              </m:rPr>
              <m:t>−</m:t>
            </m:r>
            <m:r>
              <m:t>3</m:t>
            </m:r>
          </m:sup>
        </m:sSup>
      </m:oMath>
      <w:r>
        <w:t xml:space="preserve"> </w:t>
      </w:r>
      <w:r>
        <w:t xml:space="preserve">when each render step is halved, and explicit errors for non-finite data or non-positive</w:t>
      </w:r>
      <w:r>
        <w:t xml:space="preserve"> </w:t>
      </w:r>
      <w:r>
        <w:t xml:space="preserve">finite blur/step values. A zero feature norm returns 0 as stated above.</w:t>
      </w:r>
    </w:p>
    <w:bookmarkEnd w:id="27"/>
    <w:bookmarkStart w:id="43" w:name="s6-why-stcc-beats-the-existing-methods"/>
    <w:p>
      <w:pPr>
        <w:pStyle w:val="Heading2"/>
      </w:pPr>
      <w:r>
        <w:t xml:space="preserve">S6 Why STCC beats the existing methods</w:t>
      </w:r>
    </w:p>
    <w:p>
      <w:pPr>
        <w:pStyle w:val="FirstParagraph"/>
      </w:pPr>
      <w:r>
        <w:t xml:space="preserve">The three source methods fail in</w:t>
      </w:r>
      <w:r>
        <w:t xml:space="preserve"> </w:t>
      </w:r>
      <w:r>
        <w:rPr>
          <w:i/>
          <w:iCs/>
        </w:rPr>
        <w:t xml:space="preserve">opposite</w:t>
      </w:r>
      <w:r>
        <w:t xml:space="preserve"> </w:t>
      </w:r>
      <w:r>
        <w:t xml:space="preserve">ways: the bin method [2] is shift-</w:t>
      </w:r>
      <w:r>
        <w:rPr>
          <w:b/>
          <w:bCs/>
        </w:rPr>
        <w:t xml:space="preserve">brittle</w:t>
      </w:r>
      <w:r>
        <w:t xml:space="preserve"> </w:t>
      </w:r>
      <w:r>
        <w:t xml:space="preserve">(a peak</w:t>
      </w:r>
      <w:r>
        <w:t xml:space="preserve"> </w:t>
      </w:r>
      <w:r>
        <w:t xml:space="preserve">straddling a bin edge splits its mass, so a small titration drift drops the score in a</w:t>
      </w:r>
      <w:r>
        <w:t xml:space="preserve"> </w:t>
      </w:r>
      <w:r>
        <w:t xml:space="preserve">discontinuous jump), while the tree [6,7] and nearest-neighbour (NN) [8] methods are shift-</w:t>
      </w:r>
      <w:r>
        <w:rPr>
          <w:b/>
          <w:bCs/>
        </w:rPr>
        <w:t xml:space="preserve">blind</w:t>
      </w:r>
      <w:r>
        <w:t xml:space="preserve"> </w:t>
      </w:r>
      <w:r>
        <w:t xml:space="preserve">(in a</w:t>
      </w:r>
      <w:r>
        <w:t xml:space="preserve"> </w:t>
      </w:r>
      <w:r>
        <w:t xml:space="preserve">dense fingerprint every peak has a near neighbour, so both saturate near 1). STCC sits between them</w:t>
      </w:r>
      <w:r>
        <w:t xml:space="preserve"> </w:t>
      </w:r>
      <w:r>
        <w:t xml:space="preserve">via three mechanisms.</w:t>
      </w:r>
    </w:p>
    <w:p>
      <w:pPr>
        <w:pStyle w:val="CaptionedFigure"/>
      </w:pPr>
      <w:r>
        <w:drawing>
          <wp:inline>
            <wp:extent cx="5334000" cy="2735877"/>
            <wp:effectExtent b="0" l="0" r="0" t="0"/>
            <wp:docPr descr="Figure S5. The two opposite failure modes, on the dense ^1H–^{15}N benchmark (Table S2). For each method the shaded band spans the same-protein similarities (the titration series) and the red marker is the different protein. The bin method is shift-brittle — a physical titration drift erodes its same-protein scores down to 0.73–0.83, the lowest band shown. The tree and NN methods are shift-blind — the different protein sits inside (tree) or right at (NN) the same-protein band, so it is not separated. Only STCC pushes the different protein (0.18) below every same-protein score, opening a wide clean gap." title="" id="29" name="Picture"/>
            <a:graphic>
              <a:graphicData uri="http://schemas.openxmlformats.org/drawingml/2006/picture">
                <pic:pic>
                  <pic:nvPicPr>
                    <pic:cNvPr descr="../results/si_failuremodes.png" id="30" name="Picture"/>
                    <pic:cNvPicPr>
                      <a:picLocks noChangeArrowheads="1" noChangeAspect="1"/>
                    </pic:cNvPicPr>
                  </pic:nvPicPr>
                  <pic:blipFill>
                    <a:blip r:embed="rId28"/>
                    <a:stretch>
                      <a:fillRect/>
                    </a:stretch>
                  </pic:blipFill>
                  <pic:spPr bwMode="auto">
                    <a:xfrm>
                      <a:off x="0" y="0"/>
                      <a:ext cx="5334000" cy="2735877"/>
                    </a:xfrm>
                    <a:prstGeom prst="rect">
                      <a:avLst/>
                    </a:prstGeom>
                    <a:noFill/>
                    <a:ln w="9525">
                      <a:noFill/>
                      <a:headEnd/>
                      <a:tailEnd/>
                    </a:ln>
                  </pic:spPr>
                </pic:pic>
              </a:graphicData>
            </a:graphic>
          </wp:inline>
        </w:drawing>
      </w:r>
    </w:p>
    <w:p>
      <w:pPr>
        <w:pStyle w:val="ImageCaption"/>
      </w:pPr>
      <w:r>
        <w:rPr>
          <w:b/>
          <w:bCs/>
        </w:rPr>
        <w:t xml:space="preserve">Figure S5.</w:t>
      </w:r>
      <w:r>
        <w:t xml:space="preserve"> </w:t>
      </w:r>
      <w:r>
        <w:t xml:space="preserve">The two opposite failure modes, on the dense</w:t>
      </w:r>
      <w:r>
        <w:t xml:space="preserve"> </w:t>
      </w:r>
      <m:oMath>
        <m:sSup>
          <m:e>
            <m:r>
              <m:t>​</m:t>
            </m:r>
          </m:e>
          <m:sup>
            <m:r>
              <m:t>1</m:t>
            </m:r>
          </m:sup>
        </m:sSup>
      </m:oMath>
      <w:r>
        <w:t xml:space="preserve">H–</w:t>
      </w:r>
      <m:oMath>
        <m:sSup>
          <m:e>
            <m:r>
              <m:t>​</m:t>
            </m:r>
          </m:e>
          <m:sup>
            <m:r>
              <m:t>15</m:t>
            </m:r>
          </m:sup>
        </m:sSup>
      </m:oMath>
      <w:r>
        <w:t xml:space="preserve">N benchmark (Table S2).</w:t>
      </w:r>
      <w:r>
        <w:t xml:space="preserve"> </w:t>
      </w:r>
      <w:r>
        <w:t xml:space="preserve">For each method the shaded</w:t>
      </w:r>
      <w:r>
        <w:t xml:space="preserve"> </w:t>
      </w:r>
      <w:r>
        <w:rPr>
          <w:b/>
          <w:bCs/>
        </w:rPr>
        <w:t xml:space="preserve">band</w:t>
      </w:r>
      <w:r>
        <w:t xml:space="preserve"> </w:t>
      </w:r>
      <w:r>
        <w:t xml:space="preserve">spans the same-protein similarities (the titration series) and</w:t>
      </w:r>
      <w:r>
        <w:t xml:space="preserve"> </w:t>
      </w:r>
      <w:r>
        <w:t xml:space="preserve">the red marker is the</w:t>
      </w:r>
      <w:r>
        <w:t xml:space="preserve"> </w:t>
      </w:r>
      <w:r>
        <w:rPr>
          <w:b/>
          <w:bCs/>
        </w:rPr>
        <w:t xml:space="preserve">different protein</w:t>
      </w:r>
      <w:r>
        <w:t xml:space="preserve">. The bin method is shift-</w:t>
      </w:r>
      <w:r>
        <w:rPr>
          <w:b/>
          <w:bCs/>
        </w:rPr>
        <w:t xml:space="preserve">brittle</w:t>
      </w:r>
      <w:r>
        <w:t xml:space="preserve"> </w:t>
      </w:r>
      <w:r>
        <w:t xml:space="preserve">— a physical</w:t>
      </w:r>
      <w:r>
        <w:t xml:space="preserve"> </w:t>
      </w:r>
      <w:r>
        <w:t xml:space="preserve">titration drift erodes its same-protein scores down to 0.73–0.83, the lowest band shown. The tree</w:t>
      </w:r>
      <w:r>
        <w:t xml:space="preserve"> </w:t>
      </w:r>
      <w:r>
        <w:t xml:space="preserve">and NN methods are shift-</w:t>
      </w:r>
      <w:r>
        <w:rPr>
          <w:b/>
          <w:bCs/>
        </w:rPr>
        <w:t xml:space="preserve">blind</w:t>
      </w:r>
      <w:r>
        <w:t xml:space="preserve"> </w:t>
      </w:r>
      <w:r>
        <w:t xml:space="preserve">— the different protein sits</w:t>
      </w:r>
      <w:r>
        <w:t xml:space="preserve"> </w:t>
      </w:r>
      <w:r>
        <w:rPr>
          <w:i/>
          <w:iCs/>
        </w:rPr>
        <w:t xml:space="preserve">inside</w:t>
      </w:r>
      <w:r>
        <w:t xml:space="preserve"> </w:t>
      </w:r>
      <w:r>
        <w:t xml:space="preserve">(tree) or right at (NN) the</w:t>
      </w:r>
      <w:r>
        <w:t xml:space="preserve"> </w:t>
      </w:r>
      <w:r>
        <w:t xml:space="preserve">same-protein band, so it is not separated. Only STCC pushes the different protein (0.18) below</w:t>
      </w:r>
      <w:r>
        <w:t xml:space="preserve"> </w:t>
      </w:r>
      <w:r>
        <w:rPr>
          <w:i/>
          <w:iCs/>
        </w:rPr>
        <w:t xml:space="preserve">every</w:t>
      </w:r>
      <w:r>
        <w:t xml:space="preserve"> </w:t>
      </w:r>
      <w:r>
        <w:t xml:space="preserve">same-protein score, opening a wide clean gap.</w:t>
      </w:r>
    </w:p>
    <w:p>
      <w:pPr>
        <w:pStyle w:val="BodyText"/>
      </w:pPr>
      <w:r>
        <w:rPr>
          <w:b/>
          <w:bCs/>
        </w:rPr>
        <w:t xml:space="preserve">(a) Graded shift tolerance.</w:t>
      </w:r>
      <w:r>
        <w:t xml:space="preserve"> </w:t>
      </w:r>
      <w:r>
        <w:t xml:space="preserve">Model a peak as a point mass; after the blur it is a Gaussian of</w:t>
      </w:r>
      <w:r>
        <w:t xml:space="preserve"> </w:t>
      </w:r>
      <w:r>
        <w:t xml:space="preserve">width</w:t>
      </w:r>
      <w:r>
        <w:t xml:space="preserve"> </w:t>
      </w:r>
      <m:oMath>
        <m:r>
          <m:t>σ</m:t>
        </m:r>
      </m:oMath>
      <w:r>
        <w:t xml:space="preserve">. Two copies of one peak displaced by</w:t>
      </w:r>
      <w:r>
        <w:t xml:space="preserve"> </w:t>
      </w:r>
      <m:oMath>
        <m:r>
          <m:rPr>
            <m:sty m:val="p"/>
          </m:rPr>
          <m:t>(</m:t>
        </m:r>
        <m:sSub>
          <m:e>
            <m:r>
              <m:rPr>
                <m:sty m:val="p"/>
              </m:rPr>
              <m:t>Δ</m:t>
            </m:r>
          </m:e>
          <m:sub>
            <m:r>
              <m:t>F</m:t>
            </m:r>
            <m:r>
              <m:t>2</m:t>
            </m:r>
          </m:sub>
        </m:sSub>
        <m:r>
          <m:rPr>
            <m:sty m:val="p"/>
          </m:rPr>
          <m:t>,</m:t>
        </m:r>
        <m:sSub>
          <m:e>
            <m:r>
              <m:rPr>
                <m:sty m:val="p"/>
              </m:rPr>
              <m:t>Δ</m:t>
            </m:r>
          </m:e>
          <m:sub>
            <m:r>
              <m:t>F</m:t>
            </m:r>
            <m:r>
              <m:t>1</m:t>
            </m:r>
          </m:sub>
        </m:sSub>
        <m:r>
          <m:rPr>
            <m:sty m:val="p"/>
          </m:rPr>
          <m:t>)</m:t>
        </m:r>
      </m:oMath>
      <w:r>
        <w:t xml:space="preserve"> </w:t>
      </w:r>
      <w:r>
        <w:t xml:space="preserve">contribute to the</w:t>
      </w:r>
      <w:r>
        <w:t xml:space="preserve"> </w:t>
      </w:r>
      <w:r>
        <w:t xml:space="preserve">centred, normalized correlation a factor</w:t>
      </w:r>
    </w:p>
    <w:p>
      <w:pPr>
        <w:pStyle w:val="BodyText"/>
      </w:pPr>
      <m:oMathPara>
        <m:oMathParaPr>
          <m:jc m:val="center"/>
        </m:oMathParaPr>
        <m:oMath>
          <m:r>
            <m:rPr>
              <m:sty m:val="p"/>
            </m:rPr>
            <m:t>exp</m:t>
          </m:r>
          <m:r>
            <m:t>​</m:t>
          </m:r>
          <m:d>
            <m:dPr>
              <m:begChr m:val="("/>
              <m:sepChr m:val=""/>
              <m:endChr m:val=")"/>
              <m:grow/>
            </m:dPr>
            <m:e>
              <m:r>
                <m:rPr>
                  <m:sty m:val="p"/>
                </m:rPr>
                <m:t>−</m:t>
              </m:r>
              <m:f>
                <m:fPr>
                  <m:type m:val="bar"/>
                </m:fPr>
                <m:num>
                  <m:sSubSup>
                    <m:e>
                      <m:r>
                        <m:rPr>
                          <m:sty m:val="p"/>
                        </m:rPr>
                        <m:t>Δ</m:t>
                      </m:r>
                    </m:e>
                    <m:sub>
                      <m:r>
                        <m:t>F</m:t>
                      </m:r>
                      <m:r>
                        <m:t>2</m:t>
                      </m:r>
                    </m:sub>
                    <m:sup>
                      <m:r>
                        <m:t>2</m:t>
                      </m:r>
                    </m:sup>
                  </m:sSubSup>
                </m:num>
                <m:den>
                  <m:r>
                    <m:t>4</m:t>
                  </m:r>
                  <m:sSubSup>
                    <m:e>
                      <m:r>
                        <m:t>σ</m:t>
                      </m:r>
                    </m:e>
                    <m:sub>
                      <m:r>
                        <m:t>F</m:t>
                      </m:r>
                      <m:r>
                        <m:t>2</m:t>
                      </m:r>
                    </m:sub>
                    <m:sup>
                      <m:r>
                        <m:t>2</m:t>
                      </m:r>
                    </m:sup>
                  </m:sSubSup>
                </m:den>
              </m:f>
              <m:r>
                <m:rPr>
                  <m:sty m:val="p"/>
                </m:rPr>
                <m:t>−</m:t>
              </m:r>
              <m:f>
                <m:fPr>
                  <m:type m:val="bar"/>
                </m:fPr>
                <m:num>
                  <m:sSubSup>
                    <m:e>
                      <m:r>
                        <m:rPr>
                          <m:sty m:val="p"/>
                        </m:rPr>
                        <m:t>Δ</m:t>
                      </m:r>
                    </m:e>
                    <m:sub>
                      <m:r>
                        <m:t>F</m:t>
                      </m:r>
                      <m:r>
                        <m:t>1</m:t>
                      </m:r>
                    </m:sub>
                    <m:sup>
                      <m:r>
                        <m:t>2</m:t>
                      </m:r>
                    </m:sup>
                  </m:sSubSup>
                </m:num>
                <m:den>
                  <m:r>
                    <m:t>4</m:t>
                  </m:r>
                  <m:sSubSup>
                    <m:e>
                      <m:r>
                        <m:t>σ</m:t>
                      </m:r>
                    </m:e>
                    <m:sub>
                      <m:r>
                        <m:t>F</m:t>
                      </m:r>
                      <m:r>
                        <m:t>1</m:t>
                      </m:r>
                    </m:sub>
                    <m:sup>
                      <m:r>
                        <m:t>2</m:t>
                      </m:r>
                    </m:sup>
                  </m:sSubSup>
                </m:den>
              </m:f>
            </m:e>
          </m:d>
          <m:r>
            <m:rPr>
              <m:sty m:val="p"/>
            </m:rPr>
            <m:t>,</m:t>
          </m:r>
        </m:oMath>
      </m:oMathPara>
    </w:p>
    <w:p>
      <w:pPr>
        <w:pStyle w:val="FirstParagraph"/>
      </w:pPr>
      <w:r>
        <w:t xml:space="preserve">which is</w:t>
      </w:r>
      <w:r>
        <w:t xml:space="preserve"> </w:t>
      </w:r>
      <w:r>
        <w:rPr>
          <w:b/>
          <w:bCs/>
        </w:rPr>
        <w:t xml:space="preserve">smooth and monotone</w:t>
      </w:r>
      <w:r>
        <w:t xml:space="preserve"> </w:t>
      </w:r>
      <w:r>
        <w:t xml:space="preserve">in the drift — no bin-edge discontinuity. A physical titration</w:t>
      </w:r>
      <w:r>
        <w:t xml:space="preserve"> </w:t>
      </w:r>
      <w:r>
        <w:t xml:space="preserve">drift (</w:t>
      </w:r>
      <m:oMath>
        <m:sSub>
          <m:e>
            <m:r>
              <m:rPr>
                <m:sty m:val="p"/>
              </m:rPr>
              <m:t>Δ</m:t>
            </m:r>
          </m:e>
          <m:sub>
            <m:sSup>
              <m:e>
                <m:r>
                  <m:t>​</m:t>
                </m:r>
              </m:e>
              <m:sup>
                <m:r>
                  <m:t>1</m:t>
                </m:r>
              </m:sup>
            </m:sSup>
            <m:r>
              <m:rPr>
                <m:sty m:val="p"/>
              </m:rPr>
              <m:t>H</m:t>
            </m:r>
          </m:sub>
        </m:sSub>
        <m:r>
          <m:rPr>
            <m:sty m:val="p"/>
          </m:rPr>
          <m:t>∼</m:t>
        </m:r>
        <m:r>
          <m:t>0.01</m:t>
        </m:r>
      </m:oMath>
      <w:r>
        <w:t xml:space="preserve">–</w:t>
      </w:r>
      <m:oMath>
        <m:r>
          <m:t>0.05</m:t>
        </m:r>
      </m:oMath>
      <w:r>
        <w:t xml:space="preserve">,</w:t>
      </w:r>
      <w:r>
        <w:t xml:space="preserve"> </w:t>
      </w:r>
      <m:oMath>
        <m:sSub>
          <m:e>
            <m:r>
              <m:rPr>
                <m:sty m:val="p"/>
              </m:rPr>
              <m:t>Δ</m:t>
            </m:r>
          </m:e>
          <m:sub>
            <m:sSup>
              <m:e>
                <m:r>
                  <m:t>​</m:t>
                </m:r>
              </m:e>
              <m:sup>
                <m:r>
                  <m:t>15</m:t>
                </m:r>
              </m:sup>
            </m:sSup>
            <m:r>
              <m:rPr>
                <m:sty m:val="p"/>
              </m:rPr>
              <m:t>N</m:t>
            </m:r>
          </m:sub>
        </m:sSub>
        <m:r>
          <m:rPr>
            <m:sty m:val="p"/>
          </m:rPr>
          <m:t>∼</m:t>
        </m:r>
        <m:r>
          <m:t>0.2</m:t>
        </m:r>
      </m:oMath>
      <w:r>
        <w:t xml:space="preserve">–</w:t>
      </w:r>
      <m:oMath>
        <m:r>
          <m:t>0.8</m:t>
        </m:r>
      </m:oMath>
      <w:r>
        <w:t xml:space="preserve"> </w:t>
      </w:r>
      <w:r>
        <w:t xml:space="preserve">ppm) is</w:t>
      </w:r>
      <w:r>
        <w:t xml:space="preserve"> </w:t>
      </w:r>
      <w:r>
        <w:t xml:space="preserve">a fraction of</w:t>
      </w:r>
      <w:r>
        <w:t xml:space="preserve"> </w:t>
      </w:r>
      <m:oMath>
        <m:r>
          <m:t>σ</m:t>
        </m:r>
      </m:oMath>
      <w:r>
        <w:t xml:space="preserve"> </w:t>
      </w:r>
      <w:r>
        <w:t xml:space="preserve">and costs little; a random relocation (</w:t>
      </w:r>
      <m:oMath>
        <m:r>
          <m:rPr>
            <m:sty m:val="p"/>
          </m:rPr>
          <m:t>Δ</m:t>
        </m:r>
        <m:r>
          <m:rPr>
            <m:sty m:val="p"/>
          </m:rPr>
          <m:t>≫</m:t>
        </m:r>
        <m:r>
          <m:t>σ</m:t>
        </m:r>
      </m:oMath>
      <w:r>
        <w:t xml:space="preserve">) drives the</w:t>
      </w:r>
      <w:r>
        <w:t xml:space="preserve"> </w:t>
      </w:r>
      <w:r>
        <w:t xml:space="preserve">factor toward</w:t>
      </w:r>
      <w:r>
        <w:t xml:space="preserve"> </w:t>
      </w:r>
      <m:oMath>
        <m:r>
          <m:t>0</m:t>
        </m:r>
      </m:oMath>
      <w:r>
        <w:t xml:space="preserve">. The single knob</w:t>
      </w:r>
      <w:r>
        <w:t xml:space="preserve"> </w:t>
      </w:r>
      <m:oMath>
        <m:r>
          <m:t>σ</m:t>
        </m:r>
      </m:oMath>
      <w:r>
        <w:t xml:space="preserve"> </w:t>
      </w:r>
      <w:r>
        <w:t xml:space="preserve">sets the tolerance scale (main-text Figure 1b).</w:t>
      </w:r>
    </w:p>
    <w:p>
      <w:pPr>
        <w:pStyle w:val="CaptionedFigure"/>
      </w:pPr>
      <w:r>
        <w:drawing>
          <wp:inline>
            <wp:extent cx="5334000" cy="2200741"/>
            <wp:effectExtent b="0" l="0" r="0" t="0"/>
            <wp:docPr descr="Figure S6. Graded vs brittle response to a shift. (a) The bin method’s edges are hard: as a peak drifts, a small displacement splits its mass across a bin boundary. (b) Similarity contribution vs peak displacement \Delta. The Gaussian blur makes STCC decay smoothly and monotonically (\exp(-\Delta^2/4\sigma^2), blue), so a physical drift costs little; the bin method (orange) instead jumps discontinuously each time the peak crosses an edge — a small drift can cause a sudden score drop. This is why the bin method is shift-brittle and STCC is not." title="" id="32" name="Picture"/>
            <a:graphic>
              <a:graphicData uri="http://schemas.openxmlformats.org/drawingml/2006/picture">
                <pic:pic>
                  <pic:nvPicPr>
                    <pic:cNvPr descr="../results/si_shifttol.png" id="33" name="Picture"/>
                    <pic:cNvPicPr>
                      <a:picLocks noChangeArrowheads="1" noChangeAspect="1"/>
                    </pic:cNvPicPr>
                  </pic:nvPicPr>
                  <pic:blipFill>
                    <a:blip r:embed="rId31"/>
                    <a:stretch>
                      <a:fillRect/>
                    </a:stretch>
                  </pic:blipFill>
                  <pic:spPr bwMode="auto">
                    <a:xfrm>
                      <a:off x="0" y="0"/>
                      <a:ext cx="5334000" cy="2200741"/>
                    </a:xfrm>
                    <a:prstGeom prst="rect">
                      <a:avLst/>
                    </a:prstGeom>
                    <a:noFill/>
                    <a:ln w="9525">
                      <a:noFill/>
                      <a:headEnd/>
                      <a:tailEnd/>
                    </a:ln>
                  </pic:spPr>
                </pic:pic>
              </a:graphicData>
            </a:graphic>
          </wp:inline>
        </w:drawing>
      </w:r>
    </w:p>
    <w:p>
      <w:pPr>
        <w:pStyle w:val="ImageCaption"/>
      </w:pPr>
      <w:r>
        <w:rPr>
          <w:b/>
          <w:bCs/>
        </w:rPr>
        <w:t xml:space="preserve">Figure S6.</w:t>
      </w:r>
      <w:r>
        <w:t xml:space="preserve"> </w:t>
      </w:r>
      <w:r>
        <w:t xml:space="preserve">Graded vs brittle response to a shift.</w:t>
      </w:r>
      <w:r>
        <w:t xml:space="preserve"> </w:t>
      </w:r>
      <w:r>
        <w:rPr>
          <w:b/>
          <w:bCs/>
        </w:rPr>
        <w:t xml:space="preserve">(a)</w:t>
      </w:r>
      <w:r>
        <w:t xml:space="preserve"> </w:t>
      </w:r>
      <w:r>
        <w:t xml:space="preserve">The bin method’s edges are hard: as</w:t>
      </w:r>
      <w:r>
        <w:t xml:space="preserve"> </w:t>
      </w:r>
      <w:r>
        <w:t xml:space="preserve">a peak drifts, a small displacement splits its mass across a bin boundary.</w:t>
      </w:r>
      <w:r>
        <w:t xml:space="preserve"> </w:t>
      </w:r>
      <w:r>
        <w:rPr>
          <w:b/>
          <w:bCs/>
        </w:rPr>
        <w:t xml:space="preserve">(b)</w:t>
      </w:r>
      <w:r>
        <w:t xml:space="preserve"> </w:t>
      </w:r>
      <w:r>
        <w:t xml:space="preserve">Similarity</w:t>
      </w:r>
      <w:r>
        <w:t xml:space="preserve"> </w:t>
      </w:r>
      <w:r>
        <w:t xml:space="preserve">contribution vs peak displacement</w:t>
      </w:r>
      <w:r>
        <w:t xml:space="preserve"> </w:t>
      </w:r>
      <m:oMath>
        <m:r>
          <m:rPr>
            <m:sty m:val="p"/>
          </m:rPr>
          <m:t>Δ</m:t>
        </m:r>
      </m:oMath>
      <w:r>
        <w:t xml:space="preserve">. The Gaussian blur makes STCC decay</w:t>
      </w:r>
      <w:r>
        <w:t xml:space="preserve"> </w:t>
      </w:r>
      <w:r>
        <w:rPr>
          <w:b/>
          <w:bCs/>
        </w:rPr>
        <w:t xml:space="preserve">smoothly and</w:t>
      </w:r>
      <w:r>
        <w:rPr>
          <w:b/>
          <w:bCs/>
        </w:rPr>
        <w:t xml:space="preserve"> </w:t>
      </w:r>
      <w:r>
        <w:rPr>
          <w:b/>
          <w:bCs/>
        </w:rPr>
        <w:t xml:space="preserve">monotonically</w:t>
      </w:r>
      <w:r>
        <w:t xml:space="preserve"> </w:t>
      </w:r>
      <w:r>
        <w:t xml:space="preserve">(</w:t>
      </w:r>
      <m:oMath>
        <m:r>
          <m:rPr>
            <m:sty m:val="p"/>
          </m:rPr>
          <m:t>exp</m:t>
        </m:r>
        <m:r>
          <m:rPr>
            <m:sty m:val="p"/>
          </m:rPr>
          <m:t>(</m:t>
        </m:r>
        <m:r>
          <m:rPr>
            <m:sty m:val="p"/>
          </m:rPr>
          <m:t>−</m:t>
        </m:r>
        <m:sSup>
          <m:e>
            <m:r>
              <m:rPr>
                <m:sty m:val="p"/>
              </m:rPr>
              <m:t>Δ</m:t>
            </m:r>
          </m:e>
          <m:sup>
            <m:r>
              <m:t>2</m:t>
            </m:r>
          </m:sup>
        </m:sSup>
        <m:r>
          <m:rPr>
            <m:sty m:val="p"/>
          </m:rPr>
          <m:t>/</m:t>
        </m:r>
        <m:r>
          <m:t>4</m:t>
        </m:r>
        <m:sSup>
          <m:e>
            <m:r>
              <m:t>σ</m:t>
            </m:r>
          </m:e>
          <m:sup>
            <m:r>
              <m:t>2</m:t>
            </m:r>
          </m:sup>
        </m:sSup>
        <m:r>
          <m:rPr>
            <m:sty m:val="p"/>
          </m:rPr>
          <m:t>)</m:t>
        </m:r>
      </m:oMath>
      <w:r>
        <w:t xml:space="preserve">, blue), so a physical drift costs little; the bin</w:t>
      </w:r>
      <w:r>
        <w:t xml:space="preserve"> </w:t>
      </w:r>
      <w:r>
        <w:t xml:space="preserve">method (orange) instead</w:t>
      </w:r>
      <w:r>
        <w:t xml:space="preserve"> </w:t>
      </w:r>
      <w:r>
        <w:rPr>
          <w:b/>
          <w:bCs/>
        </w:rPr>
        <w:t xml:space="preserve">jumps discontinuously</w:t>
      </w:r>
      <w:r>
        <w:t xml:space="preserve"> </w:t>
      </w:r>
      <w:r>
        <w:t xml:space="preserve">each time the peak crosses an edge — a small drift</w:t>
      </w:r>
      <w:r>
        <w:t xml:space="preserve"> </w:t>
      </w:r>
      <w:r>
        <w:t xml:space="preserve">can cause a sudden score drop. This is why the bin method is shift-brittle and STCC is</w:t>
      </w:r>
      <w:r>
        <w:t xml:space="preserve"> </w:t>
      </w:r>
      <w:r>
        <w:t xml:space="preserve">not.</w:t>
      </w:r>
    </w:p>
    <w:p>
      <w:pPr>
        <w:pStyle w:val="CaptionedFigure"/>
      </w:pPr>
      <w:r>
        <w:drawing>
          <wp:inline>
            <wp:extent cx="5334000" cy="2624327"/>
            <wp:effectExtent b="0" l="0" r="0" t="0"/>
            <wp:docPr descr="Figure S7. The single tuning knob. The same-peak contribution \exp(-\Delta^2/4\sigma^2) (Eq. S9) versus peak displacement \Delta, for three blur widths \sigma. One number sets the entire tolerance scale: a small \sigma is strict (a modest drift already costs similarity), a large \sigma is forgiving. The default is chosen so a typical ^{15}N titration drift (shaded) costs little while a random relocation drives the contribution toward zero." title="" id="35" name="Picture"/>
            <a:graphic>
              <a:graphicData uri="http://schemas.openxmlformats.org/drawingml/2006/picture">
                <pic:pic>
                  <pic:nvPicPr>
                    <pic:cNvPr descr="../results/si_sigma.png" id="36" name="Picture"/>
                    <pic:cNvPicPr>
                      <a:picLocks noChangeArrowheads="1" noChangeAspect="1"/>
                    </pic:cNvPicPr>
                  </pic:nvPicPr>
                  <pic:blipFill>
                    <a:blip r:embed="rId34"/>
                    <a:stretch>
                      <a:fillRect/>
                    </a:stretch>
                  </pic:blipFill>
                  <pic:spPr bwMode="auto">
                    <a:xfrm>
                      <a:off x="0" y="0"/>
                      <a:ext cx="5334000" cy="2624327"/>
                    </a:xfrm>
                    <a:prstGeom prst="rect">
                      <a:avLst/>
                    </a:prstGeom>
                    <a:noFill/>
                    <a:ln w="9525">
                      <a:noFill/>
                      <a:headEnd/>
                      <a:tailEnd/>
                    </a:ln>
                  </pic:spPr>
                </pic:pic>
              </a:graphicData>
            </a:graphic>
          </wp:inline>
        </w:drawing>
      </w:r>
    </w:p>
    <w:p>
      <w:pPr>
        <w:pStyle w:val="ImageCaption"/>
      </w:pPr>
      <w:r>
        <w:rPr>
          <w:b/>
          <w:bCs/>
        </w:rPr>
        <w:t xml:space="preserve">Figure S7.</w:t>
      </w:r>
      <w:r>
        <w:t xml:space="preserve"> </w:t>
      </w:r>
      <w:r>
        <w:t xml:space="preserve">The single tuning knob. The same-peak contribution</w:t>
      </w:r>
      <w:r>
        <w:t xml:space="preserve"> </w:t>
      </w:r>
      <m:oMath>
        <m:r>
          <m:rPr>
            <m:sty m:val="p"/>
          </m:rPr>
          <m:t>exp</m:t>
        </m:r>
        <m:r>
          <m:rPr>
            <m:sty m:val="p"/>
          </m:rPr>
          <m:t>(</m:t>
        </m:r>
        <m:r>
          <m:rPr>
            <m:sty m:val="p"/>
          </m:rPr>
          <m:t>−</m:t>
        </m:r>
        <m:sSup>
          <m:e>
            <m:r>
              <m:rPr>
                <m:sty m:val="p"/>
              </m:rPr>
              <m:t>Δ</m:t>
            </m:r>
          </m:e>
          <m:sup>
            <m:r>
              <m:t>2</m:t>
            </m:r>
          </m:sup>
        </m:sSup>
        <m:r>
          <m:rPr>
            <m:sty m:val="p"/>
          </m:rPr>
          <m:t>/</m:t>
        </m:r>
        <m:r>
          <m:t>4</m:t>
        </m:r>
        <m:sSup>
          <m:e>
            <m:r>
              <m:t>σ</m:t>
            </m:r>
          </m:e>
          <m:sup>
            <m:r>
              <m:t>2</m:t>
            </m:r>
          </m:sup>
        </m:sSup>
        <m:r>
          <m:rPr>
            <m:sty m:val="p"/>
          </m:rPr>
          <m:t>)</m:t>
        </m:r>
      </m:oMath>
      <w:r>
        <w:t xml:space="preserve"> </w:t>
      </w:r>
      <w:r>
        <w:t xml:space="preserve">(Eq. S9) versus peak displacement</w:t>
      </w:r>
      <w:r>
        <w:t xml:space="preserve"> </w:t>
      </w:r>
      <m:oMath>
        <m:r>
          <m:rPr>
            <m:sty m:val="p"/>
          </m:rPr>
          <m:t>Δ</m:t>
        </m:r>
      </m:oMath>
      <w:r>
        <w:t xml:space="preserve">, for three blur widths</w:t>
      </w:r>
      <w:r>
        <w:t xml:space="preserve"> </w:t>
      </w:r>
      <m:oMath>
        <m:r>
          <m:t>σ</m:t>
        </m:r>
      </m:oMath>
      <w:r>
        <w:t xml:space="preserve">. One number sets the</w:t>
      </w:r>
      <w:r>
        <w:t xml:space="preserve"> </w:t>
      </w:r>
      <w:r>
        <w:t xml:space="preserve">entire tolerance scale: a small</w:t>
      </w:r>
      <w:r>
        <w:t xml:space="preserve"> </w:t>
      </w:r>
      <m:oMath>
        <m:r>
          <m:t>σ</m:t>
        </m:r>
      </m:oMath>
      <w:r>
        <w:t xml:space="preserve"> </w:t>
      </w:r>
      <w:r>
        <w:t xml:space="preserve">is strict (a modest drift already costs similarity), a</w:t>
      </w:r>
      <w:r>
        <w:t xml:space="preserve"> </w:t>
      </w:r>
      <w:r>
        <w:t xml:space="preserve">large</w:t>
      </w:r>
      <w:r>
        <w:t xml:space="preserve"> </w:t>
      </w:r>
      <m:oMath>
        <m:r>
          <m:t>σ</m:t>
        </m:r>
      </m:oMath>
      <w:r>
        <w:t xml:space="preserve"> </w:t>
      </w:r>
      <w:r>
        <w:t xml:space="preserve">is forgiving. The default is chosen so a typical</w:t>
      </w:r>
      <w:r>
        <w:t xml:space="preserve"> </w:t>
      </w:r>
      <m:oMath>
        <m:sSup>
          <m:e>
            <m:r>
              <m:t>​</m:t>
            </m:r>
          </m:e>
          <m:sup>
            <m:r>
              <m:t>15</m:t>
            </m:r>
          </m:sup>
        </m:sSup>
      </m:oMath>
      <w:r>
        <w:t xml:space="preserve">N titration drift (shaded)</w:t>
      </w:r>
      <w:r>
        <w:t xml:space="preserve"> </w:t>
      </w:r>
      <w:r>
        <w:t xml:space="preserve">costs little while a random relocation drives the contribution toward</w:t>
      </w:r>
      <w:r>
        <w:t xml:space="preserve"> </w:t>
      </w:r>
      <w:r>
        <w:t xml:space="preserve">zero.</w:t>
      </w:r>
    </w:p>
    <w:p>
      <w:pPr>
        <w:pStyle w:val="BodyText"/>
      </w:pPr>
      <w:r>
        <w:rPr>
          <w:b/>
          <w:bCs/>
        </w:rPr>
        <w:t xml:space="preserve">(b) Coverage penalty from mean-centring.</w:t>
      </w:r>
      <w:r>
        <w:t xml:space="preserve"> </w:t>
      </w:r>
      <w:r>
        <w:t xml:space="preserve">Writing the score as a covariance,</w:t>
      </w:r>
    </w:p>
    <w:p>
      <w:pPr>
        <w:pStyle w:val="BodyText"/>
      </w:pPr>
      <m:oMathPara>
        <m:oMathParaPr>
          <m:jc m:val="center"/>
        </m:oMathParaPr>
        <m:oMath>
          <m:r>
            <m:t>S</m:t>
          </m:r>
          <m:r>
            <m:rPr>
              <m:sty m:val="p"/>
            </m:rPr>
            <m:t>∝</m:t>
          </m:r>
          <m:r>
            <m:rPr>
              <m:sty m:val="p"/>
            </m:rPr>
            <m:t>cov</m:t>
          </m:r>
          <m:r>
            <m:rPr>
              <m:sty m:val="p"/>
            </m:rPr>
            <m:t>(</m:t>
          </m:r>
          <m:sSub>
            <m:e>
              <m:r>
                <m:t>G</m:t>
              </m:r>
            </m:e>
            <m:sub>
              <m:r>
                <m:t>x</m:t>
              </m:r>
            </m:sub>
          </m:sSub>
          <m:r>
            <m:rPr>
              <m:sty m:val="p"/>
            </m:rPr>
            <m:t>,</m:t>
          </m:r>
          <m:sSub>
            <m:e>
              <m:r>
                <m:t>G</m:t>
              </m:r>
            </m:e>
            <m:sub>
              <m:r>
                <m:t>y</m:t>
              </m:r>
            </m:sub>
          </m:sSub>
          <m:r>
            <m:rPr>
              <m:sty m:val="p"/>
            </m:rPr>
            <m:t>)</m:t>
          </m:r>
          <m:r>
            <m:rPr>
              <m:sty m:val="p"/>
            </m:rPr>
            <m:t>=</m:t>
          </m:r>
          <m:f>
            <m:fPr>
              <m:type m:val="bar"/>
            </m:fPr>
            <m:num>
              <m:r>
                <m:t>1</m:t>
              </m:r>
            </m:num>
            <m:den>
              <m:r>
                <m:t>K</m:t>
              </m:r>
              <m:r>
                <m:t>L</m:t>
              </m:r>
            </m:den>
          </m:f>
          <m:nary>
            <m:naryPr>
              <m:chr m:val="∑"/>
              <m:limLoc m:val="undOvr"/>
              <m:subHide m:val="off"/>
              <m:supHide m:val="on"/>
            </m:naryPr>
            <m:sub>
              <m:r>
                <m:t>k</m:t>
              </m:r>
              <m:r>
                <m:rPr>
                  <m:sty m:val="p"/>
                </m:rPr>
                <m:t>,</m:t>
              </m:r>
              <m:r>
                <m:t>l</m:t>
              </m:r>
            </m:sub>
            <m:sup>
              <m:r>
                <m:t>​</m:t>
              </m:r>
            </m:sup>
            <m:e>
              <m:d>
                <m:dPr>
                  <m:begChr m:val="("/>
                  <m:sepChr m:val=""/>
                  <m:endChr m:val=")"/>
                  <m:grow/>
                </m:dPr>
                <m:e>
                  <m:sSub>
                    <m:e>
                      <m:r>
                        <m:t>G</m:t>
                      </m:r>
                    </m:e>
                    <m:sub>
                      <m:r>
                        <m:t>x</m:t>
                      </m:r>
                    </m:sub>
                  </m:sSub>
                  <m:r>
                    <m:rPr>
                      <m:sty m:val="p"/>
                    </m:rPr>
                    <m:t>[</m:t>
                  </m:r>
                  <m:r>
                    <m:t>k</m:t>
                  </m:r>
                  <m:r>
                    <m:rPr>
                      <m:sty m:val="p"/>
                    </m:rPr>
                    <m:t>,</m:t>
                  </m:r>
                  <m:r>
                    <m:t>l</m:t>
                  </m:r>
                  <m:r>
                    <m:rPr>
                      <m:sty m:val="p"/>
                    </m:rPr>
                    <m:t>]</m:t>
                  </m:r>
                  <m:r>
                    <m:rPr>
                      <m:sty m:val="p"/>
                    </m:rPr>
                    <m:t>−</m:t>
                  </m:r>
                  <m:sSub>
                    <m:e>
                      <m:acc>
                        <m:accPr>
                          <m:chr m:val="‾"/>
                        </m:accPr>
                        <m:e>
                          <m:r>
                            <m:t>G</m:t>
                          </m:r>
                        </m:e>
                      </m:acc>
                    </m:e>
                    <m:sub>
                      <m:r>
                        <m:t>x</m:t>
                      </m:r>
                    </m:sub>
                  </m:sSub>
                </m:e>
              </m:d>
            </m:e>
          </m:nary>
          <m:d>
            <m:dPr>
              <m:begChr m:val="("/>
              <m:sepChr m:val=""/>
              <m:endChr m:val=")"/>
              <m:grow/>
            </m:dPr>
            <m:e>
              <m:sSub>
                <m:e>
                  <m:r>
                    <m:t>G</m:t>
                  </m:r>
                </m:e>
                <m:sub>
                  <m:r>
                    <m:t>y</m:t>
                  </m:r>
                </m:sub>
              </m:sSub>
              <m:r>
                <m:rPr>
                  <m:sty m:val="p"/>
                </m:rPr>
                <m:t>[</m:t>
              </m:r>
              <m:r>
                <m:t>k</m:t>
              </m:r>
              <m:r>
                <m:rPr>
                  <m:sty m:val="p"/>
                </m:rPr>
                <m:t>,</m:t>
              </m:r>
              <m:r>
                <m:t>l</m:t>
              </m:r>
              <m:r>
                <m:rPr>
                  <m:sty m:val="p"/>
                </m:rPr>
                <m:t>]</m:t>
              </m:r>
              <m:r>
                <m:rPr>
                  <m:sty m:val="p"/>
                </m:rPr>
                <m:t>−</m:t>
              </m:r>
              <m:sSub>
                <m:e>
                  <m:acc>
                    <m:accPr>
                      <m:chr m:val="‾"/>
                    </m:accPr>
                    <m:e>
                      <m:r>
                        <m:t>G</m:t>
                      </m:r>
                    </m:e>
                  </m:acc>
                </m:e>
                <m:sub>
                  <m:r>
                    <m:t>y</m:t>
                  </m:r>
                </m:sub>
              </m:sSub>
            </m:e>
          </m:d>
          <m:r>
            <m:rPr>
              <m:sty m:val="p"/>
            </m:rPr>
            <m:t>,</m:t>
          </m:r>
        </m:oMath>
      </m:oMathPara>
    </w:p>
    <w:p>
      <w:pPr>
        <w:pStyle w:val="FirstParagraph"/>
      </w:pPr>
      <w:r>
        <w:t xml:space="preserve">a cell where one spectrum has a peak (value above its mean) and the other is empty (value below</w:t>
      </w:r>
      <w:r>
        <w:t xml:space="preserve"> </w:t>
      </w:r>
      <w:r>
        <w:t xml:space="preserve">its mean) contributes a</w:t>
      </w:r>
      <w:r>
        <w:t xml:space="preserve"> </w:t>
      </w:r>
      <w:r>
        <w:rPr>
          <w:b/>
          <w:bCs/>
        </w:rPr>
        <w:t xml:space="preserve">negative</w:t>
      </w:r>
      <w:r>
        <w:t xml:space="preserve"> </w:t>
      </w:r>
      <w:r>
        <w:t xml:space="preserve">product and</w:t>
      </w:r>
      <w:r>
        <w:t xml:space="preserve"> </w:t>
      </w:r>
      <w:r>
        <w:rPr>
          <w:i/>
          <w:iCs/>
        </w:rPr>
        <w:t xml:space="preserve">lowers</w:t>
      </w:r>
      <w:r>
        <w:t xml:space="preserve"> </w:t>
      </w:r>
      <m:oMath>
        <m:r>
          <m:t>S</m:t>
        </m:r>
      </m:oMath>
      <w:r>
        <w:t xml:space="preserve">. Intensity that is not co-located is</w:t>
      </w:r>
      <w:r>
        <w:t xml:space="preserve"> </w:t>
      </w:r>
      <w:r>
        <w:t xml:space="preserve">therefore actively penalized — a differently-scattered protein cannot hide behind coincidental</w:t>
      </w:r>
      <w:r>
        <w:t xml:space="preserve"> </w:t>
      </w:r>
      <w:r>
        <w:t xml:space="preserve">proximity the way it does under NN’s one-way nearest-neighbour distance. This mean-centring step is</w:t>
      </w:r>
      <w:r>
        <w:t xml:space="preserve"> </w:t>
      </w:r>
      <w:r>
        <w:t xml:space="preserve">worth</w:t>
      </w:r>
      <w:r>
        <w:t xml:space="preserve"> </w:t>
      </w:r>
      <m:oMath>
        <m:r>
          <m:rPr>
            <m:sty m:val="p"/>
          </m:rPr>
          <m:t>≈</m:t>
        </m:r>
        <m:r>
          <m:rPr>
            <m:sty m:val="p"/>
          </m:rPr>
          <m:t>+</m:t>
        </m:r>
        <m:r>
          <m:t>0.16</m:t>
        </m:r>
      </m:oMath>
      <w:r>
        <w:t xml:space="preserve"> </w:t>
      </w:r>
      <w:r>
        <w:t xml:space="preserve">of separation over an un-centred overlap on the protein benchmark (§S10).</w:t>
      </w:r>
    </w:p>
    <w:p>
      <w:pPr>
        <w:pStyle w:val="CaptionedFigure"/>
      </w:pPr>
      <w:r>
        <w:drawing>
          <wp:inline>
            <wp:extent cx="5334000" cy="2895353"/>
            <wp:effectExtent b="0" l="0" r="0" t="0"/>
            <wp:docPr descr="Figure S8. Why mean-centring is the discriminating step (1-D cross-section). Two images \widehat{G}_X (blue) and \widehat{G}_Y (orange) and their elementwise product (red = positive, blue = negative). Left (STCC, mean-centred): where both have a peak the product is positive (reward); where one has a peak and the other is empty, the empty image sits below its mean so the product is negative — non-co-located intensity is actively penalized. Right (un-centred cosine): every product is \ge 0, so a mismatched peak contributes nothing and cannot be penalized. Mean-centring is exactly what converts “overlap” into “discrimination”." title="" id="38" name="Picture"/>
            <a:graphic>
              <a:graphicData uri="http://schemas.openxmlformats.org/drawingml/2006/picture">
                <pic:pic>
                  <pic:nvPicPr>
                    <pic:cNvPr descr="../results/si_meancentre.png" id="39" name="Picture"/>
                    <pic:cNvPicPr>
                      <a:picLocks noChangeArrowheads="1" noChangeAspect="1"/>
                    </pic:cNvPicPr>
                  </pic:nvPicPr>
                  <pic:blipFill>
                    <a:blip r:embed="rId37"/>
                    <a:stretch>
                      <a:fillRect/>
                    </a:stretch>
                  </pic:blipFill>
                  <pic:spPr bwMode="auto">
                    <a:xfrm>
                      <a:off x="0" y="0"/>
                      <a:ext cx="5334000" cy="2895353"/>
                    </a:xfrm>
                    <a:prstGeom prst="rect">
                      <a:avLst/>
                    </a:prstGeom>
                    <a:noFill/>
                    <a:ln w="9525">
                      <a:noFill/>
                      <a:headEnd/>
                      <a:tailEnd/>
                    </a:ln>
                  </pic:spPr>
                </pic:pic>
              </a:graphicData>
            </a:graphic>
          </wp:inline>
        </w:drawing>
      </w:r>
    </w:p>
    <w:p>
      <w:pPr>
        <w:pStyle w:val="ImageCaption"/>
      </w:pPr>
      <w:r>
        <w:rPr>
          <w:b/>
          <w:bCs/>
        </w:rPr>
        <w:t xml:space="preserve">Figure S8.</w:t>
      </w:r>
      <w:r>
        <w:t xml:space="preserve"> </w:t>
      </w:r>
      <w:r>
        <w:t xml:space="preserve">Why mean-centring is the discriminating step (1-D cross-section). Two images</w:t>
      </w:r>
      <w:r>
        <w:t xml:space="preserve"> </w:t>
      </w:r>
      <m:oMath>
        <m:sSub>
          <m:e>
            <m:acc>
              <m:accPr>
                <m:chr m:val="̂"/>
              </m:accPr>
              <m:e>
                <m:r>
                  <m:t>G</m:t>
                </m:r>
              </m:e>
            </m:acc>
          </m:e>
          <m:sub>
            <m:r>
              <m:t>X</m:t>
            </m:r>
          </m:sub>
        </m:sSub>
      </m:oMath>
      <w:r>
        <w:t xml:space="preserve"> </w:t>
      </w:r>
      <w:r>
        <w:t xml:space="preserve">(blue) and</w:t>
      </w:r>
      <w:r>
        <w:t xml:space="preserve"> </w:t>
      </w:r>
      <m:oMath>
        <m:sSub>
          <m:e>
            <m:acc>
              <m:accPr>
                <m:chr m:val="̂"/>
              </m:accPr>
              <m:e>
                <m:r>
                  <m:t>G</m:t>
                </m:r>
              </m:e>
            </m:acc>
          </m:e>
          <m:sub>
            <m:r>
              <m:t>Y</m:t>
            </m:r>
          </m:sub>
        </m:sSub>
      </m:oMath>
      <w:r>
        <w:t xml:space="preserve"> </w:t>
      </w:r>
      <w:r>
        <w:t xml:space="preserve">(orange) and their elementwise product (red</w:t>
      </w:r>
      <w:r>
        <w:t xml:space="preserve"> </w:t>
      </w:r>
      <m:oMath>
        <m:r>
          <m:rPr>
            <m:sty m:val="p"/>
          </m:rPr>
          <m:t>=</m:t>
        </m:r>
      </m:oMath>
      <w:r>
        <w:t xml:space="preserve"> </w:t>
      </w:r>
      <w:r>
        <w:t xml:space="preserve">positive,</w:t>
      </w:r>
      <w:r>
        <w:t xml:space="preserve"> </w:t>
      </w:r>
      <w:r>
        <w:t xml:space="preserve">blue</w:t>
      </w:r>
      <w:r>
        <w:t xml:space="preserve"> </w:t>
      </w:r>
      <m:oMath>
        <m:r>
          <m:rPr>
            <m:sty m:val="p"/>
          </m:rPr>
          <m:t>=</m:t>
        </m:r>
      </m:oMath>
      <w:r>
        <w:t xml:space="preserve"> </w:t>
      </w:r>
      <w:r>
        <w:t xml:space="preserve">negative).</w:t>
      </w:r>
      <w:r>
        <w:t xml:space="preserve"> </w:t>
      </w:r>
      <w:r>
        <w:rPr>
          <w:b/>
          <w:bCs/>
        </w:rPr>
        <w:t xml:space="preserve">Left (STCC, mean-centred):</w:t>
      </w:r>
      <w:r>
        <w:t xml:space="preserve"> </w:t>
      </w:r>
      <w:r>
        <w:t xml:space="preserve">where both have a peak the product is</w:t>
      </w:r>
      <w:r>
        <w:t xml:space="preserve"> </w:t>
      </w:r>
      <w:r>
        <w:rPr>
          <w:b/>
          <w:bCs/>
        </w:rPr>
        <w:t xml:space="preserve">positive</w:t>
      </w:r>
      <w:r>
        <w:t xml:space="preserve"> </w:t>
      </w:r>
      <w:r>
        <w:t xml:space="preserve">(reward); where one has a peak and the other is empty, the empty image sits</w:t>
      </w:r>
      <w:r>
        <w:t xml:space="preserve"> </w:t>
      </w:r>
      <w:r>
        <w:rPr>
          <w:i/>
          <w:iCs/>
        </w:rPr>
        <w:t xml:space="preserve">below its mean</w:t>
      </w:r>
      <w:r>
        <w:t xml:space="preserve"> </w:t>
      </w:r>
      <w:r>
        <w:t xml:space="preserve">so the</w:t>
      </w:r>
      <w:r>
        <w:t xml:space="preserve"> </w:t>
      </w:r>
      <w:r>
        <w:t xml:space="preserve">product is</w:t>
      </w:r>
      <w:r>
        <w:t xml:space="preserve"> </w:t>
      </w:r>
      <w:r>
        <w:rPr>
          <w:b/>
          <w:bCs/>
        </w:rPr>
        <w:t xml:space="preserve">negative</w:t>
      </w:r>
      <w:r>
        <w:t xml:space="preserve"> </w:t>
      </w:r>
      <w:r>
        <w:t xml:space="preserve">— non-co-located intensity is actively</w:t>
      </w:r>
      <w:r>
        <w:t xml:space="preserve"> </w:t>
      </w:r>
      <w:r>
        <w:rPr>
          <w:b/>
          <w:bCs/>
        </w:rPr>
        <w:t xml:space="preserve">penalized</w:t>
      </w:r>
      <w:r>
        <w:t xml:space="preserve">.</w:t>
      </w:r>
      <w:r>
        <w:t xml:space="preserve"> </w:t>
      </w:r>
      <w:r>
        <w:rPr>
          <w:b/>
          <w:bCs/>
        </w:rPr>
        <w:t xml:space="preserve">Right (un-centred</w:t>
      </w:r>
      <w:r>
        <w:rPr>
          <w:b/>
          <w:bCs/>
        </w:rPr>
        <w:t xml:space="preserve"> </w:t>
      </w:r>
      <w:r>
        <w:rPr>
          <w:b/>
          <w:bCs/>
        </w:rPr>
        <w:t xml:space="preserve">cosine):</w:t>
      </w:r>
      <w:r>
        <w:t xml:space="preserve"> </w:t>
      </w:r>
      <w:r>
        <w:t xml:space="preserve">every product is</w:t>
      </w:r>
      <w:r>
        <w:t xml:space="preserve"> </w:t>
      </w:r>
      <m:oMath>
        <m:r>
          <m:rPr>
            <m:sty m:val="p"/>
          </m:rPr>
          <m:t>≥</m:t>
        </m:r>
        <m:r>
          <m:t>0</m:t>
        </m:r>
      </m:oMath>
      <w:r>
        <w:t xml:space="preserve">, so a mismatched peak contributes nothing and cannot be</w:t>
      </w:r>
      <w:r>
        <w:t xml:space="preserve"> </w:t>
      </w:r>
      <w:r>
        <w:t xml:space="preserve">penalized. Mean-centring is exactly what converts</w:t>
      </w:r>
      <w:r>
        <w:t xml:space="preserve"> </w:t>
      </w:r>
      <w:r>
        <w:t xml:space="preserve">“overlap”</w:t>
      </w:r>
      <w:r>
        <w:t xml:space="preserve"> </w:t>
      </w:r>
      <w:r>
        <w:t xml:space="preserve">into</w:t>
      </w:r>
      <w:r>
        <w:t xml:space="preserve"> </w:t>
      </w:r>
      <w:r>
        <w:t xml:space="preserve">“discrimination”</w:t>
      </w:r>
      <w:r>
        <w:t xml:space="preserve">.</w:t>
      </w:r>
    </w:p>
    <w:p>
      <w:pPr>
        <w:pStyle w:val="BodyText"/>
      </w:pPr>
      <w:r>
        <w:rPr>
          <w:b/>
          <w:bCs/>
        </w:rPr>
        <w:t xml:space="preserve">(c) Zero lag on purpose.</w:t>
      </w:r>
      <w:r>
        <w:t xml:space="preserve"> </w:t>
      </w:r>
      <w:r>
        <w:t xml:space="preserve">Adding a global shift search (FFT / block matching), as used in</w:t>
      </w:r>
      <w:r>
        <w:t xml:space="preserve"> </w:t>
      </w:r>
      <w:r>
        <w:t xml:space="preserve">spectral-alignment tools [9], would let a</w:t>
      </w:r>
      <w:r>
        <w:t xml:space="preserve"> </w:t>
      </w:r>
      <w:r>
        <w:t xml:space="preserve">different protein slide into registration and re-saturate — the same failure as tree/NN. Scoring</w:t>
      </w:r>
      <w:r>
        <w:t xml:space="preserve"> </w:t>
      </w:r>
      <w:r>
        <w:t xml:space="preserve">at zero lag keeps the position information that carries the discrimination.</w:t>
      </w:r>
    </w:p>
    <w:p>
      <w:pPr>
        <w:pStyle w:val="CaptionedFigure"/>
      </w:pPr>
      <w:r>
        <w:drawing>
          <wp:inline>
            <wp:extent cx="5334000" cy="2150096"/>
            <wp:effectExtent b="0" l="0" r="0" t="0"/>
            <wp:docPr descr="Figure S9. Why the score is read at zero lag. (a) Two genuinely different compounds (unequal peak spacing, so no rigid shift aligns them all). (b) Their normalized correlation as a function of a rigid lag \tau. At zero lag the score is correctly low (0.08, blue); a global shift search would instead report the maximum over all lags (0.75, red), sliding the different spectra into a partial false registration — the same over-tolerant saturation as tree/NN. STCC scores only at \tau = 0, keeping the position information that carries the discrimination." title="" id="41" name="Picture"/>
            <a:graphic>
              <a:graphicData uri="http://schemas.openxmlformats.org/drawingml/2006/picture">
                <pic:pic>
                  <pic:nvPicPr>
                    <pic:cNvPr descr="../results/si_zerolag.png" id="42" name="Picture"/>
                    <pic:cNvPicPr>
                      <a:picLocks noChangeArrowheads="1" noChangeAspect="1"/>
                    </pic:cNvPicPr>
                  </pic:nvPicPr>
                  <pic:blipFill>
                    <a:blip r:embed="rId40"/>
                    <a:stretch>
                      <a:fillRect/>
                    </a:stretch>
                  </pic:blipFill>
                  <pic:spPr bwMode="auto">
                    <a:xfrm>
                      <a:off x="0" y="0"/>
                      <a:ext cx="5334000" cy="2150096"/>
                    </a:xfrm>
                    <a:prstGeom prst="rect">
                      <a:avLst/>
                    </a:prstGeom>
                    <a:noFill/>
                    <a:ln w="9525">
                      <a:noFill/>
                      <a:headEnd/>
                      <a:tailEnd/>
                    </a:ln>
                  </pic:spPr>
                </pic:pic>
              </a:graphicData>
            </a:graphic>
          </wp:inline>
        </w:drawing>
      </w:r>
    </w:p>
    <w:p>
      <w:pPr>
        <w:pStyle w:val="ImageCaption"/>
      </w:pPr>
      <w:r>
        <w:rPr>
          <w:b/>
          <w:bCs/>
        </w:rPr>
        <w:t xml:space="preserve">Figure S9.</w:t>
      </w:r>
      <w:r>
        <w:t xml:space="preserve"> </w:t>
      </w:r>
      <w:r>
        <w:t xml:space="preserve">Why the score is read at</w:t>
      </w:r>
      <w:r>
        <w:t xml:space="preserve"> </w:t>
      </w:r>
      <w:r>
        <w:rPr>
          <w:b/>
          <w:bCs/>
        </w:rPr>
        <w:t xml:space="preserve">zero lag</w:t>
      </w:r>
      <w:r>
        <w:t xml:space="preserve">.</w:t>
      </w:r>
      <w:r>
        <w:t xml:space="preserve"> </w:t>
      </w:r>
      <w:r>
        <w:rPr>
          <w:b/>
          <w:bCs/>
        </w:rPr>
        <w:t xml:space="preserve">(a)</w:t>
      </w:r>
      <w:r>
        <w:t xml:space="preserve"> </w:t>
      </w:r>
      <w:r>
        <w:t xml:space="preserve">Two genuinely different compounds</w:t>
      </w:r>
      <w:r>
        <w:t xml:space="preserve"> </w:t>
      </w:r>
      <w:r>
        <w:t xml:space="preserve">(unequal peak spacing, so no rigid shift aligns them all).</w:t>
      </w:r>
      <w:r>
        <w:t xml:space="preserve"> </w:t>
      </w:r>
      <w:r>
        <w:rPr>
          <w:b/>
          <w:bCs/>
        </w:rPr>
        <w:t xml:space="preserve">(b)</w:t>
      </w:r>
      <w:r>
        <w:t xml:space="preserve"> </w:t>
      </w:r>
      <w:r>
        <w:t xml:space="preserve">Their normalized correlation as a</w:t>
      </w:r>
      <w:r>
        <w:t xml:space="preserve"> </w:t>
      </w:r>
      <w:r>
        <w:t xml:space="preserve">function of a rigid lag</w:t>
      </w:r>
      <w:r>
        <w:t xml:space="preserve"> </w:t>
      </w:r>
      <m:oMath>
        <m:r>
          <m:t>τ</m:t>
        </m:r>
      </m:oMath>
      <w:r>
        <w:t xml:space="preserve">. At zero lag the score is correctly</w:t>
      </w:r>
      <w:r>
        <w:t xml:space="preserve"> </w:t>
      </w:r>
      <w:r>
        <w:rPr>
          <w:b/>
          <w:bCs/>
        </w:rPr>
        <w:t xml:space="preserve">low</w:t>
      </w:r>
      <w:r>
        <w:t xml:space="preserve"> </w:t>
      </w:r>
      <w:r>
        <w:t xml:space="preserve">(0.08, blue); a global</w:t>
      </w:r>
      <w:r>
        <w:t xml:space="preserve"> </w:t>
      </w:r>
      <w:r>
        <w:t xml:space="preserve">shift search would instead report the</w:t>
      </w:r>
      <w:r>
        <w:t xml:space="preserve"> </w:t>
      </w:r>
      <w:r>
        <w:rPr>
          <w:b/>
          <w:bCs/>
        </w:rPr>
        <w:t xml:space="preserve">maximum</w:t>
      </w:r>
      <w:r>
        <w:t xml:space="preserve"> </w:t>
      </w:r>
      <w:r>
        <w:t xml:space="preserve">over all lags (0.75, red), sliding the different</w:t>
      </w:r>
      <w:r>
        <w:t xml:space="preserve"> </w:t>
      </w:r>
      <w:r>
        <w:t xml:space="preserve">spectra into a partial false registration — the same over-tolerant saturation as tree/NN. STCC scores</w:t>
      </w:r>
      <w:r>
        <w:t xml:space="preserve"> </w:t>
      </w:r>
      <w:r>
        <w:t xml:space="preserve">only at</w:t>
      </w:r>
      <w:r>
        <w:t xml:space="preserve"> </w:t>
      </w:r>
      <m:oMath>
        <m:r>
          <m:t>τ</m:t>
        </m:r>
        <m:r>
          <m:rPr>
            <m:sty m:val="p"/>
          </m:rPr>
          <m:t>=</m:t>
        </m:r>
        <m:r>
          <m:t>0</m:t>
        </m:r>
      </m:oMath>
      <w:r>
        <w:t xml:space="preserve">, keeping the position information that carries the</w:t>
      </w:r>
      <w:r>
        <w:t xml:space="preserve"> </w:t>
      </w:r>
      <w:r>
        <w:t xml:space="preserve">discrimination.</w:t>
      </w:r>
    </w:p>
    <w:bookmarkEnd w:id="43"/>
    <w:bookmarkStart w:id="47" w:name="s7-parameters"/>
    <w:p>
      <w:pPr>
        <w:pStyle w:val="Heading2"/>
      </w:pPr>
      <w:r>
        <w:t xml:space="preserve">S7 Parameters</w:t>
      </w:r>
    </w:p>
    <w:p>
      <w:pPr>
        <w:pStyle w:val="FirstParagraph"/>
      </w:pPr>
      <w:r>
        <w:rPr>
          <w:b/>
          <w:bCs/>
        </w:rPr>
        <w:t xml:space="preserve">Table S1.</w:t>
      </w:r>
      <w:r>
        <w:t xml:space="preserve"> </w:t>
      </w:r>
      <w:r>
        <w:t xml:space="preserve">STCC parameters. The two blur widths are the only tuning levers, and both are set by</w:t>
      </w:r>
      <w:r>
        <w:t xml:space="preserve"> </w:t>
      </w:r>
      <w:r>
        <w:t xml:space="preserve">spectroscopy: the linewidth sets the floor, the expected shift perturbation sets the tolerance.</w:t>
      </w:r>
    </w:p>
    <w:tbl>
      <w:tblPr>
        <w:tblStyle w:val="Table"/>
        <w:tblW w:type="pct" w:w="5000"/>
        <w:tblLayout w:type="fixed"/>
        <w:tblLook w:firstRow="1" w:lastRow="0" w:firstColumn="0" w:lastColumn="0" w:noHBand="0" w:noVBand="0" w:val="0020"/>
      </w:tblPr>
      <w:tblGrid>
        <w:gridCol w:w="1697"/>
        <w:gridCol w:w="1697"/>
        <w:gridCol w:w="2828"/>
        <w:gridCol w:w="1697"/>
      </w:tblGrid>
      <w:tr>
        <w:trPr>
          <w:tblHeader w:val="on"/>
        </w:trPr>
        <w:tc>
          <w:tcPr/>
          <w:p>
            <w:pPr>
              <w:pStyle w:val="Compact"/>
            </w:pPr>
            <w:r>
              <w:t xml:space="preserve">symbol</w:t>
            </w:r>
          </w:p>
        </w:tc>
        <w:tc>
          <w:tcPr/>
          <w:p>
            <w:pPr>
              <w:pStyle w:val="Compact"/>
            </w:pPr>
            <w:r>
              <w:t xml:space="preserve">flag</w:t>
            </w:r>
          </w:p>
        </w:tc>
        <w:tc>
          <w:tcPr/>
          <w:p>
            <w:pPr>
              <w:pStyle w:val="Compact"/>
              <w:jc w:val="center"/>
            </w:pPr>
            <w:r>
              <w:t xml:space="preserve">default (</w:t>
            </w:r>
            <m:oMath>
              <m:sSup>
                <m:e>
                  <m:r>
                    <m:t>​</m:t>
                  </m:r>
                </m:e>
                <m:sup>
                  <m:r>
                    <m:t>1</m:t>
                  </m:r>
                </m:sup>
              </m:sSup>
            </m:oMath>
            <w:r>
              <w:t xml:space="preserve">H–</w:t>
            </w:r>
            <m:oMath>
              <m:sSup>
                <m:e>
                  <m:r>
                    <m:t>​</m:t>
                  </m:r>
                </m:e>
                <m:sup>
                  <m:r>
                    <m:t>15</m:t>
                  </m:r>
                </m:sup>
              </m:sSup>
            </m:oMath>
            <w:r>
              <w:t xml:space="preserve">N)</w:t>
            </w:r>
          </w:p>
        </w:tc>
        <w:tc>
          <w:tcPr/>
          <w:p>
            <w:pPr>
              <w:pStyle w:val="Compact"/>
            </w:pPr>
            <w:r>
              <w:t xml:space="preserve">meaning</w:t>
            </w:r>
          </w:p>
        </w:tc>
      </w:tr>
      <w:tr>
        <w:tc>
          <w:tcPr/>
          <w:p>
            <w:pPr>
              <w:pStyle w:val="Compact"/>
            </w:pPr>
            <m:oMath>
              <m:sSub>
                <m:e>
                  <m:r>
                    <m:t>σ</m:t>
                  </m:r>
                </m:e>
                <m:sub>
                  <m:r>
                    <m:t>F</m:t>
                  </m:r>
                  <m:r>
                    <m:t>2</m:t>
                  </m:r>
                </m:sub>
              </m:sSub>
            </m:oMath>
            <w:r>
              <w:t xml:space="preserve">​</w:t>
            </w:r>
          </w:p>
        </w:tc>
        <w:tc>
          <w:tcPr/>
          <w:p>
            <w:pPr>
              <w:pStyle w:val="Compact"/>
            </w:pPr>
            <w:r>
              <w:rPr>
                <w:rStyle w:val="VerbatimChar"/>
              </w:rPr>
              <w:t xml:space="preserve">--sigma-f2</w:t>
            </w:r>
          </w:p>
        </w:tc>
        <w:tc>
          <w:tcPr/>
          <w:p>
            <w:pPr>
              <w:pStyle w:val="Compact"/>
              <w:jc w:val="center"/>
            </w:pPr>
            <w:r>
              <w:t xml:space="preserve">0.03 ppm</w:t>
            </w:r>
          </w:p>
        </w:tc>
        <w:tc>
          <w:tcPr/>
          <w:p>
            <w:pPr>
              <w:pStyle w:val="Compact"/>
            </w:pPr>
            <m:oMath>
              <m:sSup>
                <m:e>
                  <m:r>
                    <m:t>​</m:t>
                  </m:r>
                </m:e>
                <m:sup>
                  <m:r>
                    <m:t>1</m:t>
                  </m:r>
                </m:sup>
              </m:sSup>
            </m:oMath>
            <w:r>
              <w:t xml:space="preserve">H linewidth + drift blur width (main</w:t>
            </w:r>
            <w:r>
              <w:t xml:space="preserve"> </w:t>
            </w:r>
            <m:oMath>
              <m:r>
                <m:t>F</m:t>
              </m:r>
              <m:r>
                <m:t>2</m:t>
              </m:r>
            </m:oMath>
            <w:r>
              <w:t xml:space="preserve"> </w:t>
            </w:r>
            <w:r>
              <w:t xml:space="preserve">tolerance)</w:t>
            </w:r>
          </w:p>
        </w:tc>
      </w:tr>
      <w:tr>
        <w:tc>
          <w:tcPr/>
          <w:p>
            <w:pPr>
              <w:pStyle w:val="Compact"/>
            </w:pPr>
            <m:oMath>
              <m:sSub>
                <m:e>
                  <m:r>
                    <m:t>σ</m:t>
                  </m:r>
                </m:e>
                <m:sub>
                  <m:r>
                    <m:t>F</m:t>
                  </m:r>
                  <m:r>
                    <m:t>1</m:t>
                  </m:r>
                </m:sub>
              </m:sSub>
            </m:oMath>
            <w:r>
              <w:t xml:space="preserve">​</w:t>
            </w:r>
          </w:p>
        </w:tc>
        <w:tc>
          <w:tcPr/>
          <w:p>
            <w:pPr>
              <w:pStyle w:val="Compact"/>
            </w:pPr>
            <w:r>
              <w:rPr>
                <w:rStyle w:val="VerbatimChar"/>
              </w:rPr>
              <w:t xml:space="preserve">--sigma-f1</w:t>
            </w:r>
          </w:p>
        </w:tc>
        <w:tc>
          <w:tcPr/>
          <w:p>
            <w:pPr>
              <w:pStyle w:val="Compact"/>
              <w:jc w:val="center"/>
            </w:pPr>
            <w:r>
              <w:t xml:space="preserve">0.30 ppm</w:t>
            </w:r>
          </w:p>
        </w:tc>
        <w:tc>
          <w:tcPr/>
          <w:p>
            <w:pPr>
              <w:pStyle w:val="Compact"/>
            </w:pPr>
            <m:oMath>
              <m:sSup>
                <m:e>
                  <m:r>
                    <m:t>​</m:t>
                  </m:r>
                </m:e>
                <m:sup>
                  <m:r>
                    <m:t>15</m:t>
                  </m:r>
                </m:sup>
              </m:sSup>
            </m:oMath>
            <w:r>
              <w:t xml:space="preserve">N/</w:t>
            </w:r>
            <m:oMath>
              <m:sSup>
                <m:e>
                  <m:r>
                    <m:t>​</m:t>
                  </m:r>
                </m:e>
                <m:sup>
                  <m:r>
                    <m:t>13</m:t>
                  </m:r>
                </m:sup>
              </m:sSup>
            </m:oMath>
            <w:r>
              <w:t xml:space="preserve">C linewidth + drift (main tuning lever)</w:t>
            </w:r>
          </w:p>
        </w:tc>
      </w:tr>
      <w:tr>
        <w:tc>
          <w:tcPr/>
          <w:p>
            <w:pPr>
              <w:pStyle w:val="Compact"/>
            </w:pPr>
            <m:oMath>
              <m:sSub>
                <m:e>
                  <m:r>
                    <m:rPr>
                      <m:sty m:val="p"/>
                    </m:rPr>
                    <m:t>Δ</m:t>
                  </m:r>
                </m:e>
                <m:sub>
                  <m:r>
                    <m:t>2</m:t>
                  </m:r>
                </m:sub>
              </m:sSub>
            </m:oMath>
            <w:r>
              <w:t xml:space="preserve">​</w:t>
            </w:r>
          </w:p>
        </w:tc>
        <w:tc>
          <w:tcPr/>
          <w:p>
            <w:pPr>
              <w:pStyle w:val="Compact"/>
            </w:pPr>
            <w:r>
              <w:rPr>
                <w:rStyle w:val="VerbatimChar"/>
              </w:rPr>
              <w:t xml:space="preserve">--step-f2</w:t>
            </w:r>
          </w:p>
        </w:tc>
        <w:tc>
          <w:tcPr/>
          <w:p>
            <w:pPr>
              <w:pStyle w:val="Compact"/>
              <w:jc w:val="center"/>
            </w:pPr>
            <w:r>
              <w:t xml:space="preserve">0.01 ppm</w:t>
            </w:r>
          </w:p>
        </w:tc>
        <w:tc>
          <w:tcPr/>
          <w:p>
            <w:pPr>
              <w:pStyle w:val="Compact"/>
            </w:pPr>
            <m:oMath>
              <m:r>
                <m:t>F</m:t>
              </m:r>
              <m:r>
                <m:t>2</m:t>
              </m:r>
            </m:oMath>
            <w:r>
              <w:t xml:space="preserve"> </w:t>
            </w:r>
            <w:r>
              <w:t xml:space="preserve">render pixel width (</w:t>
            </w:r>
            <m:oMath>
              <m:r>
                <m:rPr>
                  <m:sty m:val="p"/>
                </m:rPr>
                <m:t>≥</m:t>
              </m:r>
              <m:r>
                <m:t>3</m:t>
              </m:r>
            </m:oMath>
            <w:r>
              <w:t xml:space="preserve"> </w:t>
            </w:r>
            <w:r>
              <w:t xml:space="preserve">px per</w:t>
            </w:r>
            <w:r>
              <w:t xml:space="preserve"> </w:t>
            </w:r>
            <m:oMath>
              <m:r>
                <m:t>σ</m:t>
              </m:r>
            </m:oMath>
            <w:r>
              <w:t xml:space="preserve">; score grid-invariant)</w:t>
            </w:r>
          </w:p>
        </w:tc>
      </w:tr>
      <w:tr>
        <w:tc>
          <w:tcPr/>
          <w:p>
            <w:pPr>
              <w:pStyle w:val="Compact"/>
            </w:pPr>
            <m:oMath>
              <m:sSub>
                <m:e>
                  <m:r>
                    <m:rPr>
                      <m:sty m:val="p"/>
                    </m:rPr>
                    <m:t>Δ</m:t>
                  </m:r>
                </m:e>
                <m:sub>
                  <m:r>
                    <m:t>1</m:t>
                  </m:r>
                </m:sub>
              </m:sSub>
            </m:oMath>
            <w:r>
              <w:t xml:space="preserve">​</w:t>
            </w:r>
          </w:p>
        </w:tc>
        <w:tc>
          <w:tcPr/>
          <w:p>
            <w:pPr>
              <w:pStyle w:val="Compact"/>
            </w:pPr>
            <w:r>
              <w:rPr>
                <w:rStyle w:val="VerbatimChar"/>
              </w:rPr>
              <w:t xml:space="preserve">--step-f1</w:t>
            </w:r>
          </w:p>
        </w:tc>
        <w:tc>
          <w:tcPr/>
          <w:p>
            <w:pPr>
              <w:pStyle w:val="Compact"/>
              <w:jc w:val="center"/>
            </w:pPr>
            <w:r>
              <w:t xml:space="preserve">0.10 ppm</w:t>
            </w:r>
          </w:p>
        </w:tc>
        <w:tc>
          <w:tcPr/>
          <w:p>
            <w:pPr>
              <w:pStyle w:val="Compact"/>
            </w:pPr>
            <m:oMath>
              <m:r>
                <m:t>F</m:t>
              </m:r>
              <m:r>
                <m:t>1</m:t>
              </m:r>
            </m:oMath>
            <w:r>
              <w:t xml:space="preserve"> </w:t>
            </w:r>
            <w:r>
              <w:t xml:space="preserve">render pixel width</w:t>
            </w:r>
          </w:p>
        </w:tc>
      </w:tr>
      <w:tr>
        <w:tc>
          <w:tcPr/>
          <w:p>
            <w:pPr>
              <w:pStyle w:val="Compact"/>
            </w:pPr>
            <m:oMath>
              <m:r>
                <m:t>ρ</m:t>
              </m:r>
            </m:oMath>
            <w:r>
              <w:t xml:space="preserve">​</w:t>
            </w:r>
          </w:p>
        </w:tc>
        <w:tc>
          <w:tcPr/>
          <w:p>
            <w:pPr>
              <w:pStyle w:val="Compact"/>
            </w:pPr>
            <w:r>
              <w:rPr>
                <w:rStyle w:val="VerbatimChar"/>
              </w:rPr>
              <w:t xml:space="preserve">--p</w:t>
            </w:r>
          </w:p>
        </w:tc>
        <w:tc>
          <w:tcPr/>
          <w:p>
            <w:pPr>
              <w:pStyle w:val="Compact"/>
              <w:jc w:val="center"/>
            </w:pPr>
            <w:r>
              <w:t xml:space="preserve">1.0</w:t>
            </w:r>
          </w:p>
        </w:tc>
        <w:tc>
          <w:tcPr/>
          <w:p>
            <w:pPr>
              <w:pStyle w:val="Compact"/>
            </w:pPr>
            <w:r>
              <w:t xml:space="preserve">intensity compression exponent (off)</w:t>
            </w:r>
          </w:p>
        </w:tc>
      </w:tr>
    </w:tbl>
    <w:p>
      <w:pPr>
        <w:pStyle w:val="BodyText"/>
      </w:pPr>
      <w:r>
        <w:t xml:space="preserve">For default STCC, centring is</w:t>
      </w:r>
      <w:r>
        <w:t xml:space="preserve"> </w:t>
      </w:r>
      <w:r>
        <w:rPr>
          <w:b/>
          <w:bCs/>
        </w:rPr>
        <w:t xml:space="preserve">on</w:t>
      </w:r>
      <w:r>
        <w:t xml:space="preserve"> </w:t>
      </w:r>
      <w:r>
        <w:t xml:space="preserve">and shift search is</w:t>
      </w:r>
      <w:r>
        <w:t xml:space="preserve"> </w:t>
      </w:r>
      <w:r>
        <w:rPr>
          <w:b/>
          <w:bCs/>
        </w:rPr>
        <w:t xml:space="preserve">off</w:t>
      </w:r>
      <w:r>
        <w:t xml:space="preserve">;</w:t>
      </w:r>
      <w:r>
        <w:t xml:space="preserve"> </w:t>
      </w:r>
      <w:r>
        <w:rPr>
          <w:rStyle w:val="VerbatimChar"/>
        </w:rPr>
        <w:t xml:space="preserve">center=False</w:t>
      </w:r>
      <w:r>
        <w:t xml:space="preserve"> </w:t>
      </w:r>
      <w:r>
        <w:t xml:space="preserve">gives the</w:t>
      </w:r>
      <w:r>
        <w:t xml:space="preserve"> </w:t>
      </w:r>
      <w:r>
        <w:t xml:space="preserve">un-centred cosine ablation (§S10). Select the experimental candidate with</w:t>
      </w:r>
      <w:r>
        <w:t xml:space="preserve"> </w:t>
      </w:r>
      <w:r>
        <w:rPr>
          <w:rStyle w:val="VerbatimChar"/>
        </w:rPr>
        <w:t xml:space="preserve">--method local-contrast</w:t>
      </w:r>
      <w:r>
        <w:t xml:space="preserve">; its square root and background factor 3 are fixed, and</w:t>
      </w:r>
      <w:r>
        <w:t xml:space="preserve"> </w:t>
      </w:r>
      <w:r>
        <w:rPr>
          <w:rStyle w:val="VerbatimChar"/>
        </w:rPr>
        <w:t xml:space="preserve">--p</w:t>
      </w:r>
      <w:r>
        <w:t xml:space="preserve"> </w:t>
      </w:r>
      <w:r>
        <w:t xml:space="preserve">does not</w:t>
      </w:r>
      <w:r>
        <w:t xml:space="preserve"> </w:t>
      </w:r>
      <w:r>
        <w:t xml:space="preserve">apply. Negatives are handled by the baseline mode (</w:t>
      </w:r>
      <w:r>
        <w:rPr>
          <w:rStyle w:val="VerbatimChar"/>
        </w:rPr>
        <w:t xml:space="preserve">clip</w:t>
      </w:r>
      <w:r>
        <w:t xml:space="preserve"> </w:t>
      </w:r>
      <w:r>
        <w:t xml:space="preserve">default; use</w:t>
      </w:r>
      <w:r>
        <w:t xml:space="preserve"> </w:t>
      </w:r>
      <w:r>
        <w:rPr>
          <w:rStyle w:val="VerbatimChar"/>
        </w:rPr>
        <w:t xml:space="preserve">abs</w:t>
      </w:r>
      <w:r>
        <w:t xml:space="preserve"> </w:t>
      </w:r>
      <w:r>
        <w:t xml:space="preserve">for</w:t>
      </w:r>
      <w:r>
        <w:t xml:space="preserve"> </w:t>
      </w:r>
      <w:r>
        <w:t xml:space="preserve">multiplicity-edited HSQC — §S1). The CLI default remains</w:t>
      </w:r>
      <w:r>
        <w:t xml:space="preserve"> </w:t>
      </w:r>
      <w:r>
        <w:rPr>
          <w:rStyle w:val="VerbatimChar"/>
        </w:rPr>
        <w:t xml:space="preserve">--method lcc</w:t>
      </w:r>
      <w:r>
        <w:t xml:space="preserve">. For the</w:t>
      </w:r>
      <w:r>
        <w:t xml:space="preserve"> </w:t>
      </w:r>
      <m:oMath>
        <m:sSup>
          <m:e>
            <m:r>
              <m:t>​</m:t>
            </m:r>
          </m:e>
          <m:sup>
            <m:r>
              <m:t>1</m:t>
            </m:r>
          </m:sup>
        </m:sSup>
      </m:oMath>
      <w:r>
        <w:t xml:space="preserve">H–</w:t>
      </w:r>
      <m:oMath>
        <m:sSup>
          <m:e>
            <m:r>
              <m:t>​</m:t>
            </m:r>
          </m:e>
          <m:sup>
            <m:r>
              <m:t>13</m:t>
            </m:r>
          </m:sup>
        </m:sSup>
      </m:oMath>
      <w:r>
        <w:t xml:space="preserve">C benchmark the blur widths are scaled to that regime</w:t>
      </w:r>
      <w:r>
        <w:t xml:space="preserve"> </w:t>
      </w:r>
      <w:r>
        <w:t xml:space="preserve">(</w:t>
      </w:r>
      <m:oMath>
        <m:sSub>
          <m:e>
            <m:r>
              <m:t>σ</m:t>
            </m:r>
          </m:e>
          <m:sub>
            <m:sSup>
              <m:e>
                <m:r>
                  <m:t>​</m:t>
                </m:r>
              </m:e>
              <m:sup>
                <m:r>
                  <m:t>1</m:t>
                </m:r>
              </m:sup>
            </m:sSup>
            <m:r>
              <m:rPr>
                <m:sty m:val="p"/>
              </m:rPr>
              <m:t>H</m:t>
            </m:r>
          </m:sub>
        </m:sSub>
        <m:r>
          <m:rPr>
            <m:sty m:val="p"/>
          </m:rPr>
          <m:t>=</m:t>
        </m:r>
        <m:r>
          <m:t>0.05</m:t>
        </m:r>
      </m:oMath>
      <w:r>
        <w:t xml:space="preserve">,</w:t>
      </w:r>
      <w:r>
        <w:t xml:space="preserve"> </w:t>
      </w:r>
      <m:oMath>
        <m:sSub>
          <m:e>
            <m:r>
              <m:t>σ</m:t>
            </m:r>
          </m:e>
          <m:sub>
            <m:sSup>
              <m:e>
                <m:r>
                  <m:t>​</m:t>
                </m:r>
              </m:e>
              <m:sup>
                <m:r>
                  <m:t>13</m:t>
                </m:r>
              </m:sup>
            </m:sSup>
            <m:r>
              <m:rPr>
                <m:sty m:val="p"/>
              </m:rPr>
              <m:t>C</m:t>
            </m:r>
          </m:sub>
        </m:sSub>
        <m:r>
          <m:rPr>
            <m:sty m:val="p"/>
          </m:rPr>
          <m:t>=</m:t>
        </m:r>
        <m:r>
          <m:t>0.5</m:t>
        </m:r>
      </m:oMath>
      <w:r>
        <w:t xml:space="preserve"> </w:t>
      </w:r>
      <w:r>
        <w:t xml:space="preserve">ppm).</w:t>
      </w:r>
    </w:p>
    <w:p>
      <w:pPr>
        <w:pStyle w:val="CaptionedFigure"/>
      </w:pPr>
      <w:r>
        <w:drawing>
          <wp:inline>
            <wp:extent cx="5334000" cy="1469533"/>
            <wp:effectExtent b="0" l="0" r="0" t="0"/>
            <wp:docPr descr="Figure S10. The render grid is a discretization, not a tuning parameter. A fixed same-compound toy pair is scored while the render pixel size is swept: the STCC score is flat while the Gaussian is sampled by \gtrsim 3 pixels per \sigma (red zone = under-sampled). The choice of grid does not affect the result." title="" id="45" name="Picture"/>
            <a:graphic>
              <a:graphicData uri="http://schemas.openxmlformats.org/drawingml/2006/picture">
                <pic:pic>
                  <pic:nvPicPr>
                    <pic:cNvPr descr="../results/si_gridinvariance.png" id="46" name="Picture"/>
                    <pic:cNvPicPr>
                      <a:picLocks noChangeArrowheads="1" noChangeAspect="1"/>
                    </pic:cNvPicPr>
                  </pic:nvPicPr>
                  <pic:blipFill>
                    <a:blip r:embed="rId44"/>
                    <a:stretch>
                      <a:fillRect/>
                    </a:stretch>
                  </pic:blipFill>
                  <pic:spPr bwMode="auto">
                    <a:xfrm>
                      <a:off x="0" y="0"/>
                      <a:ext cx="5334000" cy="1469533"/>
                    </a:xfrm>
                    <a:prstGeom prst="rect">
                      <a:avLst/>
                    </a:prstGeom>
                    <a:noFill/>
                    <a:ln w="9525">
                      <a:noFill/>
                      <a:headEnd/>
                      <a:tailEnd/>
                    </a:ln>
                  </pic:spPr>
                </pic:pic>
              </a:graphicData>
            </a:graphic>
          </wp:inline>
        </w:drawing>
      </w:r>
    </w:p>
    <w:p>
      <w:pPr>
        <w:pStyle w:val="ImageCaption"/>
      </w:pPr>
      <w:r>
        <w:rPr>
          <w:b/>
          <w:bCs/>
        </w:rPr>
        <w:t xml:space="preserve">Figure S10.</w:t>
      </w:r>
      <w:r>
        <w:t xml:space="preserve"> </w:t>
      </w:r>
      <w:r>
        <w:t xml:space="preserve">The render grid is a discretization, not a tuning parameter. A fixed</w:t>
      </w:r>
      <w:r>
        <w:t xml:space="preserve"> </w:t>
      </w:r>
      <w:r>
        <w:t xml:space="preserve">same-compound toy pair is scored while the render pixel size is swept: the STCC score is</w:t>
      </w:r>
      <w:r>
        <w:t xml:space="preserve"> </w:t>
      </w:r>
      <w:r>
        <w:rPr>
          <w:b/>
          <w:bCs/>
        </w:rPr>
        <w:t xml:space="preserve">flat</w:t>
      </w:r>
      <w:r>
        <w:t xml:space="preserve"> </w:t>
      </w:r>
      <w:r>
        <w:t xml:space="preserve">while the Gaussian is sampled by</w:t>
      </w:r>
      <w:r>
        <w:t xml:space="preserve"> </w:t>
      </w:r>
      <m:oMath>
        <m:r>
          <m:rPr>
            <m:sty m:val="p"/>
          </m:rPr>
          <m:t>≳</m:t>
        </m:r>
        <m:r>
          <m:t>3</m:t>
        </m:r>
      </m:oMath>
      <w:r>
        <w:t xml:space="preserve"> </w:t>
      </w:r>
      <w:r>
        <w:t xml:space="preserve">pixels per</w:t>
      </w:r>
      <w:r>
        <w:t xml:space="preserve"> </w:t>
      </w:r>
      <m:oMath>
        <m:r>
          <m:t>σ</m:t>
        </m:r>
      </m:oMath>
      <w:r>
        <w:t xml:space="preserve"> </w:t>
      </w:r>
      <w:r>
        <w:t xml:space="preserve">(red zone</w:t>
      </w:r>
      <w:r>
        <w:t xml:space="preserve"> </w:t>
      </w:r>
      <m:oMath>
        <m:r>
          <m:rPr>
            <m:sty m:val="p"/>
          </m:rPr>
          <m:t>=</m:t>
        </m:r>
      </m:oMath>
      <w:r>
        <w:t xml:space="preserve"> </w:t>
      </w:r>
      <w:r>
        <w:t xml:space="preserve">under-sampled).</w:t>
      </w:r>
      <w:r>
        <w:t xml:space="preserve"> </w:t>
      </w:r>
      <w:r>
        <w:t xml:space="preserve">The choice of grid does not affect the result.</w:t>
      </w:r>
    </w:p>
    <w:bookmarkEnd w:id="47"/>
    <w:bookmarkStart w:id="48" w:name="s8-benchmark-1-dense-protein-1h15n"/>
    <w:p>
      <w:pPr>
        <w:pStyle w:val="Heading2"/>
      </w:pPr>
      <w:r>
        <w:t xml:space="preserve">S8 Benchmark 1 — dense protein</w:t>
      </w:r>
      <w:r>
        <w:t xml:space="preserve"> </w:t>
      </w:r>
      <m:oMath>
        <m:sSup>
          <m:e>
            <m:r>
              <m:t>​</m:t>
            </m:r>
          </m:e>
          <m:sup>
            <m:r>
              <m:t>1</m:t>
            </m:r>
          </m:sup>
        </m:sSup>
      </m:oMath>
      <w:r>
        <w:t xml:space="preserve">H–</w:t>
      </w:r>
      <m:oMath>
        <m:sSup>
          <m:e>
            <m:r>
              <m:t>​</m:t>
            </m:r>
          </m:e>
          <m:sup>
            <m:r>
              <m:t>15</m:t>
            </m:r>
          </m:sup>
        </m:sSup>
      </m:oMath>
      <w:r>
        <w:t xml:space="preserve">N</w:t>
      </w:r>
    </w:p>
    <w:p>
      <w:pPr>
        <w:pStyle w:val="FirstParagraph"/>
      </w:pPr>
      <w:r>
        <w:rPr>
          <w:b/>
          <w:bCs/>
        </w:rPr>
        <w:t xml:space="preserve">Design.</w:t>
      </w:r>
      <w:r>
        <w:t xml:space="preserve"> </w:t>
      </w:r>
      <w:r>
        <w:t xml:space="preserve">Reference spectrum: PRL3 experiment 2, a</w:t>
      </w:r>
      <w:r>
        <w:t xml:space="preserve"> </w:t>
      </w:r>
      <m:oMath>
        <m:sSup>
          <m:e>
            <m:r>
              <m:t>​</m:t>
            </m:r>
          </m:e>
          <m:sup>
            <m:r>
              <m:t>1</m:t>
            </m:r>
          </m:sup>
        </m:sSup>
      </m:oMath>
      <w:r>
        <w:t xml:space="preserve">H–</w:t>
      </w:r>
      <m:oMath>
        <m:sSup>
          <m:e>
            <m:r>
              <m:t>​</m:t>
            </m:r>
          </m:e>
          <m:sup>
            <m:r>
              <m:t>15</m:t>
            </m:r>
          </m:sup>
        </m:sSup>
      </m:oMath>
      <w:r>
        <w:t xml:space="preserve">N HSQC. It is compared with the</w:t>
      </w:r>
      <w:r>
        <w:t xml:space="preserve"> </w:t>
      </w:r>
      <w:r>
        <w:rPr>
          <w:b/>
          <w:bCs/>
        </w:rPr>
        <w:t xml:space="preserve">same protein plus ligand</w:t>
      </w:r>
      <w:r>
        <w:t xml:space="preserve"> </w:t>
      </w:r>
      <w:r>
        <w:t xml:space="preserve">(experiments 4–14, a titration series that should score high — the</w:t>
      </w:r>
      <w:r>
        <w:t xml:space="preserve"> </w:t>
      </w:r>
      <w:r>
        <w:t xml:space="preserve">chemical-shift-perturbation and fragment-based-screening setting [10–13]) and</w:t>
      </w:r>
      <w:r>
        <w:t xml:space="preserve"> </w:t>
      </w:r>
      <w:r>
        <w:t xml:space="preserve">with a</w:t>
      </w:r>
      <w:r>
        <w:t xml:space="preserve"> </w:t>
      </w:r>
      <w:r>
        <w:rPr>
          <w:b/>
          <w:bCs/>
        </w:rPr>
        <w:t xml:space="preserve">different protein</w:t>
      </w:r>
      <w:r>
        <w:t xml:space="preserve"> </w:t>
      </w:r>
      <w:r>
        <w:t xml:space="preserve">(OAA experiment 103, which should score low). This</w:t>
      </w:r>
      <w:r>
        <w:t xml:space="preserve"> </w:t>
      </w:r>
      <w:r>
        <w:t xml:space="preserve">same-protein-versus-different-protein discrimination — high for the same fold, low for a different</w:t>
      </w:r>
      <w:r>
        <w:t xml:space="preserve"> </w:t>
      </w:r>
      <w:r>
        <w:t xml:space="preserve">one — is a component operation of higher-order-structure (HOS) comparability workflows, for which</w:t>
      </w:r>
      <w:r>
        <w:t xml:space="preserve"> </w:t>
      </w:r>
      <w:r>
        <w:t xml:space="preserve">2D-HSQC fingerprinting is an established atomic-resolution readout (§S13); it does not by itself</w:t>
      </w:r>
      <w:r>
        <w:t xml:space="preserve"> </w:t>
      </w:r>
      <w:r>
        <w:t xml:space="preserve">exercise the subtle originator-versus-biosimilar comparison, the harder intermediate-score task the</w:t>
      </w:r>
      <w:r>
        <w:t xml:space="preserve"> </w:t>
      </w:r>
      <w:r>
        <w:t xml:space="preserve">main text leaves to future work. Window</w:t>
      </w:r>
      <w:r>
        <w:t xml:space="preserve"> </w:t>
      </w:r>
      <m:oMath>
        <m:r>
          <m:t>F</m:t>
        </m:r>
        <m:r>
          <m:t>2</m:t>
        </m:r>
        <m:r>
          <m:t> </m:t>
        </m:r>
        <m:r>
          <m:t>6.5</m:t>
        </m:r>
      </m:oMath>
      <w:r>
        <w:t xml:space="preserve">–</w:t>
      </w:r>
      <m:oMath>
        <m:r>
          <m:t>10</m:t>
        </m:r>
        <m:r>
          <m:rPr>
            <m:sty m:val="p"/>
          </m:rPr>
          <m:t>×</m:t>
        </m:r>
        <m:r>
          <m:t>F</m:t>
        </m:r>
        <m:r>
          <m:t>1</m:t>
        </m:r>
        <m:r>
          <m:t> </m:t>
        </m:r>
        <m:r>
          <m:t>105</m:t>
        </m:r>
      </m:oMath>
      <w:r>
        <w:t xml:space="preserve">–</w:t>
      </w:r>
      <m:oMath>
        <m:r>
          <m:t>130</m:t>
        </m:r>
      </m:oMath>
      <w:r>
        <w:t xml:space="preserve"> </w:t>
      </w:r>
      <w:r>
        <w:t xml:space="preserve">ppm. Bin widths for the bin method</w:t>
      </w:r>
      <w:r>
        <w:t xml:space="preserve"> </w:t>
      </w:r>
      <w:r>
        <w:rPr>
          <w:rStyle w:val="VerbatimChar"/>
        </w:rPr>
        <w:t xml:space="preserve">min_bin_width_f2 = 0.1</w:t>
      </w:r>
      <w:r>
        <w:t xml:space="preserve">,</w:t>
      </w:r>
      <w:r>
        <w:t xml:space="preserve"> </w:t>
      </w:r>
      <w:r>
        <w:rPr>
          <w:rStyle w:val="VerbatimChar"/>
        </w:rPr>
        <w:t xml:space="preserve">min_bin_width_f1 = 1.0</w:t>
      </w:r>
      <w:r>
        <w:t xml:space="preserve">; STCC blur</w:t>
      </w:r>
      <w:r>
        <w:t xml:space="preserve"> </w:t>
      </w:r>
      <m:oMath>
        <m:sSub>
          <m:e>
            <m:r>
              <m:t>σ</m:t>
            </m:r>
          </m:e>
          <m:sub>
            <m:r>
              <m:t>F</m:t>
            </m:r>
            <m:r>
              <m:t>2</m:t>
            </m:r>
          </m:sub>
        </m:sSub>
        <m:r>
          <m:rPr>
            <m:sty m:val="p"/>
          </m:rPr>
          <m:t>=</m:t>
        </m:r>
        <m:r>
          <m:t>0.03</m:t>
        </m:r>
      </m:oMath>
      <w:r>
        <w:t xml:space="preserve">,</w:t>
      </w:r>
      <w:r>
        <w:t xml:space="preserve"> </w:t>
      </w:r>
      <m:oMath>
        <m:sSub>
          <m:e>
            <m:r>
              <m:t>σ</m:t>
            </m:r>
          </m:e>
          <m:sub>
            <m:r>
              <m:t>F</m:t>
            </m:r>
            <m:r>
              <m:t>1</m:t>
            </m:r>
          </m:sub>
        </m:sSub>
        <m:r>
          <m:rPr>
            <m:sty m:val="p"/>
          </m:rPr>
          <m:t>=</m:t>
        </m:r>
        <m:r>
          <m:t>0.30</m:t>
        </m:r>
      </m:oMath>
      <w:r>
        <w:t xml:space="preserve"> </w:t>
      </w:r>
      <w:r>
        <w:t xml:space="preserve">ppm. Separation</w:t>
      </w:r>
      <w:r>
        <w:t xml:space="preserve"> </w:t>
      </w:r>
      <m:oMath>
        <m:r>
          <m:rPr>
            <m:sty m:val="p"/>
          </m:rPr>
          <m:t>Σ</m:t>
        </m:r>
        <m:r>
          <m:rPr>
            <m:sty m:val="p"/>
          </m:rPr>
          <m:t>=</m:t>
        </m:r>
        <m:sSub>
          <m:e>
            <m:bar>
              <m:barPr>
                <m:pos m:val="top"/>
              </m:barPr>
              <m:e>
                <m:r>
                  <m:t>S</m:t>
                </m:r>
              </m:e>
            </m:bar>
          </m:e>
          <m:sub>
            <m:r>
              <m:rPr>
                <m:nor/>
                <m:sty m:val="p"/>
              </m:rPr>
              <m:t>same</m:t>
            </m:r>
          </m:sub>
        </m:sSub>
        <m:r>
          <m:rPr>
            <m:sty m:val="p"/>
          </m:rPr>
          <m:t>−</m:t>
        </m:r>
        <m:sSub>
          <m:e>
            <m:r>
              <m:t>S</m:t>
            </m:r>
          </m:e>
          <m:sub>
            <m:r>
              <m:rPr>
                <m:nor/>
                <m:sty m:val="p"/>
              </m:rPr>
              <m:t>diff</m:t>
            </m:r>
          </m:sub>
        </m:sSub>
      </m:oMath>
      <w:r>
        <w:t xml:space="preserve">; margin</w:t>
      </w:r>
      <w:r>
        <w:t xml:space="preserve"> </w:t>
      </w:r>
      <m:oMath>
        <m:r>
          <m:rPr>
            <m:sty m:val="p"/>
          </m:rPr>
          <m:t>=</m:t>
        </m:r>
        <m:sSub>
          <m:e>
            <m:r>
              <m:rPr>
                <m:sty m:val="p"/>
              </m:rPr>
              <m:t>min</m:t>
            </m:r>
          </m:e>
          <m:sub>
            <m:r>
              <m:t>e</m:t>
            </m:r>
          </m:sub>
        </m:sSub>
        <m:sSub>
          <m:e>
            <m:r>
              <m:t>S</m:t>
            </m:r>
          </m:e>
          <m:sub>
            <m:r>
              <m:rPr>
                <m:nor/>
                <m:sty m:val="p"/>
              </m:rPr>
              <m:t>same</m:t>
            </m:r>
          </m:sub>
        </m:sSub>
        <m:r>
          <m:rPr>
            <m:sty m:val="p"/>
          </m:rPr>
          <m:t>−</m:t>
        </m:r>
        <m:sSub>
          <m:e>
            <m:r>
              <m:t>S</m:t>
            </m:r>
          </m:e>
          <m:sub>
            <m:r>
              <m:rPr>
                <m:nor/>
                <m:sty m:val="p"/>
              </m:rPr>
              <m:t>diff</m:t>
            </m:r>
          </m:sub>
        </m:sSub>
      </m:oMath>
      <w:r>
        <w:t xml:space="preserve">.</w:t>
      </w:r>
    </w:p>
    <w:p>
      <w:pPr>
        <w:pStyle w:val="BodyText"/>
      </w:pPr>
      <w:r>
        <w:rPr>
          <w:b/>
          <w:bCs/>
        </w:rPr>
        <w:t xml:space="preserve">Table S2.</w:t>
      </w:r>
      <w:r>
        <w:t xml:space="preserve"> </w:t>
      </w:r>
      <w:r>
        <w:t xml:space="preserve">Per-comparison similarity, dense protein</w:t>
      </w:r>
      <w:r>
        <w:t xml:space="preserve"> </w:t>
      </w:r>
      <m:oMath>
        <m:sSup>
          <m:e>
            <m:r>
              <m:t>​</m:t>
            </m:r>
          </m:e>
          <m:sup>
            <m:r>
              <m:t>1</m:t>
            </m:r>
          </m:sup>
        </m:sSup>
      </m:oMath>
      <w:r>
        <w:t xml:space="preserve">H–</w:t>
      </w:r>
      <m:oMath>
        <m:sSup>
          <m:e>
            <m:r>
              <m:t>​</m:t>
            </m:r>
          </m:e>
          <m:sup>
            <m:r>
              <m:t>15</m:t>
            </m:r>
          </m:sup>
        </m:sSup>
      </m:oMath>
      <w:r>
        <w:t xml:space="preserve">N benchmark. All methods</w:t>
      </w:r>
      <w:r>
        <w:t xml:space="preserve"> </w:t>
      </w:r>
      <w:r>
        <w:t xml:space="preserve">self-score exactly 1.</w:t>
      </w:r>
    </w:p>
    <w:tbl>
      <w:tblPr>
        <w:tblStyle w:val="Table"/>
        <w:tblW w:type="pct" w:w="5000"/>
        <w:tblLayout w:type="fixed"/>
        <w:tblLook w:firstRow="1" w:lastRow="0" w:firstColumn="0" w:lastColumn="0" w:noHBand="0" w:noVBand="0" w:val="0020"/>
      </w:tblPr>
      <w:tblGrid>
        <w:gridCol w:w="848"/>
        <w:gridCol w:w="1414"/>
        <w:gridCol w:w="1414"/>
        <w:gridCol w:w="1414"/>
        <w:gridCol w:w="1414"/>
        <w:gridCol w:w="1414"/>
      </w:tblGrid>
      <w:tr>
        <w:trPr>
          <w:tblHeader w:val="on"/>
        </w:trPr>
        <w:tc>
          <w:tcPr/>
          <w:p>
            <w:pPr>
              <w:pStyle w:val="Compact"/>
            </w:pPr>
            <w:r>
              <w:t xml:space="preserve">comparison</w:t>
            </w:r>
          </w:p>
        </w:tc>
        <w:tc>
          <w:tcPr/>
          <w:p>
            <w:pPr>
              <w:pStyle w:val="Compact"/>
              <w:jc w:val="center"/>
            </w:pPr>
            <w:r>
              <w:t xml:space="preserve">Bin (Bodis 2009)</w:t>
            </w:r>
          </w:p>
        </w:tc>
        <w:tc>
          <w:tcPr/>
          <w:p>
            <w:pPr>
              <w:pStyle w:val="Compact"/>
              <w:jc w:val="center"/>
            </w:pPr>
            <w:r>
              <w:t xml:space="preserve">Bin + 45°</w:t>
            </w:r>
          </w:p>
        </w:tc>
        <w:tc>
          <w:tcPr/>
          <w:p>
            <w:pPr>
              <w:pStyle w:val="Compact"/>
              <w:jc w:val="center"/>
            </w:pPr>
            <w:r>
              <w:t xml:space="preserve">Tree (Castillo 2013)</w:t>
            </w:r>
          </w:p>
        </w:tc>
        <w:tc>
          <w:tcPr/>
          <w:p>
            <w:pPr>
              <w:pStyle w:val="Compact"/>
              <w:jc w:val="center"/>
            </w:pPr>
            <w:r>
              <w:t xml:space="preserve">NN (Pierens 2012)</w:t>
            </w:r>
          </w:p>
        </w:tc>
        <w:tc>
          <w:tcPr/>
          <w:p>
            <w:pPr>
              <w:pStyle w:val="Compact"/>
              <w:jc w:val="center"/>
            </w:pPr>
            <w:r>
              <w:rPr>
                <w:b/>
                <w:bCs/>
              </w:rPr>
              <w:t xml:space="preserve">STCC</w:t>
            </w:r>
          </w:p>
        </w:tc>
      </w:tr>
      <w:tr>
        <w:tc>
          <w:tcPr/>
          <w:p>
            <w:pPr>
              <w:pStyle w:val="Compact"/>
            </w:pPr>
            <w:r>
              <w:t xml:space="preserve">2 vs 2 (self)</w:t>
            </w:r>
          </w:p>
        </w:tc>
        <w:tc>
          <w:tcPr/>
          <w:p>
            <w:pPr>
              <w:pStyle w:val="Compact"/>
              <w:jc w:val="center"/>
            </w:pPr>
            <w:r>
              <w:t xml:space="preserve">1.0000</w:t>
            </w:r>
          </w:p>
        </w:tc>
        <w:tc>
          <w:tcPr/>
          <w:p>
            <w:pPr>
              <w:pStyle w:val="Compact"/>
              <w:jc w:val="center"/>
            </w:pPr>
            <w:r>
              <w:t xml:space="preserve">1.0000</w:t>
            </w:r>
          </w:p>
        </w:tc>
        <w:tc>
          <w:tcPr/>
          <w:p>
            <w:pPr>
              <w:pStyle w:val="Compact"/>
              <w:jc w:val="center"/>
            </w:pPr>
            <w:r>
              <w:t xml:space="preserve">1.0000</w:t>
            </w:r>
          </w:p>
        </w:tc>
        <w:tc>
          <w:tcPr/>
          <w:p>
            <w:pPr>
              <w:pStyle w:val="Compact"/>
              <w:jc w:val="center"/>
            </w:pPr>
            <w:r>
              <w:t xml:space="preserve">1.0000</w:t>
            </w:r>
          </w:p>
        </w:tc>
        <w:tc>
          <w:tcPr/>
          <w:p>
            <w:pPr>
              <w:pStyle w:val="Compact"/>
              <w:jc w:val="center"/>
            </w:pPr>
            <w:r>
              <w:rPr>
                <w:b/>
                <w:bCs/>
              </w:rPr>
              <w:t xml:space="preserve">1.0000</w:t>
            </w:r>
          </w:p>
        </w:tc>
      </w:tr>
      <w:tr>
        <w:tc>
          <w:tcPr/>
          <w:p>
            <w:pPr>
              <w:pStyle w:val="Compact"/>
            </w:pPr>
            <w:r>
              <w:t xml:space="preserve">2 vs 4 (+B12)</w:t>
            </w:r>
          </w:p>
        </w:tc>
        <w:tc>
          <w:tcPr/>
          <w:p>
            <w:pPr>
              <w:pStyle w:val="Compact"/>
              <w:jc w:val="center"/>
            </w:pPr>
            <w:r>
              <w:t xml:space="preserve">0.8106</w:t>
            </w:r>
          </w:p>
        </w:tc>
        <w:tc>
          <w:tcPr/>
          <w:p>
            <w:pPr>
              <w:pStyle w:val="Compact"/>
              <w:jc w:val="center"/>
            </w:pPr>
            <w:r>
              <w:t xml:space="preserve">0.8385</w:t>
            </w:r>
          </w:p>
        </w:tc>
        <w:tc>
          <w:tcPr/>
          <w:p>
            <w:pPr>
              <w:pStyle w:val="Compact"/>
              <w:jc w:val="center"/>
            </w:pPr>
            <w:r>
              <w:t xml:space="preserve">0.9401</w:t>
            </w:r>
          </w:p>
        </w:tc>
        <w:tc>
          <w:tcPr/>
          <w:p>
            <w:pPr>
              <w:pStyle w:val="Compact"/>
              <w:jc w:val="center"/>
            </w:pPr>
            <w:r>
              <w:t xml:space="preserve">0.9925</w:t>
            </w:r>
          </w:p>
        </w:tc>
        <w:tc>
          <w:tcPr/>
          <w:p>
            <w:pPr>
              <w:pStyle w:val="Compact"/>
              <w:jc w:val="center"/>
            </w:pPr>
            <w:r>
              <w:rPr>
                <w:b/>
                <w:bCs/>
              </w:rPr>
              <w:t xml:space="preserve">0.9662</w:t>
            </w:r>
          </w:p>
        </w:tc>
      </w:tr>
      <w:tr>
        <w:tc>
          <w:tcPr/>
          <w:p>
            <w:pPr>
              <w:pStyle w:val="Compact"/>
            </w:pPr>
            <w:r>
              <w:t xml:space="preserve">2 vs 6 (+NB91)</w:t>
            </w:r>
          </w:p>
        </w:tc>
        <w:tc>
          <w:tcPr/>
          <w:p>
            <w:pPr>
              <w:pStyle w:val="Compact"/>
              <w:jc w:val="center"/>
            </w:pPr>
            <w:r>
              <w:t xml:space="preserve">0.7739</w:t>
            </w:r>
          </w:p>
        </w:tc>
        <w:tc>
          <w:tcPr/>
          <w:p>
            <w:pPr>
              <w:pStyle w:val="Compact"/>
              <w:jc w:val="center"/>
            </w:pPr>
            <w:r>
              <w:t xml:space="preserve">0.7990</w:t>
            </w:r>
          </w:p>
        </w:tc>
        <w:tc>
          <w:tcPr/>
          <w:p>
            <w:pPr>
              <w:pStyle w:val="Compact"/>
              <w:jc w:val="center"/>
            </w:pPr>
            <w:r>
              <w:t xml:space="preserve">0.8619</w:t>
            </w:r>
          </w:p>
        </w:tc>
        <w:tc>
          <w:tcPr/>
          <w:p>
            <w:pPr>
              <w:pStyle w:val="Compact"/>
              <w:jc w:val="center"/>
            </w:pPr>
            <w:r>
              <w:t xml:space="preserve">0.9981</w:t>
            </w:r>
          </w:p>
        </w:tc>
        <w:tc>
          <w:tcPr/>
          <w:p>
            <w:pPr>
              <w:pStyle w:val="Compact"/>
              <w:jc w:val="center"/>
            </w:pPr>
            <w:r>
              <w:rPr>
                <w:b/>
                <w:bCs/>
              </w:rPr>
              <w:t xml:space="preserve">0.9594</w:t>
            </w:r>
          </w:p>
        </w:tc>
      </w:tr>
      <w:tr>
        <w:tc>
          <w:tcPr/>
          <w:p>
            <w:pPr>
              <w:pStyle w:val="Compact"/>
            </w:pPr>
            <w:r>
              <w:t xml:space="preserve">2 vs 8 (+benz)</w:t>
            </w:r>
          </w:p>
        </w:tc>
        <w:tc>
          <w:tcPr/>
          <w:p>
            <w:pPr>
              <w:pStyle w:val="Compact"/>
              <w:jc w:val="center"/>
            </w:pPr>
            <w:r>
              <w:t xml:space="preserve">0.8274</w:t>
            </w:r>
          </w:p>
        </w:tc>
        <w:tc>
          <w:tcPr/>
          <w:p>
            <w:pPr>
              <w:pStyle w:val="Compact"/>
              <w:jc w:val="center"/>
            </w:pPr>
            <w:r>
              <w:t xml:space="preserve">0.8570</w:t>
            </w:r>
          </w:p>
        </w:tc>
        <w:tc>
          <w:tcPr/>
          <w:p>
            <w:pPr>
              <w:pStyle w:val="Compact"/>
              <w:jc w:val="center"/>
            </w:pPr>
            <w:r>
              <w:t xml:space="preserve">0.9443</w:t>
            </w:r>
          </w:p>
        </w:tc>
        <w:tc>
          <w:tcPr/>
          <w:p>
            <w:pPr>
              <w:pStyle w:val="Compact"/>
              <w:jc w:val="center"/>
            </w:pPr>
            <w:r>
              <w:t xml:space="preserve">0.9877</w:t>
            </w:r>
          </w:p>
        </w:tc>
        <w:tc>
          <w:tcPr/>
          <w:p>
            <w:pPr>
              <w:pStyle w:val="Compact"/>
              <w:jc w:val="center"/>
            </w:pPr>
            <w:r>
              <w:rPr>
                <w:b/>
                <w:bCs/>
              </w:rPr>
              <w:t xml:space="preserve">0.9485</w:t>
            </w:r>
          </w:p>
        </w:tc>
      </w:tr>
      <w:tr>
        <w:tc>
          <w:tcPr/>
          <w:p>
            <w:pPr>
              <w:pStyle w:val="Compact"/>
            </w:pPr>
            <w:r>
              <w:t xml:space="preserve">2 vs 10 (+GB001)</w:t>
            </w:r>
          </w:p>
        </w:tc>
        <w:tc>
          <w:tcPr/>
          <w:p>
            <w:pPr>
              <w:pStyle w:val="Compact"/>
              <w:jc w:val="center"/>
            </w:pPr>
            <w:r>
              <w:t xml:space="preserve">0.8164</w:t>
            </w:r>
          </w:p>
        </w:tc>
        <w:tc>
          <w:tcPr/>
          <w:p>
            <w:pPr>
              <w:pStyle w:val="Compact"/>
              <w:jc w:val="center"/>
            </w:pPr>
            <w:r>
              <w:t xml:space="preserve">0.8555</w:t>
            </w:r>
          </w:p>
        </w:tc>
        <w:tc>
          <w:tcPr/>
          <w:p>
            <w:pPr>
              <w:pStyle w:val="Compact"/>
              <w:jc w:val="center"/>
            </w:pPr>
            <w:r>
              <w:t xml:space="preserve">0.9179</w:t>
            </w:r>
          </w:p>
        </w:tc>
        <w:tc>
          <w:tcPr/>
          <w:p>
            <w:pPr>
              <w:pStyle w:val="Compact"/>
              <w:jc w:val="center"/>
            </w:pPr>
            <w:r>
              <w:t xml:space="preserve">0.9848</w:t>
            </w:r>
          </w:p>
        </w:tc>
        <w:tc>
          <w:tcPr/>
          <w:p>
            <w:pPr>
              <w:pStyle w:val="Compact"/>
              <w:jc w:val="center"/>
            </w:pPr>
            <w:r>
              <w:rPr>
                <w:b/>
                <w:bCs/>
              </w:rPr>
              <w:t xml:space="preserve">0.8972</w:t>
            </w:r>
          </w:p>
        </w:tc>
      </w:tr>
      <w:tr>
        <w:tc>
          <w:tcPr/>
          <w:p>
            <w:pPr>
              <w:pStyle w:val="Compact"/>
            </w:pPr>
            <w:r>
              <w:t xml:space="preserve">2 vs 12 (+PF1)</w:t>
            </w:r>
          </w:p>
        </w:tc>
        <w:tc>
          <w:tcPr/>
          <w:p>
            <w:pPr>
              <w:pStyle w:val="Compact"/>
              <w:jc w:val="center"/>
            </w:pPr>
            <w:r>
              <w:t xml:space="preserve">0.7637</w:t>
            </w:r>
          </w:p>
        </w:tc>
        <w:tc>
          <w:tcPr/>
          <w:p>
            <w:pPr>
              <w:pStyle w:val="Compact"/>
              <w:jc w:val="center"/>
            </w:pPr>
            <w:r>
              <w:t xml:space="preserve">0.7912</w:t>
            </w:r>
          </w:p>
        </w:tc>
        <w:tc>
          <w:tcPr/>
          <w:p>
            <w:pPr>
              <w:pStyle w:val="Compact"/>
              <w:jc w:val="center"/>
            </w:pPr>
            <w:r>
              <w:t xml:space="preserve">0.8760</w:t>
            </w:r>
          </w:p>
        </w:tc>
        <w:tc>
          <w:tcPr/>
          <w:p>
            <w:pPr>
              <w:pStyle w:val="Compact"/>
              <w:jc w:val="center"/>
            </w:pPr>
            <w:r>
              <w:t xml:space="preserve">0.9978</w:t>
            </w:r>
          </w:p>
        </w:tc>
        <w:tc>
          <w:tcPr/>
          <w:p>
            <w:pPr>
              <w:pStyle w:val="Compact"/>
              <w:jc w:val="center"/>
            </w:pPr>
            <w:r>
              <w:rPr>
                <w:b/>
                <w:bCs/>
              </w:rPr>
              <w:t xml:space="preserve">0.9558</w:t>
            </w:r>
          </w:p>
        </w:tc>
      </w:tr>
      <w:tr>
        <w:tc>
          <w:tcPr/>
          <w:p>
            <w:pPr>
              <w:pStyle w:val="Compact"/>
            </w:pPr>
            <w:r>
              <w:t xml:space="preserve">2 vs 14 (+PF2)</w:t>
            </w:r>
          </w:p>
        </w:tc>
        <w:tc>
          <w:tcPr/>
          <w:p>
            <w:pPr>
              <w:pStyle w:val="Compact"/>
              <w:jc w:val="center"/>
            </w:pPr>
            <w:r>
              <w:t xml:space="preserve">0.7320</w:t>
            </w:r>
          </w:p>
        </w:tc>
        <w:tc>
          <w:tcPr/>
          <w:p>
            <w:pPr>
              <w:pStyle w:val="Compact"/>
              <w:jc w:val="center"/>
            </w:pPr>
            <w:r>
              <w:t xml:space="preserve">0.7654</w:t>
            </w:r>
          </w:p>
        </w:tc>
        <w:tc>
          <w:tcPr/>
          <w:p>
            <w:pPr>
              <w:pStyle w:val="Compact"/>
              <w:jc w:val="center"/>
            </w:pPr>
            <w:r>
              <w:t xml:space="preserve">0.8624</w:t>
            </w:r>
          </w:p>
        </w:tc>
        <w:tc>
          <w:tcPr/>
          <w:p>
            <w:pPr>
              <w:pStyle w:val="Compact"/>
              <w:jc w:val="center"/>
            </w:pPr>
            <w:r>
              <w:t xml:space="preserve">0.9851</w:t>
            </w:r>
          </w:p>
        </w:tc>
        <w:tc>
          <w:tcPr/>
          <w:p>
            <w:pPr>
              <w:pStyle w:val="Compact"/>
              <w:jc w:val="center"/>
            </w:pPr>
            <w:r>
              <w:rPr>
                <w:b/>
                <w:bCs/>
              </w:rPr>
              <w:t xml:space="preserve">0.8911</w:t>
            </w:r>
          </w:p>
        </w:tc>
      </w:tr>
      <w:tr>
        <w:tc>
          <w:tcPr/>
          <w:p>
            <w:pPr>
              <w:pStyle w:val="Compact"/>
            </w:pPr>
            <w:r>
              <w:rPr>
                <w:b/>
                <w:bCs/>
              </w:rPr>
              <w:t xml:space="preserve">2 vs OAA</w:t>
            </w:r>
          </w:p>
        </w:tc>
        <w:tc>
          <w:tcPr/>
          <w:p>
            <w:pPr>
              <w:pStyle w:val="Compact"/>
              <w:jc w:val="center"/>
            </w:pPr>
            <w:r>
              <w:t xml:space="preserve">0.4949</w:t>
            </w:r>
          </w:p>
        </w:tc>
        <w:tc>
          <w:tcPr/>
          <w:p>
            <w:pPr>
              <w:pStyle w:val="Compact"/>
              <w:jc w:val="center"/>
            </w:pPr>
            <w:r>
              <w:t xml:space="preserve">0.5681</w:t>
            </w:r>
          </w:p>
        </w:tc>
        <w:tc>
          <w:tcPr/>
          <w:p>
            <w:pPr>
              <w:pStyle w:val="Compact"/>
              <w:jc w:val="center"/>
            </w:pPr>
            <w:r>
              <w:t xml:space="preserve">0.8721</w:t>
            </w:r>
          </w:p>
        </w:tc>
        <w:tc>
          <w:tcPr/>
          <w:p>
            <w:pPr>
              <w:pStyle w:val="Compact"/>
              <w:jc w:val="center"/>
            </w:pPr>
            <w:r>
              <w:t xml:space="preserve">0.9550</w:t>
            </w:r>
          </w:p>
        </w:tc>
        <w:tc>
          <w:tcPr/>
          <w:p>
            <w:pPr>
              <w:pStyle w:val="Compact"/>
              <w:jc w:val="center"/>
            </w:pPr>
            <w:r>
              <w:rPr>
                <w:b/>
                <w:bCs/>
              </w:rPr>
              <w:t xml:space="preserve">0.1815</w:t>
            </w:r>
          </w:p>
        </w:tc>
      </w:tr>
      <w:tr>
        <w:tc>
          <w:tcPr/>
          <w:p>
            <w:pPr>
              <w:pStyle w:val="Compact"/>
            </w:pPr>
            <w:r>
              <w:t xml:space="preserve">separation</w:t>
            </w:r>
          </w:p>
        </w:tc>
        <w:tc>
          <w:tcPr/>
          <w:p>
            <w:pPr>
              <w:pStyle w:val="Compact"/>
              <w:jc w:val="center"/>
            </w:pPr>
            <w:r>
              <w:t xml:space="preserve">0.29</w:t>
            </w:r>
          </w:p>
        </w:tc>
        <w:tc>
          <w:tcPr/>
          <w:p>
            <w:pPr>
              <w:pStyle w:val="Compact"/>
              <w:jc w:val="center"/>
            </w:pPr>
            <w:r>
              <w:t xml:space="preserve">0.25</w:t>
            </w:r>
          </w:p>
        </w:tc>
        <w:tc>
          <w:tcPr/>
          <w:p>
            <w:pPr>
              <w:pStyle w:val="Compact"/>
              <w:jc w:val="center"/>
            </w:pPr>
            <w:r>
              <w:t xml:space="preserve">0.03</w:t>
            </w:r>
          </w:p>
        </w:tc>
        <w:tc>
          <w:tcPr/>
          <w:p>
            <w:pPr>
              <w:pStyle w:val="Compact"/>
              <w:jc w:val="center"/>
            </w:pPr>
            <w:r>
              <w:t xml:space="preserve">0.04</w:t>
            </w:r>
          </w:p>
        </w:tc>
        <w:tc>
          <w:tcPr/>
          <w:p>
            <w:pPr>
              <w:pStyle w:val="Compact"/>
              <w:jc w:val="center"/>
            </w:pPr>
            <w:r>
              <w:rPr>
                <w:b/>
                <w:bCs/>
              </w:rPr>
              <w:t xml:space="preserve">0.75</w:t>
            </w:r>
          </w:p>
        </w:tc>
      </w:tr>
      <w:tr>
        <w:tc>
          <w:tcPr/>
          <w:p>
            <w:pPr>
              <w:pStyle w:val="Compact"/>
            </w:pPr>
            <w:r>
              <w:t xml:space="preserve">margin</w:t>
            </w:r>
          </w:p>
        </w:tc>
        <w:tc>
          <w:tcPr/>
          <w:p>
            <w:pPr>
              <w:pStyle w:val="Compact"/>
              <w:jc w:val="center"/>
            </w:pPr>
            <w:r>
              <w:t xml:space="preserve">0.24</w:t>
            </w:r>
          </w:p>
        </w:tc>
        <w:tc>
          <w:tcPr/>
          <w:p>
            <w:pPr>
              <w:pStyle w:val="Compact"/>
              <w:jc w:val="center"/>
            </w:pPr>
            <w:r>
              <w:t xml:space="preserve">0.20</w:t>
            </w:r>
          </w:p>
        </w:tc>
        <w:tc>
          <w:tcPr/>
          <w:p>
            <w:pPr>
              <w:pStyle w:val="Compact"/>
              <w:jc w:val="center"/>
            </w:pPr>
            <w:r>
              <w:t xml:space="preserve">−0.01</w:t>
            </w:r>
          </w:p>
        </w:tc>
        <w:tc>
          <w:tcPr/>
          <w:p>
            <w:pPr>
              <w:pStyle w:val="Compact"/>
              <w:jc w:val="center"/>
            </w:pPr>
            <w:r>
              <w:t xml:space="preserve">0.03</w:t>
            </w:r>
          </w:p>
        </w:tc>
        <w:tc>
          <w:tcPr/>
          <w:p>
            <w:pPr>
              <w:pStyle w:val="Compact"/>
              <w:jc w:val="center"/>
            </w:pPr>
            <w:r>
              <w:rPr>
                <w:b/>
                <w:bCs/>
              </w:rPr>
              <w:t xml:space="preserve">0.71</w:t>
            </w:r>
          </w:p>
        </w:tc>
      </w:tr>
    </w:tbl>
    <w:p>
      <w:pPr>
        <w:pStyle w:val="BodyText"/>
      </w:pPr>
      <w:r>
        <w:t xml:space="preserve">STCC separates same-protein from different-protein spectra</w:t>
      </w:r>
      <w:r>
        <w:t xml:space="preserve"> </w:t>
      </w:r>
      <m:oMath>
        <m:r>
          <m:rPr>
            <m:sty m:val="p"/>
          </m:rPr>
          <m:t>≈</m:t>
        </m:r>
        <m:r>
          <m:t>2.6</m:t>
        </m:r>
        <m:r>
          <m:rPr>
            <m:sty m:val="p"/>
          </m:rPr>
          <m:t>×</m:t>
        </m:r>
      </m:oMath>
      <w:r>
        <w:t xml:space="preserve"> </w:t>
      </w:r>
      <w:r>
        <w:t xml:space="preserve">better in separation</w:t>
      </w:r>
      <w:r>
        <w:t xml:space="preserve"> </w:t>
      </w:r>
      <w:r>
        <w:t xml:space="preserve">(0.75 vs 0.29) than the previous best, pushing the different protein (0.18) below</w:t>
      </w:r>
      <w:r>
        <w:t xml:space="preserve"> </w:t>
      </w:r>
      <w:r>
        <w:rPr>
          <w:i/>
          <w:iCs/>
        </w:rPr>
        <w:t xml:space="preserve">every</w:t>
      </w:r>
      <w:r>
        <w:t xml:space="preserve"> </w:t>
      </w:r>
      <w:r>
        <w:t xml:space="preserve">same-protein score. The old bin</w:t>
      </w:r>
      <w:r>
        <w:t xml:space="preserve"> </w:t>
      </w:r>
      <w:r>
        <w:t xml:space="preserve">method left the different protein (0.49) close to the worst same-protein point (0.73); STCC opens a</w:t>
      </w:r>
      <w:r>
        <w:t xml:space="preserve"> </w:t>
      </w:r>
      <w:r>
        <w:t xml:space="preserve">wide gap.</w:t>
      </w:r>
    </w:p>
    <w:p>
      <w:pPr>
        <w:pStyle w:val="BodyText"/>
      </w:pPr>
      <w:r>
        <w:rPr>
          <w:b/>
          <w:bCs/>
        </w:rPr>
        <w:t xml:space="preserve">Expanded benchmark — a second decoy protein.</w:t>
      </w:r>
      <w:r>
        <w:t xml:space="preserve"> </w:t>
      </w:r>
      <w:r>
        <w:t xml:space="preserve">The benchmark above scores against a single decoy</w:t>
      </w:r>
      <w:r>
        <w:t xml:space="preserve"> </w:t>
      </w:r>
      <w:r>
        <w:t xml:space="preserve">(OAA). To give the negative side a distribution over distinct folds — and to make the dense test</w:t>
      </w:r>
      <w:r>
        <w:t xml:space="preserve"> </w:t>
      </w:r>
      <w:r>
        <w:t xml:space="preserve">self-contained — we added an independent PRL3 apo→olsalazine titration (500 µM PRL3(4–159), 23</w:t>
      </w:r>
      <w:r>
        <w:t xml:space="preserve"> </w:t>
      </w:r>
      <w:r>
        <w:t xml:space="preserve">points from exp 4 to exp 48) and a second decoy protein, the kinase domain</w:t>
      </w:r>
      <w:r>
        <w:t xml:space="preserve"> </w:t>
      </w:r>
      <w:r>
        <w:rPr>
          <w:b/>
          <w:bCs/>
        </w:rPr>
        <w:t xml:space="preserve">EphB3</w:t>
      </w:r>
      <w:r>
        <w:t xml:space="preserve">, all read as</w:t>
      </w:r>
      <w:r>
        <w:t xml:space="preserve"> </w:t>
      </w:r>
      <w:r>
        <w:t xml:space="preserve">processed Bruker spectra in the same</w:t>
      </w:r>
      <w:r>
        <w:t xml:space="preserve"> </w:t>
      </w:r>
      <m:oMath>
        <m:sSup>
          <m:e>
            <m:r>
              <m:t>​</m:t>
            </m:r>
          </m:e>
          <m:sup>
            <m:r>
              <m:t>1</m:t>
            </m:r>
          </m:sup>
        </m:sSup>
      </m:oMath>
      <w:r>
        <w:t xml:space="preserve">H 6.5–10</w:t>
      </w:r>
      <w:r>
        <w:t xml:space="preserve"> </w:t>
      </w:r>
      <m:oMath>
        <m:r>
          <m:rPr>
            <m:sty m:val="p"/>
          </m:rPr>
          <m:t>×</m:t>
        </m:r>
      </m:oMath>
      <w:r>
        <w:t xml:space="preserve"> </w:t>
      </w:r>
      <m:oMath>
        <m:sSup>
          <m:e>
            <m:r>
              <m:t>​</m:t>
            </m:r>
          </m:e>
          <m:sup>
            <m:r>
              <m:t>15</m:t>
            </m:r>
          </m:sup>
        </m:sSup>
      </m:oMath>
      <w:r>
        <w:t xml:space="preserve">N 105–130 window</w:t>
      </w:r>
      <w:r>
        <w:t xml:space="preserve"> </w:t>
      </w:r>
      <w:r>
        <w:t xml:space="preserve">(</w:t>
      </w:r>
      <w:r>
        <w:rPr>
          <w:rStyle w:val="VerbatimChar"/>
        </w:rPr>
        <w:t xml:space="preserve">bench_nhsqc.py</w:t>
      </w:r>
      <w:r>
        <w:t xml:space="preserve">). As the ligand is titrated the chemical-shift perturbation grows and STCC decays</w:t>
      </w:r>
      <w:r>
        <w:t xml:space="preserve"> </w:t>
      </w:r>
      <w:r>
        <w:rPr>
          <w:b/>
          <w:bCs/>
        </w:rPr>
        <w:t xml:space="preserve">smoothly</w:t>
      </w:r>
      <w:r>
        <w:t xml:space="preserve"> </w:t>
      </w:r>
      <w:r>
        <w:t xml:space="preserve">from 0.98 to a plateau near 0.82 (Table S4), the graded shift tolerance of §S6a acting</w:t>
      </w:r>
      <w:r>
        <w:t xml:space="preserve"> </w:t>
      </w:r>
      <w:r>
        <w:t xml:space="preserve">on real titration data; both decoy proteins fall far below the entire titration (OAA 0.19,</w:t>
      </w:r>
      <w:r>
        <w:t xml:space="preserve"> </w:t>
      </w:r>
      <w:r>
        <w:t xml:space="preserve">EphB3 0.41), so STCC’s margin (0.41) is positive across two distinct folds and the negative side is a</w:t>
      </w:r>
      <w:r>
        <w:t xml:space="preserve"> </w:t>
      </w:r>
      <w:r>
        <w:t xml:space="preserve">distribution, not one spectrum. Mean-centring still earns the gap (STCC separation 0.57 vs un-centred</w:t>
      </w:r>
      <w:r>
        <w:t xml:space="preserve"> </w:t>
      </w:r>
      <w:r>
        <w:t xml:space="preserve">cosine 0.46), and the tree and NN measures again saturate (margins 0.12, 0.02). Local Contrast</w:t>
      </w:r>
      <w:r>
        <w:t xml:space="preserve"> </w:t>
      </w:r>
      <w:r>
        <w:t xml:space="preserve">suppresses the decoys further (0.02 and 0.14), raising separation to 0.67 and margin to 0.52.</w:t>
      </w:r>
      <w:r>
        <w:t xml:space="preserve"> </w:t>
      </w:r>
      <w:r>
        <w:t xml:space="preserve">STCC’s absolute margin is smaller than the six-point single-decoy benchmark (0.71) because this test is harder on both</w:t>
      </w:r>
      <w:r>
        <w:t xml:space="preserve"> </w:t>
      </w:r>
      <w:r>
        <w:t xml:space="preserve">axes — a longer titration reaching larger shifts (min same 0.82 vs 0.89) and a tougher decoy</w:t>
      </w:r>
      <w:r>
        <w:t xml:space="preserve"> </w:t>
      </w:r>
      <w:r>
        <w:t xml:space="preserve">(EphB3 0.41 vs OAA 0.19). Local Contrast is reported separately as a post hoc experimental</w:t>
      </w:r>
      <w:r>
        <w:t xml:space="preserve"> </w:t>
      </w:r>
      <w:r>
        <w:t xml:space="preserve">candidate rather than used to redefine the primary comparison.</w:t>
      </w:r>
    </w:p>
    <w:p>
      <w:pPr>
        <w:pStyle w:val="BodyText"/>
      </w:pPr>
      <w:r>
        <w:rPr>
          <w:b/>
          <w:bCs/>
        </w:rPr>
        <w:t xml:space="preserve">Table S3.</w:t>
      </w:r>
      <w:r>
        <w:t xml:space="preserve"> </w:t>
      </w:r>
      <w:r>
        <w:t xml:space="preserve">Expanded dense</w:t>
      </w:r>
      <w:r>
        <w:t xml:space="preserve"> </w:t>
      </w:r>
      <m:oMath>
        <m:sSup>
          <m:e>
            <m:r>
              <m:t>​</m:t>
            </m:r>
          </m:e>
          <m:sup>
            <m:r>
              <m:t>1</m:t>
            </m:r>
          </m:sup>
        </m:sSup>
      </m:oMath>
      <w:r>
        <w:t xml:space="preserve">H–</w:t>
      </w:r>
      <m:oMath>
        <m:sSup>
          <m:e>
            <m:r>
              <m:t>​</m:t>
            </m:r>
          </m:e>
          <m:sup>
            <m:r>
              <m:t>15</m:t>
            </m:r>
          </m:sup>
        </m:sSup>
      </m:oMath>
      <w:r>
        <w:t xml:space="preserve">N benchmark: PRL3 apo–olsalazine titration (23</w:t>
      </w:r>
      <w:r>
        <w:t xml:space="preserve"> </w:t>
      </w:r>
      <w:r>
        <w:t xml:space="preserve">same-protein points) vs two decoy proteins (OAA, EphB3). Separation</w:t>
      </w:r>
      <w:r>
        <w:t xml:space="preserve"> </w:t>
      </w:r>
      <m:oMath>
        <m:r>
          <m:rPr>
            <m:sty m:val="p"/>
          </m:rPr>
          <m:t>=</m:t>
        </m:r>
        <m:sSub>
          <m:e>
            <m:bar>
              <m:barPr>
                <m:pos m:val="top"/>
              </m:barPr>
              <m:e>
                <m:r>
                  <m:t>S</m:t>
                </m:r>
              </m:e>
            </m:bar>
          </m:e>
          <m:sub>
            <m:r>
              <m:rPr>
                <m:nor/>
                <m:sty m:val="p"/>
              </m:rPr>
              <m:t>same</m:t>
            </m:r>
          </m:sub>
        </m:sSub>
        <m:r>
          <m:rPr>
            <m:sty m:val="p"/>
          </m:rPr>
          <m:t>−</m:t>
        </m:r>
        <m:sSub>
          <m:e>
            <m:bar>
              <m:barPr>
                <m:pos m:val="top"/>
              </m:barPr>
              <m:e>
                <m:r>
                  <m:t>S</m:t>
                </m:r>
              </m:e>
            </m:bar>
          </m:e>
          <m:sub>
            <m:r>
              <m:rPr>
                <m:nor/>
                <m:sty m:val="p"/>
              </m:rPr>
              <m:t>decoy</m:t>
            </m:r>
          </m:sub>
        </m:sSub>
      </m:oMath>
      <w:r>
        <w:t xml:space="preserve">; margin</w:t>
      </w:r>
      <w:r>
        <w:t xml:space="preserve"> </w:t>
      </w:r>
      <m:oMath>
        <m:r>
          <m:rPr>
            <m:sty m:val="p"/>
          </m:rPr>
          <m:t>=</m:t>
        </m:r>
        <m:sSub>
          <m:e>
            <m:r>
              <m:rPr>
                <m:sty m:val="p"/>
              </m:rPr>
              <m:t>min</m:t>
            </m:r>
          </m:e>
          <m:sub>
            <m:r>
              <m:t>e</m:t>
            </m:r>
          </m:sub>
        </m:sSub>
        <m:sSub>
          <m:e>
            <m:r>
              <m:t>S</m:t>
            </m:r>
          </m:e>
          <m:sub>
            <m:r>
              <m:rPr>
                <m:nor/>
                <m:sty m:val="p"/>
              </m:rPr>
              <m:t>same</m:t>
            </m:r>
          </m:sub>
        </m:sSub>
        <m:r>
          <m:rPr>
            <m:sty m:val="p"/>
          </m:rPr>
          <m:t>−</m:t>
        </m:r>
        <m:sSub>
          <m:e>
            <m:r>
              <m:rPr>
                <m:sty m:val="p"/>
              </m:rPr>
              <m:t>max</m:t>
            </m:r>
          </m:e>
          <m:sub>
            <m:r>
              <m:t>d</m:t>
            </m:r>
          </m:sub>
        </m:sSub>
        <m:sSub>
          <m:e>
            <m:r>
              <m:t>S</m:t>
            </m:r>
          </m:e>
          <m:sub>
            <m:r>
              <m:rPr>
                <m:nor/>
                <m:sty m:val="p"/>
              </m:rPr>
              <m:t>decoy</m:t>
            </m:r>
          </m:sub>
        </m:sSub>
      </m:oMath>
      <w:r>
        <w:t xml:space="preserve">. Every method</w:t>
      </w:r>
      <w:r>
        <w:t xml:space="preserve"> </w:t>
      </w:r>
      <w:r>
        <w:t xml:space="preserve">self-scores 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method</w:t>
            </w:r>
          </w:p>
        </w:tc>
        <w:tc>
          <w:tcPr/>
          <w:p>
            <w:pPr>
              <w:pStyle w:val="Compact"/>
              <w:jc w:val="center"/>
            </w:pPr>
            <w:r>
              <w:t xml:space="preserve">mean same</w:t>
            </w:r>
          </w:p>
        </w:tc>
        <w:tc>
          <w:tcPr/>
          <w:p>
            <w:pPr>
              <w:pStyle w:val="Compact"/>
              <w:jc w:val="center"/>
            </w:pPr>
            <w:r>
              <w:t xml:space="preserve">min same</w:t>
            </w:r>
          </w:p>
        </w:tc>
        <w:tc>
          <w:tcPr/>
          <w:p>
            <w:pPr>
              <w:pStyle w:val="Compact"/>
              <w:jc w:val="center"/>
            </w:pPr>
            <w:r>
              <w:t xml:space="preserve">OAA</w:t>
            </w:r>
          </w:p>
        </w:tc>
        <w:tc>
          <w:tcPr/>
          <w:p>
            <w:pPr>
              <w:pStyle w:val="Compact"/>
              <w:jc w:val="center"/>
            </w:pPr>
            <w:r>
              <w:t xml:space="preserve">EphB3</w:t>
            </w:r>
          </w:p>
        </w:tc>
      </w:tr>
      <w:tr>
        <w:tc>
          <w:tcPr/>
          <w:p>
            <w:pPr>
              <w:pStyle w:val="Compact"/>
            </w:pPr>
            <w:r>
              <w:rPr>
                <w:b/>
                <w:bCs/>
              </w:rPr>
              <w:t xml:space="preserve">Local Contrast (experimental)</w:t>
            </w:r>
          </w:p>
        </w:tc>
        <w:tc>
          <w:tcPr/>
          <w:p>
            <w:pPr>
              <w:pStyle w:val="Compact"/>
              <w:jc w:val="center"/>
            </w:pPr>
            <w:r>
              <w:t xml:space="preserve">0.752</w:t>
            </w:r>
          </w:p>
        </w:tc>
        <w:tc>
          <w:tcPr/>
          <w:p>
            <w:pPr>
              <w:pStyle w:val="Compact"/>
              <w:jc w:val="center"/>
            </w:pPr>
            <w:r>
              <w:t xml:space="preserve">0.661</w:t>
            </w:r>
          </w:p>
        </w:tc>
        <w:tc>
          <w:tcPr/>
          <w:p>
            <w:pPr>
              <w:pStyle w:val="Compact"/>
              <w:jc w:val="center"/>
            </w:pPr>
            <w:r>
              <w:t xml:space="preserve">0.022</w:t>
            </w:r>
          </w:p>
        </w:tc>
        <w:tc>
          <w:tcPr/>
          <w:p>
            <w:pPr>
              <w:pStyle w:val="Compact"/>
              <w:jc w:val="center"/>
            </w:pPr>
            <w:r>
              <w:t xml:space="preserve">0.138</w:t>
            </w:r>
          </w:p>
        </w:tc>
      </w:tr>
      <w:tr>
        <w:tc>
          <w:tcPr/>
          <w:p>
            <w:pPr>
              <w:pStyle w:val="Compact"/>
            </w:pPr>
            <w:r>
              <w:t xml:space="preserve">Bin (Bodis 2009)</w:t>
            </w:r>
          </w:p>
        </w:tc>
        <w:tc>
          <w:tcPr/>
          <w:p>
            <w:pPr>
              <w:pStyle w:val="Compact"/>
              <w:jc w:val="center"/>
            </w:pPr>
            <w:r>
              <w:t xml:space="preserve">0.817</w:t>
            </w:r>
          </w:p>
        </w:tc>
        <w:tc>
          <w:tcPr/>
          <w:p>
            <w:pPr>
              <w:pStyle w:val="Compact"/>
              <w:jc w:val="center"/>
            </w:pPr>
            <w:r>
              <w:t xml:space="preserve">0.753</w:t>
            </w:r>
          </w:p>
        </w:tc>
        <w:tc>
          <w:tcPr/>
          <w:p>
            <w:pPr>
              <w:pStyle w:val="Compact"/>
              <w:jc w:val="center"/>
            </w:pPr>
            <w:r>
              <w:t xml:space="preserve">0.461</w:t>
            </w:r>
          </w:p>
        </w:tc>
        <w:tc>
          <w:tcPr/>
          <w:p>
            <w:pPr>
              <w:pStyle w:val="Compact"/>
              <w:jc w:val="center"/>
            </w:pPr>
            <w:r>
              <w:t xml:space="preserve">0.500</w:t>
            </w:r>
          </w:p>
        </w:tc>
      </w:tr>
      <w:tr>
        <w:tc>
          <w:tcPr/>
          <w:p>
            <w:pPr>
              <w:pStyle w:val="Compact"/>
            </w:pPr>
            <w:r>
              <w:t xml:space="preserve">Bin + 45°</w:t>
            </w:r>
          </w:p>
        </w:tc>
        <w:tc>
          <w:tcPr/>
          <w:p>
            <w:pPr>
              <w:pStyle w:val="Compact"/>
              <w:jc w:val="center"/>
            </w:pPr>
            <w:r>
              <w:t xml:space="preserve">0.865</w:t>
            </w:r>
          </w:p>
        </w:tc>
        <w:tc>
          <w:tcPr/>
          <w:p>
            <w:pPr>
              <w:pStyle w:val="Compact"/>
              <w:jc w:val="center"/>
            </w:pPr>
            <w:r>
              <w:t xml:space="preserve">0.810</w:t>
            </w:r>
          </w:p>
        </w:tc>
        <w:tc>
          <w:tcPr/>
          <w:p>
            <w:pPr>
              <w:pStyle w:val="Compact"/>
              <w:jc w:val="center"/>
            </w:pPr>
            <w:r>
              <w:t xml:space="preserve">0.521</w:t>
            </w:r>
          </w:p>
        </w:tc>
        <w:tc>
          <w:tcPr/>
          <w:p>
            <w:pPr>
              <w:pStyle w:val="Compact"/>
              <w:jc w:val="center"/>
            </w:pPr>
            <w:r>
              <w:t xml:space="preserve">0.563</w:t>
            </w:r>
          </w:p>
        </w:tc>
      </w:tr>
      <w:tr>
        <w:tc>
          <w:tcPr/>
          <w:p>
            <w:pPr>
              <w:pStyle w:val="Compact"/>
            </w:pPr>
            <w:r>
              <w:t xml:space="preserve">Quad-tree (Castillo 2013)</w:t>
            </w:r>
          </w:p>
        </w:tc>
        <w:tc>
          <w:tcPr/>
          <w:p>
            <w:pPr>
              <w:pStyle w:val="Compact"/>
              <w:jc w:val="center"/>
            </w:pPr>
            <w:r>
              <w:t xml:space="preserve">0.946</w:t>
            </w:r>
          </w:p>
        </w:tc>
        <w:tc>
          <w:tcPr/>
          <w:p>
            <w:pPr>
              <w:pStyle w:val="Compact"/>
              <w:jc w:val="center"/>
            </w:pPr>
            <w:r>
              <w:t xml:space="preserve">0.912</w:t>
            </w:r>
          </w:p>
        </w:tc>
        <w:tc>
          <w:tcPr/>
          <w:p>
            <w:pPr>
              <w:pStyle w:val="Compact"/>
              <w:jc w:val="center"/>
            </w:pPr>
            <w:r>
              <w:t xml:space="preserve">0.793</w:t>
            </w:r>
          </w:p>
        </w:tc>
        <w:tc>
          <w:tcPr/>
          <w:p>
            <w:pPr>
              <w:pStyle w:val="Compact"/>
              <w:jc w:val="center"/>
            </w:pPr>
            <w:r>
              <w:t xml:space="preserve">0.749</w:t>
            </w:r>
          </w:p>
        </w:tc>
      </w:tr>
      <w:tr>
        <w:tc>
          <w:tcPr/>
          <w:p>
            <w:pPr>
              <w:pStyle w:val="Compact"/>
            </w:pPr>
            <w:r>
              <w:t xml:space="preserve">Nearest neighbour (Pierens 2012)</w:t>
            </w:r>
          </w:p>
        </w:tc>
        <w:tc>
          <w:tcPr/>
          <w:p>
            <w:pPr>
              <w:pStyle w:val="Compact"/>
              <w:jc w:val="center"/>
            </w:pPr>
            <w:r>
              <w:t xml:space="preserve">0.986</w:t>
            </w:r>
          </w:p>
        </w:tc>
        <w:tc>
          <w:tcPr/>
          <w:p>
            <w:pPr>
              <w:pStyle w:val="Compact"/>
              <w:jc w:val="center"/>
            </w:pPr>
            <w:r>
              <w:t xml:space="preserve">0.983</w:t>
            </w:r>
          </w:p>
        </w:tc>
        <w:tc>
          <w:tcPr/>
          <w:p>
            <w:pPr>
              <w:pStyle w:val="Compact"/>
              <w:jc w:val="center"/>
            </w:pPr>
            <w:r>
              <w:t xml:space="preserve">0.959</w:t>
            </w:r>
          </w:p>
        </w:tc>
        <w:tc>
          <w:tcPr/>
          <w:p>
            <w:pPr>
              <w:pStyle w:val="Compact"/>
              <w:jc w:val="center"/>
            </w:pPr>
            <w:r>
              <w:t xml:space="preserve">0.962</w:t>
            </w:r>
          </w:p>
        </w:tc>
      </w:tr>
      <w:tr>
        <w:tc>
          <w:tcPr/>
          <w:p>
            <w:pPr>
              <w:pStyle w:val="Compact"/>
            </w:pPr>
            <w:r>
              <w:t xml:space="preserve">Cosine, un-centred (STCC ablation)</w:t>
            </w:r>
          </w:p>
        </w:tc>
        <w:tc>
          <w:tcPr/>
          <w:p>
            <w:pPr>
              <w:pStyle w:val="Compact"/>
              <w:jc w:val="center"/>
            </w:pPr>
            <w:r>
              <w:t xml:space="preserve">0.897</w:t>
            </w:r>
          </w:p>
        </w:tc>
        <w:tc>
          <w:tcPr/>
          <w:p>
            <w:pPr>
              <w:pStyle w:val="Compact"/>
              <w:jc w:val="center"/>
            </w:pPr>
            <w:r>
              <w:t xml:space="preserve">0.853</w:t>
            </w:r>
          </w:p>
        </w:tc>
        <w:tc>
          <w:tcPr/>
          <w:p>
            <w:pPr>
              <w:pStyle w:val="Compact"/>
              <w:jc w:val="center"/>
            </w:pPr>
            <w:r>
              <w:t xml:space="preserve">0.360</w:t>
            </w:r>
          </w:p>
        </w:tc>
        <w:tc>
          <w:tcPr/>
          <w:p>
            <w:pPr>
              <w:pStyle w:val="Compact"/>
              <w:jc w:val="center"/>
            </w:pPr>
            <w:r>
              <w:t xml:space="preserve">0.507</w:t>
            </w:r>
          </w:p>
        </w:tc>
      </w:tr>
      <w:tr>
        <w:tc>
          <w:tcPr/>
          <w:p>
            <w:pPr>
              <w:pStyle w:val="Compact"/>
            </w:pPr>
            <w:r>
              <w:rPr>
                <w:b/>
                <w:bCs/>
              </w:rPr>
              <w:t xml:space="preserve">STCC (default)</w:t>
            </w:r>
          </w:p>
        </w:tc>
        <w:tc>
          <w:tcPr/>
          <w:p>
            <w:pPr>
              <w:pStyle w:val="Compact"/>
              <w:jc w:val="center"/>
            </w:pPr>
            <w:r>
              <w:t xml:space="preserve">0.871</w:t>
            </w:r>
          </w:p>
        </w:tc>
        <w:tc>
          <w:tcPr/>
          <w:p>
            <w:pPr>
              <w:pStyle w:val="Compact"/>
              <w:jc w:val="center"/>
            </w:pPr>
            <w:r>
              <w:t xml:space="preserve">0.820</w:t>
            </w:r>
          </w:p>
        </w:tc>
        <w:tc>
          <w:tcPr/>
          <w:p>
            <w:pPr>
              <w:pStyle w:val="Compact"/>
              <w:jc w:val="center"/>
            </w:pPr>
            <w:r>
              <w:t xml:space="preserve">0.195</w:t>
            </w:r>
          </w:p>
        </w:tc>
        <w:tc>
          <w:tcPr/>
          <w:p>
            <w:pPr>
              <w:pStyle w:val="Compact"/>
              <w:jc w:val="center"/>
            </w:pPr>
            <w:r>
              <w:t xml:space="preserve">0.414</w:t>
            </w:r>
          </w:p>
        </w:tc>
      </w:tr>
    </w:tbl>
    <w:p>
      <w:pPr>
        <w:pStyle w:val="BodyText"/>
      </w:pPr>
      <w:r>
        <w:rPr>
          <w:b/>
          <w:bCs/>
        </w:rPr>
        <w:t xml:space="preserve">Table S3 (continued).</w:t>
      </w:r>
      <w:r>
        <w:t xml:space="preserve"> </w:t>
      </w:r>
      <w:r>
        <w:t xml:space="preserve">Discrimination summary for the expanded dense benchmark.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jc w:val="center"/>
            </w:pPr>
            <w:r>
              <w:t xml:space="preserve">separation</w:t>
            </w:r>
          </w:p>
        </w:tc>
        <w:tc>
          <w:tcPr/>
          <w:p>
            <w:pPr>
              <w:pStyle w:val="Compact"/>
              <w:jc w:val="center"/>
            </w:pPr>
            <w:r>
              <w:t xml:space="preserve">margin</w:t>
            </w:r>
          </w:p>
        </w:tc>
      </w:tr>
      <w:tr>
        <w:tc>
          <w:tcPr/>
          <w:p>
            <w:pPr>
              <w:pStyle w:val="Compact"/>
            </w:pPr>
            <w:r>
              <w:rPr>
                <w:b/>
                <w:bCs/>
              </w:rPr>
              <w:t xml:space="preserve">Local Contrast (experimental)</w:t>
            </w:r>
          </w:p>
        </w:tc>
        <w:tc>
          <w:tcPr/>
          <w:p>
            <w:pPr>
              <w:pStyle w:val="Compact"/>
              <w:jc w:val="center"/>
            </w:pPr>
            <w:r>
              <w:rPr>
                <w:b/>
                <w:bCs/>
              </w:rPr>
              <w:t xml:space="preserve">0.672</w:t>
            </w:r>
          </w:p>
        </w:tc>
        <w:tc>
          <w:tcPr/>
          <w:p>
            <w:pPr>
              <w:pStyle w:val="Compact"/>
              <w:jc w:val="center"/>
            </w:pPr>
            <w:r>
              <w:rPr>
                <w:b/>
                <w:bCs/>
              </w:rPr>
              <w:t xml:space="preserve">0.523</w:t>
            </w:r>
          </w:p>
        </w:tc>
      </w:tr>
      <w:tr>
        <w:tc>
          <w:tcPr/>
          <w:p>
            <w:pPr>
              <w:pStyle w:val="Compact"/>
            </w:pPr>
            <w:r>
              <w:t xml:space="preserve">Bin (Bodis 2009)</w:t>
            </w:r>
          </w:p>
        </w:tc>
        <w:tc>
          <w:tcPr/>
          <w:p>
            <w:pPr>
              <w:pStyle w:val="Compact"/>
              <w:jc w:val="center"/>
            </w:pPr>
            <w:r>
              <w:t xml:space="preserve">0.337</w:t>
            </w:r>
          </w:p>
        </w:tc>
        <w:tc>
          <w:tcPr/>
          <w:p>
            <w:pPr>
              <w:pStyle w:val="Compact"/>
              <w:jc w:val="center"/>
            </w:pPr>
            <w:r>
              <w:t xml:space="preserve">0.253</w:t>
            </w:r>
          </w:p>
        </w:tc>
      </w:tr>
      <w:tr>
        <w:tc>
          <w:tcPr/>
          <w:p>
            <w:pPr>
              <w:pStyle w:val="Compact"/>
            </w:pPr>
            <w:r>
              <w:t xml:space="preserve">Bin + 45°</w:t>
            </w:r>
          </w:p>
        </w:tc>
        <w:tc>
          <w:tcPr/>
          <w:p>
            <w:pPr>
              <w:pStyle w:val="Compact"/>
              <w:jc w:val="center"/>
            </w:pPr>
            <w:r>
              <w:t xml:space="preserve">0.323</w:t>
            </w:r>
          </w:p>
        </w:tc>
        <w:tc>
          <w:tcPr/>
          <w:p>
            <w:pPr>
              <w:pStyle w:val="Compact"/>
              <w:jc w:val="center"/>
            </w:pPr>
            <w:r>
              <w:t xml:space="preserve">0.247</w:t>
            </w:r>
          </w:p>
        </w:tc>
      </w:tr>
      <w:tr>
        <w:tc>
          <w:tcPr/>
          <w:p>
            <w:pPr>
              <w:pStyle w:val="Compact"/>
            </w:pPr>
            <w:r>
              <w:t xml:space="preserve">Quad-tree (Castillo 2013)</w:t>
            </w:r>
          </w:p>
        </w:tc>
        <w:tc>
          <w:tcPr/>
          <w:p>
            <w:pPr>
              <w:pStyle w:val="Compact"/>
              <w:jc w:val="center"/>
            </w:pPr>
            <w:r>
              <w:t xml:space="preserve">0.176</w:t>
            </w:r>
          </w:p>
        </w:tc>
        <w:tc>
          <w:tcPr/>
          <w:p>
            <w:pPr>
              <w:pStyle w:val="Compact"/>
              <w:jc w:val="center"/>
            </w:pPr>
            <w:r>
              <w:t xml:space="preserve">0.119</w:t>
            </w:r>
          </w:p>
        </w:tc>
      </w:tr>
      <w:tr>
        <w:tc>
          <w:tcPr/>
          <w:p>
            <w:pPr>
              <w:pStyle w:val="Compact"/>
            </w:pPr>
            <w:r>
              <w:t xml:space="preserve">Nearest neighbour (Pierens 2012)</w:t>
            </w:r>
          </w:p>
        </w:tc>
        <w:tc>
          <w:tcPr/>
          <w:p>
            <w:pPr>
              <w:pStyle w:val="Compact"/>
              <w:jc w:val="center"/>
            </w:pPr>
            <w:r>
              <w:t xml:space="preserve">0.026</w:t>
            </w:r>
          </w:p>
        </w:tc>
        <w:tc>
          <w:tcPr/>
          <w:p>
            <w:pPr>
              <w:pStyle w:val="Compact"/>
              <w:jc w:val="center"/>
            </w:pPr>
            <w:r>
              <w:t xml:space="preserve">0.021</w:t>
            </w:r>
          </w:p>
        </w:tc>
      </w:tr>
      <w:tr>
        <w:tc>
          <w:tcPr/>
          <w:p>
            <w:pPr>
              <w:pStyle w:val="Compact"/>
            </w:pPr>
            <w:r>
              <w:t xml:space="preserve">Cosine, un-centred (STCC ablation)</w:t>
            </w:r>
          </w:p>
        </w:tc>
        <w:tc>
          <w:tcPr/>
          <w:p>
            <w:pPr>
              <w:pStyle w:val="Compact"/>
              <w:jc w:val="center"/>
            </w:pPr>
            <w:r>
              <w:t xml:space="preserve">0.464</w:t>
            </w:r>
          </w:p>
        </w:tc>
        <w:tc>
          <w:tcPr/>
          <w:p>
            <w:pPr>
              <w:pStyle w:val="Compact"/>
              <w:jc w:val="center"/>
            </w:pPr>
            <w:r>
              <w:t xml:space="preserve">0.346</w:t>
            </w:r>
          </w:p>
        </w:tc>
      </w:tr>
      <w:tr>
        <w:tc>
          <w:tcPr/>
          <w:p>
            <w:pPr>
              <w:pStyle w:val="Compact"/>
            </w:pPr>
            <w:r>
              <w:rPr>
                <w:b/>
                <w:bCs/>
              </w:rPr>
              <w:t xml:space="preserve">STCC (default)</w:t>
            </w:r>
          </w:p>
        </w:tc>
        <w:tc>
          <w:tcPr/>
          <w:p>
            <w:pPr>
              <w:pStyle w:val="Compact"/>
              <w:jc w:val="center"/>
            </w:pPr>
            <w:r>
              <w:t xml:space="preserve">0.567</w:t>
            </w:r>
          </w:p>
        </w:tc>
        <w:tc>
          <w:tcPr/>
          <w:p>
            <w:pPr>
              <w:pStyle w:val="Compact"/>
              <w:jc w:val="center"/>
            </w:pPr>
            <w:r>
              <w:t xml:space="preserve">0.405</w:t>
            </w:r>
          </w:p>
        </w:tc>
      </w:tr>
    </w:tbl>
    <w:p>
      <w:pPr>
        <w:pStyle w:val="BodyText"/>
      </w:pPr>
      <w:r>
        <w:rPr>
          <w:b/>
          <w:bCs/>
        </w:rPr>
        <w:t xml:space="preserve">Table S4.</w:t>
      </w:r>
      <w:r>
        <w:t xml:space="preserve"> </w:t>
      </w:r>
      <w:r>
        <w:t xml:space="preserve">Selected points along the PRL3–olsalazine titration for STCC and experimental Local</w:t>
      </w:r>
      <w:r>
        <w:t xml:space="preserve"> </w:t>
      </w:r>
      <w:r>
        <w:t xml:space="preserve">Contrast (reference = apo exp 2). Across all 23 titration points, every score stays above both</w:t>
      </w:r>
      <w:r>
        <w:t xml:space="preserve"> </w:t>
      </w:r>
      <w:r>
        <w:t xml:space="preserve">decoys: STCC has a worst</w:t>
      </w:r>
      <w:r>
        <w:t xml:space="preserve"> </w:t>
      </w:r>
      <w:r>
        <w:t xml:space="preserve">same-protein score of 0.82 versus worst decoy 0.41; Local Contrast has 0.66 versus 0.14.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exp</w:t>
            </w:r>
          </w:p>
        </w:tc>
        <w:tc>
          <w:tcPr/>
          <w:p>
            <w:pPr>
              <w:pStyle w:val="Compact"/>
              <w:jc w:val="center"/>
            </w:pPr>
            <w:r>
              <w:t xml:space="preserve">STCC</w:t>
            </w:r>
          </w:p>
        </w:tc>
        <w:tc>
          <w:tcPr/>
          <w:p>
            <w:pPr>
              <w:pStyle w:val="Compact"/>
              <w:jc w:val="center"/>
            </w:pPr>
            <w:r>
              <w:t xml:space="preserve">Local Contrast</w:t>
            </w:r>
          </w:p>
        </w:tc>
      </w:tr>
      <w:tr>
        <w:tc>
          <w:tcPr/>
          <w:p>
            <w:pPr>
              <w:pStyle w:val="Compact"/>
            </w:pPr>
            <w:r>
              <w:t xml:space="preserve">4</w:t>
            </w:r>
          </w:p>
        </w:tc>
        <w:tc>
          <w:tcPr/>
          <w:p>
            <w:pPr>
              <w:pStyle w:val="Compact"/>
              <w:jc w:val="center"/>
            </w:pPr>
            <w:r>
              <w:t xml:space="preserve">0.98</w:t>
            </w:r>
          </w:p>
        </w:tc>
        <w:tc>
          <w:tcPr/>
          <w:p>
            <w:pPr>
              <w:pStyle w:val="Compact"/>
              <w:jc w:val="center"/>
            </w:pPr>
            <w:r>
              <w:t xml:space="preserve">0.95</w:t>
            </w:r>
          </w:p>
        </w:tc>
      </w:tr>
      <w:tr>
        <w:tc>
          <w:tcPr/>
          <w:p>
            <w:pPr>
              <w:pStyle w:val="Compact"/>
            </w:pPr>
            <w:r>
              <w:t xml:space="preserve">8</w:t>
            </w:r>
          </w:p>
        </w:tc>
        <w:tc>
          <w:tcPr/>
          <w:p>
            <w:pPr>
              <w:pStyle w:val="Compact"/>
              <w:jc w:val="center"/>
            </w:pPr>
            <w:r>
              <w:t xml:space="preserve">0.95</w:t>
            </w:r>
          </w:p>
        </w:tc>
        <w:tc>
          <w:tcPr/>
          <w:p>
            <w:pPr>
              <w:pStyle w:val="Compact"/>
              <w:jc w:val="center"/>
            </w:pPr>
            <w:r>
              <w:t xml:space="preserve">0.89</w:t>
            </w:r>
          </w:p>
        </w:tc>
      </w:tr>
      <w:tr>
        <w:tc>
          <w:tcPr/>
          <w:p>
            <w:pPr>
              <w:pStyle w:val="Compact"/>
            </w:pPr>
            <w:r>
              <w:t xml:space="preserve">12</w:t>
            </w:r>
          </w:p>
        </w:tc>
        <w:tc>
          <w:tcPr/>
          <w:p>
            <w:pPr>
              <w:pStyle w:val="Compact"/>
              <w:jc w:val="center"/>
            </w:pPr>
            <w:r>
              <w:t xml:space="preserve">0.93</w:t>
            </w:r>
          </w:p>
        </w:tc>
        <w:tc>
          <w:tcPr/>
          <w:p>
            <w:pPr>
              <w:pStyle w:val="Compact"/>
              <w:jc w:val="center"/>
            </w:pPr>
            <w:r>
              <w:t xml:space="preserve">0.85</w:t>
            </w:r>
          </w:p>
        </w:tc>
      </w:tr>
      <w:tr>
        <w:tc>
          <w:tcPr/>
          <w:p>
            <w:pPr>
              <w:pStyle w:val="Compact"/>
            </w:pPr>
            <w:r>
              <w:t xml:space="preserve">16</w:t>
            </w:r>
          </w:p>
        </w:tc>
        <w:tc>
          <w:tcPr/>
          <w:p>
            <w:pPr>
              <w:pStyle w:val="Compact"/>
              <w:jc w:val="center"/>
            </w:pPr>
            <w:r>
              <w:t xml:space="preserve">0.90</w:t>
            </w:r>
          </w:p>
        </w:tc>
        <w:tc>
          <w:tcPr/>
          <w:p>
            <w:pPr>
              <w:pStyle w:val="Compact"/>
              <w:jc w:val="center"/>
            </w:pPr>
            <w:r>
              <w:t xml:space="preserve">0.80</w:t>
            </w:r>
          </w:p>
        </w:tc>
      </w:tr>
      <w:tr>
        <w:tc>
          <w:tcPr/>
          <w:p>
            <w:pPr>
              <w:pStyle w:val="Compact"/>
            </w:pPr>
            <w:r>
              <w:t xml:space="preserve">20</w:t>
            </w:r>
          </w:p>
        </w:tc>
        <w:tc>
          <w:tcPr/>
          <w:p>
            <w:pPr>
              <w:pStyle w:val="Compact"/>
              <w:jc w:val="center"/>
            </w:pPr>
            <w:r>
              <w:t xml:space="preserve">0.87</w:t>
            </w:r>
          </w:p>
        </w:tc>
        <w:tc>
          <w:tcPr/>
          <w:p>
            <w:pPr>
              <w:pStyle w:val="Compact"/>
              <w:jc w:val="center"/>
            </w:pPr>
            <w:r>
              <w:t xml:space="preserve">0.76</w:t>
            </w:r>
          </w:p>
        </w:tc>
      </w:tr>
      <w:tr>
        <w:tc>
          <w:tcPr/>
          <w:p>
            <w:pPr>
              <w:pStyle w:val="Compact"/>
            </w:pPr>
            <w:r>
              <w:t xml:space="preserve">24</w:t>
            </w:r>
          </w:p>
        </w:tc>
        <w:tc>
          <w:tcPr/>
          <w:p>
            <w:pPr>
              <w:pStyle w:val="Compact"/>
              <w:jc w:val="center"/>
            </w:pPr>
            <w:r>
              <w:t xml:space="preserve">0.85</w:t>
            </w:r>
          </w:p>
        </w:tc>
        <w:tc>
          <w:tcPr/>
          <w:p>
            <w:pPr>
              <w:pStyle w:val="Compact"/>
              <w:jc w:val="center"/>
            </w:pPr>
            <w:r>
              <w:t xml:space="preserve">0.73</w:t>
            </w:r>
          </w:p>
        </w:tc>
      </w:tr>
      <w:tr>
        <w:tc>
          <w:tcPr/>
          <w:p>
            <w:pPr>
              <w:pStyle w:val="Compact"/>
            </w:pPr>
            <w:r>
              <w:t xml:space="preserve">28</w:t>
            </w:r>
          </w:p>
        </w:tc>
        <w:tc>
          <w:tcPr/>
          <w:p>
            <w:pPr>
              <w:pStyle w:val="Compact"/>
              <w:jc w:val="center"/>
            </w:pPr>
            <w:r>
              <w:t xml:space="preserve">0.85</w:t>
            </w:r>
          </w:p>
        </w:tc>
        <w:tc>
          <w:tcPr/>
          <w:p>
            <w:pPr>
              <w:pStyle w:val="Compact"/>
              <w:jc w:val="center"/>
            </w:pPr>
            <w:r>
              <w:t xml:space="preserve">0.71</w:t>
            </w:r>
          </w:p>
        </w:tc>
      </w:tr>
      <w:tr>
        <w:tc>
          <w:tcPr/>
          <w:p>
            <w:pPr>
              <w:pStyle w:val="Compact"/>
            </w:pPr>
            <w:r>
              <w:t xml:space="preserve">32</w:t>
            </w:r>
          </w:p>
        </w:tc>
        <w:tc>
          <w:tcPr/>
          <w:p>
            <w:pPr>
              <w:pStyle w:val="Compact"/>
              <w:jc w:val="center"/>
            </w:pPr>
            <w:r>
              <w:t xml:space="preserve">0.84</w:t>
            </w:r>
          </w:p>
        </w:tc>
        <w:tc>
          <w:tcPr/>
          <w:p>
            <w:pPr>
              <w:pStyle w:val="Compact"/>
              <w:jc w:val="center"/>
            </w:pPr>
            <w:r>
              <w:t xml:space="preserve">0.69</w:t>
            </w:r>
          </w:p>
        </w:tc>
      </w:tr>
      <w:tr>
        <w:tc>
          <w:tcPr/>
          <w:p>
            <w:pPr>
              <w:pStyle w:val="Compact"/>
            </w:pPr>
            <w:r>
              <w:t xml:space="preserve">36</w:t>
            </w:r>
          </w:p>
        </w:tc>
        <w:tc>
          <w:tcPr/>
          <w:p>
            <w:pPr>
              <w:pStyle w:val="Compact"/>
              <w:jc w:val="center"/>
            </w:pPr>
            <w:r>
              <w:t xml:space="preserve">0.83</w:t>
            </w:r>
          </w:p>
        </w:tc>
        <w:tc>
          <w:tcPr/>
          <w:p>
            <w:pPr>
              <w:pStyle w:val="Compact"/>
              <w:jc w:val="center"/>
            </w:pPr>
            <w:r>
              <w:t xml:space="preserve">0.68</w:t>
            </w:r>
          </w:p>
        </w:tc>
      </w:tr>
      <w:tr>
        <w:tc>
          <w:tcPr/>
          <w:p>
            <w:pPr>
              <w:pStyle w:val="Compact"/>
            </w:pPr>
            <w:r>
              <w:t xml:space="preserve">40</w:t>
            </w:r>
          </w:p>
        </w:tc>
        <w:tc>
          <w:tcPr/>
          <w:p>
            <w:pPr>
              <w:pStyle w:val="Compact"/>
              <w:jc w:val="center"/>
            </w:pPr>
            <w:r>
              <w:t xml:space="preserve">0.83</w:t>
            </w:r>
          </w:p>
        </w:tc>
        <w:tc>
          <w:tcPr/>
          <w:p>
            <w:pPr>
              <w:pStyle w:val="Compact"/>
              <w:jc w:val="center"/>
            </w:pPr>
            <w:r>
              <w:t xml:space="preserve">0.67</w:t>
            </w:r>
          </w:p>
        </w:tc>
      </w:tr>
      <w:tr>
        <w:tc>
          <w:tcPr/>
          <w:p>
            <w:pPr>
              <w:pStyle w:val="Compact"/>
            </w:pPr>
            <w:r>
              <w:t xml:space="preserve">44</w:t>
            </w:r>
          </w:p>
        </w:tc>
        <w:tc>
          <w:tcPr/>
          <w:p>
            <w:pPr>
              <w:pStyle w:val="Compact"/>
              <w:jc w:val="center"/>
            </w:pPr>
            <w:r>
              <w:t xml:space="preserve">0.83</w:t>
            </w:r>
          </w:p>
        </w:tc>
        <w:tc>
          <w:tcPr/>
          <w:p>
            <w:pPr>
              <w:pStyle w:val="Compact"/>
              <w:jc w:val="center"/>
            </w:pPr>
            <w:r>
              <w:t xml:space="preserve">0.67</w:t>
            </w:r>
          </w:p>
        </w:tc>
      </w:tr>
      <w:tr>
        <w:tc>
          <w:tcPr/>
          <w:p>
            <w:pPr>
              <w:pStyle w:val="Compact"/>
            </w:pPr>
            <w:r>
              <w:t xml:space="preserve">48</w:t>
            </w:r>
          </w:p>
        </w:tc>
        <w:tc>
          <w:tcPr/>
          <w:p>
            <w:pPr>
              <w:pStyle w:val="Compact"/>
              <w:jc w:val="center"/>
            </w:pPr>
            <w:r>
              <w:t xml:space="preserve">0.82</w:t>
            </w:r>
          </w:p>
        </w:tc>
        <w:tc>
          <w:tcPr/>
          <w:p>
            <w:pPr>
              <w:pStyle w:val="Compact"/>
              <w:jc w:val="center"/>
            </w:pPr>
            <w:r>
              <w:t xml:space="preserve">0.66</w:t>
            </w:r>
          </w:p>
        </w:tc>
      </w:tr>
    </w:tbl>
    <w:bookmarkEnd w:id="48"/>
    <w:bookmarkStart w:id="49" w:name="X372e64e743dc188fbdf68fdef1921ed3f9a1f8b"/>
    <w:p>
      <w:pPr>
        <w:pStyle w:val="Heading2"/>
      </w:pPr>
      <w:r>
        <w:t xml:space="preserve">S9 Benchmark 2 — sparse small-molecule</w:t>
      </w:r>
      <w:r>
        <w:t xml:space="preserve"> </w:t>
      </w:r>
      <m:oMath>
        <m:sSup>
          <m:e>
            <m:r>
              <m:t>​</m:t>
            </m:r>
          </m:e>
          <m:sup>
            <m:r>
              <m:t>1</m:t>
            </m:r>
          </m:sup>
        </m:sSup>
      </m:oMath>
      <w:r>
        <w:t xml:space="preserve">H–</w:t>
      </w:r>
      <m:oMath>
        <m:sSup>
          <m:e>
            <m:r>
              <m:t>​</m:t>
            </m:r>
          </m:e>
          <m:sup>
            <m:r>
              <m:t>13</m:t>
            </m:r>
          </m:sup>
        </m:sSup>
      </m:oMath>
      <w:r>
        <w:t xml:space="preserve">C</w:t>
      </w:r>
    </w:p>
    <w:p>
      <w:pPr>
        <w:pStyle w:val="FirstParagraph"/>
      </w:pPr>
      <w:r>
        <w:rPr>
          <w:b/>
          <w:bCs/>
        </w:rPr>
        <w:t xml:space="preserve">Design.</w:t>
      </w:r>
      <w:r>
        <w:t xml:space="preserve"> </w:t>
      </w:r>
      <w:r>
        <w:t xml:space="preserve">Public HSQC peak lists from the simpleNMR example set [14] (EricHughesABC/simpleNMR). Six</w:t>
      </w:r>
      <w:r>
        <w:t xml:space="preserve"> </w:t>
      </w:r>
      <w:r>
        <w:t xml:space="preserve">nominal compounds, each recorded</w:t>
      </w:r>
      <w:r>
        <w:t xml:space="preserve"> </w:t>
      </w:r>
      <w:r>
        <w:rPr>
          <w:b/>
          <w:bCs/>
        </w:rPr>
        <w:t xml:space="preserve">twice</w:t>
      </w:r>
      <w:r>
        <w:t xml:space="preserve"> </w:t>
      </w:r>
      <w:r>
        <w:t xml:space="preserve">(a variant pair — e.g. menthol in two solvents). One</w:t>
      </w:r>
      <w:r>
        <w:t xml:space="preserve"> </w:t>
      </w:r>
      <w:r>
        <w:t xml:space="preserve">nominal pair,</w:t>
      </w:r>
      <w:r>
        <w:t xml:space="preserve"> </w:t>
      </w:r>
      <w:r>
        <w:rPr>
          <w:b/>
          <w:bCs/>
        </w:rPr>
        <w:t xml:space="preserve">olivetol</w:t>
      </w:r>
      <w:r>
        <w:t xml:space="preserve">, was excluded: its two source files (</w:t>
      </w:r>
      <w:r>
        <w:rPr>
          <w:rStyle w:val="VerbatimChar"/>
        </w:rPr>
        <w:t xml:space="preserve">Olivetol.json</w:t>
      </w:r>
      <w:r>
        <w:t xml:space="preserve"> </w:t>
      </w:r>
      <w:r>
        <w:t xml:space="preserve">and</w:t>
      </w:r>
      <w:r>
        <w:t xml:space="preserve"> </w:t>
      </w:r>
      <w:r>
        <w:rPr>
          <w:rStyle w:val="VerbatimChar"/>
        </w:rPr>
        <w:t xml:space="preserve">Olivetol_A.json</w:t>
      </w:r>
      <w:r>
        <w:t xml:space="preserve">) are</w:t>
      </w:r>
      <w:r>
        <w:t xml:space="preserve"> </w:t>
      </w:r>
      <w:r>
        <w:rPr>
          <w:b/>
          <w:bCs/>
        </w:rPr>
        <w:t xml:space="preserve">byte-identical</w:t>
      </w:r>
      <w:r>
        <w:t xml:space="preserve"> </w:t>
      </w:r>
      <w:r>
        <w:t xml:space="preserve">(same MD5, identical peak lists), so it was a</w:t>
      </w:r>
      <w:r>
        <w:t xml:space="preserve"> </w:t>
      </w:r>
      <w:r>
        <w:t xml:space="preserve">self-comparison scoring 1.00 for every method — an information-free positive that inflated</w:t>
      </w:r>
      <w:r>
        <w:t xml:space="preserve"> </w:t>
      </w:r>
      <w:r>
        <w:rPr>
          <w:rStyle w:val="VerbatimChar"/>
        </w:rPr>
        <w:t xml:space="preserve">mean_same</w:t>
      </w:r>
      <w:r>
        <w:t xml:space="preserve">. The benchmark now uses the</w:t>
      </w:r>
      <w:r>
        <w:t xml:space="preserve"> </w:t>
      </w:r>
      <w:r>
        <w:rPr>
          <w:b/>
          <w:bCs/>
        </w:rPr>
        <w:t xml:space="preserve">5 genuinely distinct</w:t>
      </w:r>
      <w:r>
        <w:t xml:space="preserve"> </w:t>
      </w:r>
      <w:r>
        <w:t xml:space="preserve">same-compound pairs (10 spectra)</w:t>
      </w:r>
      <w:r>
        <w:t xml:space="preserve"> </w:t>
      </w:r>
      <w:r>
        <w:t xml:space="preserve">and asks each measure to score them above the</w:t>
      </w:r>
      <w:r>
        <w:t xml:space="preserve"> </w:t>
      </w:r>
      <w:r>
        <w:rPr>
          <w:b/>
          <w:bCs/>
        </w:rPr>
        <w:t xml:space="preserve">40 different-compound pairs</w:t>
      </w:r>
      <w:r>
        <w:t xml:space="preserve">.</w:t>
      </w:r>
      <w:r>
        <w:t xml:space="preserve"> </w:t>
      </w:r>
      <w:r>
        <w:rPr>
          <w:rStyle w:val="VerbatimChar"/>
        </w:rPr>
        <w:t xml:space="preserve">bench_13c.py</w:t>
      </w:r>
      <w:r>
        <w:t xml:space="preserve"> </w:t>
      </w:r>
      <w:r>
        <w:t xml:space="preserve">raises at load time on any same-pair that renders to an identical image, so a duplicate cannot</w:t>
      </w:r>
      <w:r>
        <w:t xml:space="preserve"> </w:t>
      </w:r>
      <w:r>
        <w:t xml:space="preserve">silently re-enter. Peak lists are rasterized to a synthetic 2D</w:t>
      </w:r>
      <w:r>
        <w:t xml:space="preserve"> </w:t>
      </w:r>
      <w:r>
        <w:rPr>
          <w:b/>
          <w:bCs/>
        </w:rPr>
        <w:t xml:space="preserve">stick</w:t>
      </w:r>
      <w:r>
        <w:t xml:space="preserve"> </w:t>
      </w:r>
      <w:r>
        <w:t xml:space="preserve">spectrum, using</w:t>
      </w:r>
      <w:r>
        <w:t xml:space="preserve"> </w:t>
      </w:r>
      <m:oMath>
        <m:r>
          <m:rPr>
            <m:sty m:val="p"/>
          </m:rPr>
          <m:t>|</m:t>
        </m:r>
      </m:oMath>
      <w:r>
        <w:t xml:space="preserve">intensity</w:t>
      </w:r>
      <m:oMath>
        <m:r>
          <m:rPr>
            <m:sty m:val="p"/>
          </m:rPr>
          <m:t>|</m:t>
        </m:r>
      </m:oMath>
      <w:r>
        <w:t xml:space="preserve"> </w:t>
      </w:r>
      <w:r>
        <w:t xml:space="preserve">so edited-HSQC CH</w:t>
      </w:r>
      <m:oMath>
        <m:sSub>
          <m:e>
            <m:r>
              <m:t>​</m:t>
            </m:r>
          </m:e>
          <m:sub>
            <m:r>
              <m:t>2</m:t>
            </m:r>
          </m:sub>
        </m:sSub>
      </m:oMath>
      <w:r>
        <w:t xml:space="preserve"> </w:t>
      </w:r>
      <w:r>
        <w:t xml:space="preserve">peaks are kept (§S1); each method then applies its own</w:t>
      </w:r>
      <w:r>
        <w:t xml:space="preserve"> </w:t>
      </w:r>
      <w:r>
        <w:t xml:space="preserve">shift-tolerance processing. This avoids the former method-neutral pre-blur and the resulting double</w:t>
      </w:r>
      <w:r>
        <w:t xml:space="preserve"> </w:t>
      </w:r>
      <w:r>
        <w:t xml:space="preserve">blur for STCC-family methods.</w:t>
      </w:r>
      <w:r>
        <w:t xml:space="preserve"> </w:t>
      </w:r>
      <w:r>
        <w:t xml:space="preserve">Window</w:t>
      </w:r>
      <w:r>
        <w:t xml:space="preserve"> </w:t>
      </w:r>
      <m:oMath>
        <m:sSup>
          <m:e>
            <m:r>
              <m:t>​</m:t>
            </m:r>
          </m:e>
          <m:sup>
            <m:r>
              <m:t>1</m:t>
            </m:r>
          </m:sup>
        </m:sSup>
      </m:oMath>
      <w:r>
        <w:t xml:space="preserve">H 0–10</w:t>
      </w:r>
      <w:r>
        <w:t xml:space="preserve"> </w:t>
      </w:r>
      <m:oMath>
        <m:r>
          <m:rPr>
            <m:sty m:val="p"/>
          </m:rPr>
          <m:t>×</m:t>
        </m:r>
      </m:oMath>
      <w:r>
        <w:t xml:space="preserve"> </w:t>
      </w:r>
      <m:oMath>
        <m:sSup>
          <m:e>
            <m:r>
              <m:t>​</m:t>
            </m:r>
          </m:e>
          <m:sup>
            <m:r>
              <m:t>13</m:t>
            </m:r>
          </m:sup>
        </m:sSup>
      </m:oMath>
      <w:r>
        <w:t xml:space="preserve">C 0–165 ppm; STCC blur</w:t>
      </w:r>
      <w:r>
        <w:t xml:space="preserve"> </w:t>
      </w:r>
      <m:oMath>
        <m:sSub>
          <m:e>
            <m:r>
              <m:t>σ</m:t>
            </m:r>
          </m:e>
          <m:sub>
            <m:sSup>
              <m:e>
                <m:r>
                  <m:t>​</m:t>
                </m:r>
              </m:e>
              <m:sup>
                <m:r>
                  <m:t>1</m:t>
                </m:r>
              </m:sup>
            </m:sSup>
            <m:r>
              <m:rPr>
                <m:sty m:val="p"/>
              </m:rPr>
              <m:t>H</m:t>
            </m:r>
          </m:sub>
        </m:sSub>
        <m:r>
          <m:rPr>
            <m:sty m:val="p"/>
          </m:rPr>
          <m:t>=</m:t>
        </m:r>
        <m:r>
          <m:t>0.05</m:t>
        </m:r>
      </m:oMath>
      <w:r>
        <w:t xml:space="preserve">,</w:t>
      </w:r>
      <w:r>
        <w:t xml:space="preserve"> </w:t>
      </w:r>
      <m:oMath>
        <m:sSub>
          <m:e>
            <m:r>
              <m:t>σ</m:t>
            </m:r>
          </m:e>
          <m:sub>
            <m:sSup>
              <m:e>
                <m:r>
                  <m:t>​</m:t>
                </m:r>
              </m:e>
              <m:sup>
                <m:r>
                  <m:t>13</m:t>
                </m:r>
              </m:sup>
            </m:sSup>
            <m:r>
              <m:rPr>
                <m:sty m:val="p"/>
              </m:rPr>
              <m:t>C</m:t>
            </m:r>
          </m:sub>
        </m:sSub>
        <m:r>
          <m:rPr>
            <m:sty m:val="p"/>
          </m:rPr>
          <m:t>=</m:t>
        </m:r>
        <m:r>
          <m:t>0.5</m:t>
        </m:r>
      </m:oMath>
      <w:r>
        <w:t xml:space="preserve"> </w:t>
      </w:r>
      <w:r>
        <w:t xml:space="preserve">ppm.</w:t>
      </w:r>
    </w:p>
    <w:p>
      <w:pPr>
        <w:pStyle w:val="BodyText"/>
      </w:pPr>
      <w:r>
        <w:rPr>
          <w:b/>
          <w:bCs/>
        </w:rPr>
        <w:t xml:space="preserve">Table S5.</w:t>
      </w:r>
      <w:r>
        <w:t xml:space="preserve"> </w:t>
      </w:r>
      <w:r>
        <w:t xml:space="preserve">Aggregate scores, sparse small-molecule</w:t>
      </w:r>
      <w:r>
        <w:t xml:space="preserve"> </w:t>
      </w:r>
      <m:oMath>
        <m:sSup>
          <m:e>
            <m:r>
              <m:t>​</m:t>
            </m:r>
          </m:e>
          <m:sup>
            <m:r>
              <m:t>1</m:t>
            </m:r>
          </m:sup>
        </m:sSup>
      </m:oMath>
      <w:r>
        <w:t xml:space="preserve">H–</w:t>
      </w:r>
      <m:oMath>
        <m:sSup>
          <m:e>
            <m:r>
              <m:t>​</m:t>
            </m:r>
          </m:e>
          <m:sup>
            <m:r>
              <m:t>13</m:t>
            </m:r>
          </m:sup>
        </m:sSup>
      </m:oMath>
      <w:r>
        <w:t xml:space="preserve">C benchmark (5 same-compound</w:t>
      </w:r>
      <w:r>
        <w:t xml:space="preserve"> </w:t>
      </w:r>
      <w:r>
        <w:t xml:space="preserve">pairs, 40 different). All methods self-score exactly 1. The un-centred cosine is STCC without</w:t>
      </w:r>
      <w:r>
        <w:t xml:space="preserve"> </w:t>
      </w:r>
      <w:r>
        <w:t xml:space="preserve">mean-centring (§S6b), included here as the ablation baseline (bug-fix: it is now a reproducible</w:t>
      </w:r>
      <w:r>
        <w:t xml:space="preserve"> </w:t>
      </w:r>
      <w:r>
        <w:t xml:space="preserve">benchmark row, not an asserted number).</w:t>
      </w:r>
    </w:p>
    <w:tbl>
      <w:tblPr>
        <w:tblStyle w:val="Table"/>
        <w:tblW w:type="pct" w:w="5000"/>
        <w:tblLayout w:type="fixed"/>
        <w:tblLook w:firstRow="1" w:lastRow="0" w:firstColumn="0" w:lastColumn="0" w:noHBand="0" w:noVBand="0" w:val="0020"/>
      </w:tblPr>
      <w:tblGrid>
        <w:gridCol w:w="1033"/>
        <w:gridCol w:w="1721"/>
        <w:gridCol w:w="1721"/>
        <w:gridCol w:w="1721"/>
        <w:gridCol w:w="1721"/>
      </w:tblGrid>
      <w:tr>
        <w:trPr>
          <w:tblHeader w:val="on"/>
        </w:trPr>
        <w:tc>
          <w:tcPr/>
          <w:p>
            <w:pPr>
              <w:pStyle w:val="Compact"/>
            </w:pPr>
            <w:r>
              <w:t xml:space="preserve">method</w:t>
            </w:r>
          </w:p>
        </w:tc>
        <w:tc>
          <w:tcPr/>
          <w:p>
            <w:pPr>
              <w:pStyle w:val="Compact"/>
              <w:jc w:val="center"/>
            </w:pPr>
            <w:r>
              <w:t xml:space="preserve">mean same</w:t>
            </w:r>
          </w:p>
        </w:tc>
        <w:tc>
          <w:tcPr/>
          <w:p>
            <w:pPr>
              <w:pStyle w:val="Compact"/>
              <w:jc w:val="center"/>
            </w:pPr>
            <w:r>
              <w:t xml:space="preserve">mean diff</w:t>
            </w:r>
          </w:p>
        </w:tc>
        <w:tc>
          <w:tcPr/>
          <w:p>
            <w:pPr>
              <w:pStyle w:val="Compact"/>
              <w:jc w:val="center"/>
            </w:pPr>
            <w:r>
              <w:t xml:space="preserve">separation</w:t>
            </w:r>
          </w:p>
        </w:tc>
        <w:tc>
          <w:tcPr/>
          <w:p>
            <w:pPr>
              <w:pStyle w:val="Compact"/>
              <w:jc w:val="center"/>
            </w:pPr>
            <w:r>
              <w:t xml:space="preserve">margin</w:t>
            </w:r>
          </w:p>
        </w:tc>
      </w:tr>
      <w:tr>
        <w:tc>
          <w:tcPr/>
          <w:p>
            <w:pPr>
              <w:pStyle w:val="Compact"/>
            </w:pPr>
            <w:r>
              <w:rPr>
                <w:b/>
                <w:bCs/>
              </w:rPr>
              <w:t xml:space="preserve">Local Contrast (experimental)</w:t>
            </w:r>
          </w:p>
        </w:tc>
        <w:tc>
          <w:tcPr/>
          <w:p>
            <w:pPr>
              <w:pStyle w:val="Compact"/>
              <w:jc w:val="center"/>
            </w:pPr>
            <w:r>
              <w:rPr>
                <w:b/>
                <w:bCs/>
              </w:rPr>
              <w:t xml:space="preserve">0.824</w:t>
            </w:r>
          </w:p>
        </w:tc>
        <w:tc>
          <w:tcPr/>
          <w:p>
            <w:pPr>
              <w:pStyle w:val="Compact"/>
              <w:jc w:val="center"/>
            </w:pPr>
            <w:r>
              <w:t xml:space="preserve">0.004</w:t>
            </w:r>
          </w:p>
        </w:tc>
        <w:tc>
          <w:tcPr/>
          <w:p>
            <w:pPr>
              <w:pStyle w:val="Compact"/>
              <w:jc w:val="center"/>
            </w:pPr>
            <w:r>
              <w:rPr>
                <w:b/>
                <w:bCs/>
              </w:rPr>
              <w:t xml:space="preserve">0.820</w:t>
            </w:r>
          </w:p>
        </w:tc>
        <w:tc>
          <w:tcPr/>
          <w:p>
            <w:pPr>
              <w:pStyle w:val="Compact"/>
              <w:jc w:val="center"/>
            </w:pPr>
            <w:r>
              <w:rPr>
                <w:b/>
                <w:bCs/>
              </w:rPr>
              <w:t xml:space="preserve">0.434</w:t>
            </w:r>
          </w:p>
        </w:tc>
      </w:tr>
      <w:tr>
        <w:tc>
          <w:tcPr/>
          <w:p>
            <w:pPr>
              <w:pStyle w:val="Compact"/>
            </w:pPr>
            <w:r>
              <w:t xml:space="preserve">Bin (Bodis 2009)</w:t>
            </w:r>
          </w:p>
        </w:tc>
        <w:tc>
          <w:tcPr/>
          <w:p>
            <w:pPr>
              <w:pStyle w:val="Compact"/>
              <w:jc w:val="center"/>
            </w:pPr>
            <w:r>
              <w:t xml:space="preserve">0.748</w:t>
            </w:r>
          </w:p>
        </w:tc>
        <w:tc>
          <w:tcPr/>
          <w:p>
            <w:pPr>
              <w:pStyle w:val="Compact"/>
              <w:jc w:val="center"/>
            </w:pPr>
            <w:r>
              <w:t xml:space="preserve">0.073</w:t>
            </w:r>
          </w:p>
        </w:tc>
        <w:tc>
          <w:tcPr/>
          <w:p>
            <w:pPr>
              <w:pStyle w:val="Compact"/>
              <w:jc w:val="center"/>
            </w:pPr>
            <w:r>
              <w:t xml:space="preserve">0.675</w:t>
            </w:r>
          </w:p>
        </w:tc>
        <w:tc>
          <w:tcPr/>
          <w:p>
            <w:pPr>
              <w:pStyle w:val="Compact"/>
              <w:jc w:val="center"/>
            </w:pPr>
            <w:r>
              <w:t xml:space="preserve">0.212</w:t>
            </w:r>
          </w:p>
        </w:tc>
      </w:tr>
      <w:tr>
        <w:tc>
          <w:tcPr/>
          <w:p>
            <w:pPr>
              <w:pStyle w:val="Compact"/>
            </w:pPr>
            <w:r>
              <w:t xml:space="preserve">Bin + 45°</w:t>
            </w:r>
          </w:p>
        </w:tc>
        <w:tc>
          <w:tcPr/>
          <w:p>
            <w:pPr>
              <w:pStyle w:val="Compact"/>
              <w:jc w:val="center"/>
            </w:pPr>
            <w:r>
              <w:t xml:space="preserve">0.768</w:t>
            </w:r>
          </w:p>
        </w:tc>
        <w:tc>
          <w:tcPr/>
          <w:p>
            <w:pPr>
              <w:pStyle w:val="Compact"/>
              <w:jc w:val="center"/>
            </w:pPr>
            <w:r>
              <w:t xml:space="preserve">0.096</w:t>
            </w:r>
          </w:p>
        </w:tc>
        <w:tc>
          <w:tcPr/>
          <w:p>
            <w:pPr>
              <w:pStyle w:val="Compact"/>
              <w:jc w:val="center"/>
            </w:pPr>
            <w:r>
              <w:t xml:space="preserve">0.672</w:t>
            </w:r>
          </w:p>
        </w:tc>
        <w:tc>
          <w:tcPr/>
          <w:p>
            <w:pPr>
              <w:pStyle w:val="Compact"/>
              <w:jc w:val="center"/>
            </w:pPr>
            <w:r>
              <w:t xml:space="preserve">0.194</w:t>
            </w:r>
          </w:p>
        </w:tc>
      </w:tr>
      <w:tr>
        <w:tc>
          <w:tcPr/>
          <w:p>
            <w:pPr>
              <w:pStyle w:val="Compact"/>
            </w:pPr>
            <w:r>
              <w:t xml:space="preserve">Quad-tree (Castillo 2013)</w:t>
            </w:r>
          </w:p>
        </w:tc>
        <w:tc>
          <w:tcPr/>
          <w:p>
            <w:pPr>
              <w:pStyle w:val="Compact"/>
              <w:jc w:val="center"/>
            </w:pPr>
            <w:r>
              <w:t xml:space="preserve">0.914</w:t>
            </w:r>
          </w:p>
        </w:tc>
        <w:tc>
          <w:tcPr/>
          <w:p>
            <w:pPr>
              <w:pStyle w:val="Compact"/>
              <w:jc w:val="center"/>
            </w:pPr>
            <w:r>
              <w:t xml:space="preserve">0.502</w:t>
            </w:r>
          </w:p>
        </w:tc>
        <w:tc>
          <w:tcPr/>
          <w:p>
            <w:pPr>
              <w:pStyle w:val="Compact"/>
              <w:jc w:val="center"/>
            </w:pPr>
            <w:r>
              <w:t xml:space="preserve">0.413</w:t>
            </w:r>
          </w:p>
        </w:tc>
        <w:tc>
          <w:tcPr/>
          <w:p>
            <w:pPr>
              <w:pStyle w:val="Compact"/>
              <w:jc w:val="center"/>
            </w:pPr>
            <w:r>
              <w:t xml:space="preserve">0.069</w:t>
            </w:r>
          </w:p>
        </w:tc>
      </w:tr>
      <w:tr>
        <w:tc>
          <w:tcPr/>
          <w:p>
            <w:pPr>
              <w:pStyle w:val="Compact"/>
            </w:pPr>
            <w:r>
              <w:t xml:space="preserve">Nearest neighbour (Pierens 2012)</w:t>
            </w:r>
          </w:p>
        </w:tc>
        <w:tc>
          <w:tcPr/>
          <w:p>
            <w:pPr>
              <w:pStyle w:val="Compact"/>
              <w:jc w:val="center"/>
            </w:pPr>
            <w:r>
              <w:t xml:space="preserve">0.997</w:t>
            </w:r>
          </w:p>
        </w:tc>
        <w:tc>
          <w:tcPr/>
          <w:p>
            <w:pPr>
              <w:pStyle w:val="Compact"/>
              <w:jc w:val="center"/>
            </w:pPr>
            <w:r>
              <w:t xml:space="preserve">0.898</w:t>
            </w:r>
          </w:p>
        </w:tc>
        <w:tc>
          <w:tcPr/>
          <w:p>
            <w:pPr>
              <w:pStyle w:val="Compact"/>
              <w:jc w:val="center"/>
            </w:pPr>
            <w:r>
              <w:t xml:space="preserve">0.099</w:t>
            </w:r>
          </w:p>
        </w:tc>
        <w:tc>
          <w:tcPr/>
          <w:p>
            <w:pPr>
              <w:pStyle w:val="Compact"/>
              <w:jc w:val="center"/>
            </w:pPr>
            <w:r>
              <w:t xml:space="preserve">0.041</w:t>
            </w:r>
          </w:p>
        </w:tc>
      </w:tr>
      <w:tr>
        <w:tc>
          <w:tcPr/>
          <w:p>
            <w:pPr>
              <w:pStyle w:val="Compact"/>
            </w:pPr>
            <w:r>
              <w:t xml:space="preserve">Cosine, un-centred (STCC ablation)</w:t>
            </w:r>
          </w:p>
        </w:tc>
        <w:tc>
          <w:tcPr/>
          <w:p>
            <w:pPr>
              <w:pStyle w:val="Compact"/>
              <w:jc w:val="center"/>
            </w:pPr>
            <w:r>
              <w:t xml:space="preserve">0.747</w:t>
            </w:r>
          </w:p>
        </w:tc>
        <w:tc>
          <w:tcPr/>
          <w:p>
            <w:pPr>
              <w:pStyle w:val="Compact"/>
              <w:jc w:val="center"/>
            </w:pPr>
            <w:r>
              <w:t xml:space="preserve">0.002</w:t>
            </w:r>
          </w:p>
        </w:tc>
        <w:tc>
          <w:tcPr/>
          <w:p>
            <w:pPr>
              <w:pStyle w:val="Compact"/>
              <w:jc w:val="center"/>
            </w:pPr>
            <w:r>
              <w:t xml:space="preserve">0.744</w:t>
            </w:r>
          </w:p>
        </w:tc>
        <w:tc>
          <w:tcPr/>
          <w:p>
            <w:pPr>
              <w:pStyle w:val="Compact"/>
              <w:jc w:val="center"/>
            </w:pPr>
            <w:r>
              <w:t xml:space="preserve">0.373</w:t>
            </w:r>
          </w:p>
        </w:tc>
      </w:tr>
      <w:tr>
        <w:tc>
          <w:tcPr/>
          <w:p>
            <w:pPr>
              <w:pStyle w:val="Compact"/>
            </w:pPr>
            <w:r>
              <w:rPr>
                <w:b/>
                <w:bCs/>
              </w:rPr>
              <w:t xml:space="preserve">STCC (default)</w:t>
            </w:r>
          </w:p>
        </w:tc>
        <w:tc>
          <w:tcPr/>
          <w:p>
            <w:pPr>
              <w:pStyle w:val="Compact"/>
              <w:jc w:val="center"/>
            </w:pPr>
            <w:r>
              <w:t xml:space="preserve">0.746</w:t>
            </w:r>
          </w:p>
        </w:tc>
        <w:tc>
          <w:tcPr/>
          <w:p>
            <w:pPr>
              <w:pStyle w:val="Compact"/>
              <w:jc w:val="center"/>
            </w:pPr>
            <w:r>
              <w:t xml:space="preserve">0.002</w:t>
            </w:r>
          </w:p>
        </w:tc>
        <w:tc>
          <w:tcPr/>
          <w:p>
            <w:pPr>
              <w:pStyle w:val="Compact"/>
              <w:jc w:val="center"/>
            </w:pPr>
            <w:r>
              <w:t xml:space="preserve">0.745</w:t>
            </w:r>
          </w:p>
        </w:tc>
        <w:tc>
          <w:tcPr/>
          <w:p>
            <w:pPr>
              <w:pStyle w:val="Compact"/>
              <w:jc w:val="center"/>
            </w:pPr>
            <w:r>
              <w:t xml:space="preserve">0.374</w:t>
            </w:r>
          </w:p>
        </w:tc>
      </w:tr>
    </w:tbl>
    <w:p>
      <w:pPr>
        <w:pStyle w:val="BodyText"/>
      </w:pPr>
      <w:r>
        <w:rPr>
          <w:b/>
          <w:bCs/>
        </w:rPr>
        <w:t xml:space="preserve">Table S6.</w:t>
      </w:r>
      <w:r>
        <w:t xml:space="preserve"> </w:t>
      </w:r>
      <w:r>
        <w:t xml:space="preserve">Per-pair same-compound scores. Two pairs are genuinely shifted (menthol in two</w:t>
      </w:r>
      <w:r>
        <w:t xml:space="preserve"> </w:t>
      </w:r>
      <w:r>
        <w:t xml:space="preserve">solvents; a rotenone re-measurement); on these the shift-tolerant tree/NN keep the same compound</w:t>
      </w:r>
      <w:r>
        <w:t xml:space="preserve"> </w:t>
      </w:r>
      <w:r>
        <w:t xml:space="preserve">high while the position-sensitive bin/STCC penalize the shift. The catch is that tree/NN tolerate</w:t>
      </w:r>
      <w:r>
        <w:t xml:space="preserve"> </w:t>
      </w:r>
      <w:r>
        <w:rPr>
          <w:i/>
          <w:iCs/>
        </w:rPr>
        <w:t xml:space="preserve">everything</w:t>
      </w:r>
      <w:r>
        <w:t xml:space="preserve">, which is why their different-compound scores (Table S5) are also high. The un-centred</w:t>
      </w:r>
      <w:r>
        <w:t xml:space="preserve"> </w:t>
      </w:r>
      <w:r>
        <w:t xml:space="preserve">cosine column is identical to STCC to two decimals — in this sparse regime mean-centring changes</w:t>
      </w:r>
      <w:r>
        <w:t xml:space="preserve"> </w:t>
      </w:r>
      <w:r>
        <w:t xml:space="preserve">nothing (see the ablation, §S10).</w:t>
      </w:r>
    </w:p>
    <w:tbl>
      <w:tblPr>
        <w:tblStyle w:val="Table"/>
        <w:tblW w:type="pct" w:w="5000"/>
        <w:tblLayout w:type="fixed"/>
        <w:tblLook w:firstRow="1" w:lastRow="0" w:firstColumn="0" w:lastColumn="0" w:noHBand="0" w:noVBand="0" w:val="0020"/>
      </w:tblPr>
      <w:tblGrid>
        <w:gridCol w:w="720"/>
        <w:gridCol w:w="1200"/>
        <w:gridCol w:w="1200"/>
        <w:gridCol w:w="1200"/>
        <w:gridCol w:w="1200"/>
        <w:gridCol w:w="1200"/>
        <w:gridCol w:w="1200"/>
      </w:tblGrid>
      <w:tr>
        <w:trPr>
          <w:tblHeader w:val="on"/>
        </w:trPr>
        <w:tc>
          <w:tcPr/>
          <w:p>
            <w:pPr>
              <w:pStyle w:val="Compact"/>
            </w:pPr>
            <w:r>
              <w:t xml:space="preserve">pair</w:t>
            </w:r>
          </w:p>
        </w:tc>
        <w:tc>
          <w:tcPr/>
          <w:p>
            <w:pPr>
              <w:pStyle w:val="Compact"/>
              <w:jc w:val="center"/>
            </w:pPr>
            <w:r>
              <w:t xml:space="preserve">Bin</w:t>
            </w:r>
          </w:p>
        </w:tc>
        <w:tc>
          <w:tcPr/>
          <w:p>
            <w:pPr>
              <w:pStyle w:val="Compact"/>
              <w:jc w:val="center"/>
            </w:pPr>
            <w:r>
              <w:t xml:space="preserve">Tree</w:t>
            </w:r>
          </w:p>
        </w:tc>
        <w:tc>
          <w:tcPr/>
          <w:p>
            <w:pPr>
              <w:pStyle w:val="Compact"/>
              <w:jc w:val="center"/>
            </w:pPr>
            <w:r>
              <w:t xml:space="preserve">NN</w:t>
            </w:r>
          </w:p>
        </w:tc>
        <w:tc>
          <w:tcPr/>
          <w:p>
            <w:pPr>
              <w:pStyle w:val="Compact"/>
              <w:jc w:val="center"/>
            </w:pPr>
            <w:r>
              <w:t xml:space="preserve">Cosine</w:t>
            </w:r>
          </w:p>
        </w:tc>
        <w:tc>
          <w:tcPr/>
          <w:p>
            <w:pPr>
              <w:pStyle w:val="Compact"/>
              <w:jc w:val="center"/>
            </w:pPr>
            <w:r>
              <w:t xml:space="preserve">STCC</w:t>
            </w:r>
          </w:p>
        </w:tc>
        <w:tc>
          <w:tcPr/>
          <w:p>
            <w:pPr>
              <w:pStyle w:val="Compact"/>
              <w:jc w:val="center"/>
            </w:pPr>
            <w:r>
              <w:t xml:space="preserve">Local Contrast</w:t>
            </w:r>
          </w:p>
        </w:tc>
      </w:tr>
      <w:tr>
        <w:tc>
          <w:tcPr/>
          <w:p>
            <w:pPr>
              <w:pStyle w:val="Compact"/>
            </w:pPr>
            <w:r>
              <w:t xml:space="preserve">menthol (two solvents)</w:t>
            </w:r>
          </w:p>
        </w:tc>
        <w:tc>
          <w:tcPr/>
          <w:p>
            <w:pPr>
              <w:pStyle w:val="Compact"/>
              <w:jc w:val="center"/>
            </w:pPr>
            <w:r>
              <w:t xml:space="preserve">0.734</w:t>
            </w:r>
          </w:p>
        </w:tc>
        <w:tc>
          <w:tcPr/>
          <w:p>
            <w:pPr>
              <w:pStyle w:val="Compact"/>
              <w:jc w:val="center"/>
            </w:pPr>
            <w:r>
              <w:t xml:space="preserve">0.967</w:t>
            </w:r>
          </w:p>
        </w:tc>
        <w:tc>
          <w:tcPr/>
          <w:p>
            <w:pPr>
              <w:pStyle w:val="Compact"/>
              <w:jc w:val="center"/>
            </w:pPr>
            <w:r>
              <w:t xml:space="preserve">0.988</w:t>
            </w:r>
          </w:p>
        </w:tc>
        <w:tc>
          <w:tcPr/>
          <w:p>
            <w:pPr>
              <w:pStyle w:val="Compact"/>
              <w:jc w:val="center"/>
            </w:pPr>
            <w:r>
              <w:t xml:space="preserve">0.421</w:t>
            </w:r>
          </w:p>
        </w:tc>
        <w:tc>
          <w:tcPr/>
          <w:p>
            <w:pPr>
              <w:pStyle w:val="Compact"/>
              <w:jc w:val="center"/>
            </w:pPr>
            <w:r>
              <w:t xml:space="preserve">0.421</w:t>
            </w:r>
          </w:p>
        </w:tc>
        <w:tc>
          <w:tcPr/>
          <w:p>
            <w:pPr>
              <w:pStyle w:val="Compact"/>
              <w:jc w:val="center"/>
            </w:pPr>
            <w:r>
              <w:rPr>
                <w:b/>
                <w:bCs/>
              </w:rPr>
              <w:t xml:space="preserve">0.467</w:t>
            </w:r>
          </w:p>
        </w:tc>
      </w:tr>
      <w:tr>
        <w:tc>
          <w:tcPr/>
          <w:p>
            <w:pPr>
              <w:pStyle w:val="Compact"/>
            </w:pPr>
            <w:r>
              <w:t xml:space="preserve">rotenone (re-measured)</w:t>
            </w:r>
          </w:p>
        </w:tc>
        <w:tc>
          <w:tcPr/>
          <w:p>
            <w:pPr>
              <w:pStyle w:val="Compact"/>
              <w:jc w:val="center"/>
            </w:pPr>
            <w:r>
              <w:t xml:space="preserve">0.323</w:t>
            </w:r>
          </w:p>
        </w:tc>
        <w:tc>
          <w:tcPr/>
          <w:p>
            <w:pPr>
              <w:pStyle w:val="Compact"/>
              <w:jc w:val="center"/>
            </w:pPr>
            <w:r>
              <w:t xml:space="preserve">0.839</w:t>
            </w:r>
          </w:p>
        </w:tc>
        <w:tc>
          <w:tcPr/>
          <w:p>
            <w:pPr>
              <w:pStyle w:val="Compact"/>
              <w:jc w:val="center"/>
            </w:pPr>
            <w:r>
              <w:t xml:space="preserve">1.000</w:t>
            </w:r>
          </w:p>
        </w:tc>
        <w:tc>
          <w:tcPr/>
          <w:p>
            <w:pPr>
              <w:pStyle w:val="Compact"/>
              <w:jc w:val="center"/>
            </w:pPr>
            <w:r>
              <w:t xml:space="preserve">0.389</w:t>
            </w:r>
          </w:p>
        </w:tc>
        <w:tc>
          <w:tcPr/>
          <w:p>
            <w:pPr>
              <w:pStyle w:val="Compact"/>
              <w:jc w:val="center"/>
            </w:pPr>
            <w:r>
              <w:t xml:space="preserve">0.388</w:t>
            </w:r>
          </w:p>
        </w:tc>
        <w:tc>
          <w:tcPr/>
          <w:p>
            <w:pPr>
              <w:pStyle w:val="Compact"/>
              <w:jc w:val="center"/>
            </w:pPr>
            <w:r>
              <w:rPr>
                <w:b/>
                <w:bCs/>
              </w:rPr>
              <w:t xml:space="preserve">0.727</w:t>
            </w:r>
          </w:p>
        </w:tc>
      </w:tr>
      <w:tr>
        <w:tc>
          <w:tcPr/>
          <w:p>
            <w:pPr>
              <w:pStyle w:val="Compact"/>
            </w:pPr>
            <w:r>
              <w:t xml:space="preserve">santonin</w:t>
            </w:r>
          </w:p>
        </w:tc>
        <w:tc>
          <w:tcPr/>
          <w:p>
            <w:pPr>
              <w:pStyle w:val="Compact"/>
              <w:jc w:val="center"/>
            </w:pPr>
            <w:r>
              <w:t xml:space="preserve">0.973</w:t>
            </w:r>
          </w:p>
        </w:tc>
        <w:tc>
          <w:tcPr/>
          <w:p>
            <w:pPr>
              <w:pStyle w:val="Compact"/>
              <w:jc w:val="center"/>
            </w:pPr>
            <w:r>
              <w:t xml:space="preserve">0.993</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0.999</w:t>
            </w:r>
          </w:p>
        </w:tc>
      </w:tr>
      <w:tr>
        <w:tc>
          <w:tcPr/>
          <w:p>
            <w:pPr>
              <w:pStyle w:val="Compact"/>
            </w:pPr>
            <w:r>
              <w:t xml:space="preserve">chartreusin</w:t>
            </w:r>
          </w:p>
        </w:tc>
        <w:tc>
          <w:tcPr/>
          <w:p>
            <w:pPr>
              <w:pStyle w:val="Compact"/>
              <w:jc w:val="center"/>
            </w:pPr>
            <w:r>
              <w:t xml:space="preserve">0.813</w:t>
            </w:r>
          </w:p>
        </w:tc>
        <w:tc>
          <w:tcPr/>
          <w:p>
            <w:pPr>
              <w:pStyle w:val="Compact"/>
              <w:jc w:val="center"/>
            </w:pPr>
            <w:r>
              <w:t xml:space="preserve">0.852</w:t>
            </w:r>
          </w:p>
        </w:tc>
        <w:tc>
          <w:tcPr/>
          <w:p>
            <w:pPr>
              <w:pStyle w:val="Compact"/>
              <w:jc w:val="center"/>
            </w:pPr>
            <w:r>
              <w:t xml:space="preserve">0.999</w:t>
            </w:r>
          </w:p>
        </w:tc>
        <w:tc>
          <w:tcPr/>
          <w:p>
            <w:pPr>
              <w:pStyle w:val="Compact"/>
              <w:jc w:val="center"/>
            </w:pPr>
            <w:r>
              <w:t xml:space="preserve">0.930</w:t>
            </w:r>
          </w:p>
        </w:tc>
        <w:tc>
          <w:tcPr/>
          <w:p>
            <w:pPr>
              <w:pStyle w:val="Compact"/>
              <w:jc w:val="center"/>
            </w:pPr>
            <w:r>
              <w:t xml:space="preserve">0.930</w:t>
            </w:r>
          </w:p>
        </w:tc>
        <w:tc>
          <w:tcPr/>
          <w:p>
            <w:pPr>
              <w:pStyle w:val="Compact"/>
              <w:jc w:val="center"/>
            </w:pPr>
            <w:r>
              <w:t xml:space="preserve">0.932</w:t>
            </w:r>
          </w:p>
        </w:tc>
      </w:tr>
      <w:tr>
        <w:tc>
          <w:tcPr/>
          <w:p>
            <w:pPr>
              <w:pStyle w:val="Compact"/>
            </w:pPr>
            <w:r>
              <w:t xml:space="preserve">indanone</w:t>
            </w:r>
          </w:p>
        </w:tc>
        <w:tc>
          <w:tcPr/>
          <w:p>
            <w:pPr>
              <w:pStyle w:val="Compact"/>
              <w:jc w:val="center"/>
            </w:pPr>
            <w:r>
              <w:t xml:space="preserve">0.897</w:t>
            </w:r>
          </w:p>
        </w:tc>
        <w:tc>
          <w:tcPr/>
          <w:p>
            <w:pPr>
              <w:pStyle w:val="Compact"/>
              <w:jc w:val="center"/>
            </w:pPr>
            <w:r>
              <w:t xml:space="preserve">0.923</w:t>
            </w:r>
          </w:p>
        </w:tc>
        <w:tc>
          <w:tcPr/>
          <w:p>
            <w:pPr>
              <w:pStyle w:val="Compact"/>
              <w:jc w:val="center"/>
            </w:pPr>
            <w:r>
              <w:t xml:space="preserve">1.000</w:t>
            </w:r>
          </w:p>
        </w:tc>
        <w:tc>
          <w:tcPr/>
          <w:p>
            <w:pPr>
              <w:pStyle w:val="Compact"/>
              <w:jc w:val="center"/>
            </w:pPr>
            <w:r>
              <w:t xml:space="preserve">0.992</w:t>
            </w:r>
          </w:p>
        </w:tc>
        <w:tc>
          <w:tcPr/>
          <w:p>
            <w:pPr>
              <w:pStyle w:val="Compact"/>
              <w:jc w:val="center"/>
            </w:pPr>
            <w:r>
              <w:t xml:space="preserve">0.992</w:t>
            </w:r>
          </w:p>
        </w:tc>
        <w:tc>
          <w:tcPr/>
          <w:p>
            <w:pPr>
              <w:pStyle w:val="Compact"/>
              <w:jc w:val="center"/>
            </w:pPr>
            <w:r>
              <w:t xml:space="preserve">0.997</w:t>
            </w:r>
          </w:p>
        </w:tc>
      </w:tr>
    </w:tbl>
    <w:p>
      <w:pPr>
        <w:pStyle w:val="BodyText"/>
      </w:pPr>
      <w:r>
        <w:t xml:space="preserve">Over a large common window a different small molecule still supplies</w:t>
      </w:r>
      <w:r>
        <w:t xml:space="preserve"> </w:t>
      </w:r>
      <w:r>
        <w:rPr>
          <w:i/>
          <w:iCs/>
        </w:rPr>
        <w:t xml:space="preserve">some</w:t>
      </w:r>
      <w:r>
        <w:t xml:space="preserve"> </w:t>
      </w:r>
      <w:r>
        <w:t xml:space="preserve">peak near every peak</w:t>
      </w:r>
      <w:r>
        <w:t xml:space="preserve"> </w:t>
      </w:r>
      <w:r>
        <w:t xml:space="preserve">and a similar mass-centre structure, so the NN distance and the tree overlap stay small — the same</w:t>
      </w:r>
      <w:r>
        <w:t xml:space="preserve"> </w:t>
      </w:r>
      <w:r>
        <w:t xml:space="preserve">saturation mechanism as in the protein case.</w:t>
      </w:r>
    </w:p>
    <w:bookmarkEnd w:id="49"/>
    <w:bookmarkStart w:id="50" w:name="s10-robustness-and-ablation"/>
    <w:p>
      <w:pPr>
        <w:pStyle w:val="Heading2"/>
      </w:pPr>
      <w:r>
        <w:t xml:space="preserve">S10 Robustness and ablation</w:t>
      </w:r>
    </w:p>
    <w:p>
      <w:pPr>
        <w:pStyle w:val="FirstParagraph"/>
      </w:pPr>
      <w:r>
        <w:rPr>
          <w:b/>
          <w:bCs/>
        </w:rPr>
        <w:t xml:space="preserve">Ablation — mean-centring is the discriminating step, in the dense regime.</w:t>
      </w:r>
      <w:r>
        <w:t xml:space="preserve"> </w:t>
      </w:r>
      <w:r>
        <w:t xml:space="preserve">Replacing the</w:t>
      </w:r>
      <w:r>
        <w:t xml:space="preserve"> </w:t>
      </w:r>
      <w:r>
        <w:t xml:space="preserve">mean-centred correlation (Eq. S7) with an un-centred cosine overlap on the</w:t>
      </w:r>
      <w:r>
        <w:t xml:space="preserve"> </w:t>
      </w:r>
      <w:r>
        <w:rPr>
          <w:i/>
          <w:iCs/>
        </w:rPr>
        <w:t xml:space="preserve">same</w:t>
      </w:r>
      <w:r>
        <w:t xml:space="preserve"> </w:t>
      </w:r>
      <w:r>
        <w:t xml:space="preserve">rendered/blurred</w:t>
      </w:r>
      <w:r>
        <w:t xml:space="preserve"> </w:t>
      </w:r>
      <w:r>
        <w:t xml:space="preserve">images drops the dense-protein separation from</w:t>
      </w:r>
      <w:r>
        <w:t xml:space="preserve"> </w:t>
      </w:r>
      <w:r>
        <w:rPr>
          <w:b/>
          <w:bCs/>
        </w:rPr>
        <w:t xml:space="preserve">0.75 to 0.59</w:t>
      </w:r>
      <w:r>
        <w:t xml:space="preserve">, confirming mean-centring (§S6b) as</w:t>
      </w:r>
      <w:r>
        <w:t xml:space="preserve"> </w:t>
      </w:r>
      <w:r>
        <w:t xml:space="preserve">the operation that turns overlap into discrimination when the amide fingerprint is crowded. In the</w:t>
      </w:r>
      <w:r>
        <w:t xml:space="preserve"> </w:t>
      </w:r>
      <w:r>
        <w:rPr>
          <w:b/>
          <w:bCs/>
        </w:rPr>
        <w:t xml:space="preserve">sparse</w:t>
      </w:r>
      <w:r>
        <w:t xml:space="preserve"> </w:t>
      </w:r>
      <m:oMath>
        <m:sSup>
          <m:e>
            <m:r>
              <m:t>​</m:t>
            </m:r>
          </m:e>
          <m:sup>
            <m:r>
              <m:t>1</m:t>
            </m:r>
          </m:sup>
        </m:sSup>
      </m:oMath>
      <w:r>
        <w:t xml:space="preserve">H–</w:t>
      </w:r>
      <m:oMath>
        <m:sSup>
          <m:e>
            <m:r>
              <m:t>​</m:t>
            </m:r>
          </m:e>
          <m:sup>
            <m:r>
              <m:t>13</m:t>
            </m:r>
          </m:sup>
        </m:sSup>
      </m:oMath>
      <w:r>
        <w:t xml:space="preserve">C regime, by contrast, the un-centred cosine and centred STCC nearly coincide</w:t>
      </w:r>
      <w:r>
        <w:t xml:space="preserve"> </w:t>
      </w:r>
      <w:r>
        <w:t xml:space="preserve">(separation</w:t>
      </w:r>
      <w:r>
        <w:t xml:space="preserve"> </w:t>
      </w:r>
      <w:r>
        <w:rPr>
          <w:b/>
          <w:bCs/>
        </w:rPr>
        <w:t xml:space="preserve">0.74445 vs 0.74466</w:t>
      </w:r>
      <w:r>
        <w:t xml:space="preserve">; Table S5, Table S6): where crosspeaks rarely overlap there is</w:t>
      </w:r>
      <w:r>
        <w:t xml:space="preserve"> </w:t>
      </w:r>
      <w:r>
        <w:t xml:space="preserve">almost no non-co-located intensity for mean-centring to penalize, so its benefit is specific to the</w:t>
      </w:r>
      <w:r>
        <w:t xml:space="preserve"> </w:t>
      </w:r>
      <w:r>
        <w:t xml:space="preserve">dense fingerprint that is the hard case this measure targets. The cosine baseline is a real,</w:t>
      </w:r>
      <w:r>
        <w:t xml:space="preserve"> </w:t>
      </w:r>
      <w:r>
        <w:t xml:space="preserve">reproducible benchmark row in both harnesses (</w:t>
      </w:r>
      <w:r>
        <w:rPr>
          <w:rStyle w:val="VerbatimChar"/>
        </w:rPr>
        <w:t xml:space="preserve">cosine_similarity</w:t>
      </w:r>
      <w:r>
        <w:t xml:space="preserve"> </w:t>
      </w:r>
      <w:r>
        <w:t xml:space="preserve">in</w:t>
      </w:r>
      <w:r>
        <w:t xml:space="preserve"> </w:t>
      </w:r>
      <w:r>
        <w:rPr>
          <w:rStyle w:val="VerbatimChar"/>
        </w:rPr>
        <w:t xml:space="preserve">hsqc_lcc.py</w:t>
      </w:r>
      <w:r>
        <w:t xml:space="preserve">), not an</w:t>
      </w:r>
      <w:r>
        <w:t xml:space="preserve"> </w:t>
      </w:r>
      <w:r>
        <w:t xml:space="preserve">asserted number.</w:t>
      </w:r>
    </w:p>
    <w:p>
      <w:pPr>
        <w:pStyle w:val="BodyText"/>
      </w:pPr>
      <w:r>
        <w:rPr>
          <w:b/>
          <w:bCs/>
        </w:rPr>
        <w:t xml:space="preserve">Robustness — the gain is not a tuned parameter.</w:t>
      </w:r>
      <w:r>
        <w:t xml:space="preserve"> </w:t>
      </w:r>
      <w:r>
        <w:t xml:space="preserve">On the protein benchmark STCC beats the bin</w:t>
      </w:r>
      <w:r>
        <w:t xml:space="preserve"> </w:t>
      </w:r>
      <w:r>
        <w:t xml:space="preserve">method across the whole physical blur range: separation is</w:t>
      </w:r>
      <w:r>
        <w:t xml:space="preserve"> </w:t>
      </w:r>
      <m:oMath>
        <m:r>
          <m:rPr>
            <m:sty m:val="p"/>
          </m:rPr>
          <m:t>Σ</m:t>
        </m:r>
        <m:r>
          <m:rPr>
            <m:sty m:val="p"/>
          </m:rPr>
          <m:t>=</m:t>
        </m:r>
        <m:r>
          <m:t>0.71</m:t>
        </m:r>
      </m:oMath>
      <w:r>
        <w:t xml:space="preserve">–</w:t>
      </w:r>
      <m:oMath>
        <m:r>
          <m:t>0.77</m:t>
        </m:r>
      </m:oMath>
      <w:r>
        <w:t xml:space="preserve"> </w:t>
      </w:r>
      <w:r>
        <w:t xml:space="preserve">at</w:t>
      </w:r>
      <w:r>
        <w:t xml:space="preserve"> </w:t>
      </w:r>
      <m:oMath>
        <m:r>
          <m:t>σ</m:t>
        </m:r>
        <m:r>
          <m:rPr>
            <m:sty m:val="p"/>
          </m:rPr>
          <m:t>=</m:t>
        </m:r>
        <m:r>
          <m:t>0.02</m:t>
        </m:r>
      </m:oMath>
      <w:r>
        <w:t xml:space="preserve">–</w:t>
      </w:r>
      <m:oMath>
        <m:r>
          <m:t>0.04</m:t>
        </m:r>
        <m:r>
          <m:t> </m:t>
        </m:r>
        <m:r>
          <m:rPr>
            <m:sty m:val="p"/>
          </m:rPr>
          <m:t>/</m:t>
        </m:r>
        <m:r>
          <m:t> </m:t>
        </m:r>
        <m:r>
          <m:t>0.20</m:t>
        </m:r>
      </m:oMath>
      <w:r>
        <w:t xml:space="preserve">–</w:t>
      </w:r>
      <m:oMath>
        <m:r>
          <m:t>0.40</m:t>
        </m:r>
      </m:oMath>
      <w:r>
        <w:t xml:space="preserve"> </w:t>
      </w:r>
      <w:r>
        <w:t xml:space="preserve">ppm, and still</w:t>
      </w:r>
      <w:r>
        <w:t xml:space="preserve"> </w:t>
      </w:r>
      <m:oMath>
        <m:r>
          <m:rPr>
            <m:sty m:val="p"/>
          </m:rPr>
          <m:t>Σ</m:t>
        </m:r>
        <m:r>
          <m:rPr>
            <m:sty m:val="p"/>
          </m:rPr>
          <m:t>=</m:t>
        </m:r>
        <m:r>
          <m:t>0.36</m:t>
        </m:r>
      </m:oMath>
      <w:r>
        <w:t xml:space="preserve"> </w:t>
      </w:r>
      <w:r>
        <w:t xml:space="preserve">(vs the bin method’s 0.29)</w:t>
      </w:r>
      <w:r>
        <w:t xml:space="preserve"> </w:t>
      </w:r>
      <w:r>
        <w:t xml:space="preserve">when the grid is coarsened all the way to the bin method’s own resolution (</w:t>
      </w:r>
      <m:oMath>
        <m:r>
          <m:t>0.10</m:t>
        </m:r>
        <m:r>
          <m:t> </m:t>
        </m:r>
        <m:r>
          <m:rPr>
            <m:sty m:val="p"/>
          </m:rPr>
          <m:t>/</m:t>
        </m:r>
        <m:r>
          <m:t> </m:t>
        </m:r>
        <m:r>
          <m:t>1.0</m:t>
        </m:r>
      </m:oMath>
      <w:r>
        <w:t xml:space="preserve"> </w:t>
      </w:r>
      <w:r>
        <w:t xml:space="preserve">ppm).</w:t>
      </w:r>
    </w:p>
    <w:p>
      <w:pPr>
        <w:pStyle w:val="BodyText"/>
      </w:pPr>
      <w:r>
        <w:rPr>
          <w:b/>
          <w:bCs/>
        </w:rPr>
        <w:t xml:space="preserve">Experimental Local Contrast.</w:t>
      </w:r>
      <w:r>
        <w:t xml:space="preserve"> </w:t>
      </w:r>
      <w:r>
        <w:t xml:space="preserve">On the expanded dense benchmark, the candidate increases</w:t>
      </w:r>
      <w:r>
        <w:t xml:space="preserve"> </w:t>
      </w:r>
      <w:r>
        <w:t xml:space="preserve">separation/margin from STCC’s 0.567/0.405 to 0.672/0.523. On the stick-input sparse benchmark it</w:t>
      </w:r>
      <w:r>
        <w:t xml:space="preserve"> </w:t>
      </w:r>
      <w:r>
        <w:t xml:space="preserve">increases 0.745/0.374 to 0.820/0.434, driven especially by the shifted rotenone pair</w:t>
      </w:r>
      <w:r>
        <w:t xml:space="preserve"> </w:t>
      </w:r>
      <w:r>
        <w:t xml:space="preserve">(0.388→0.727). These are composite results for square-root compression</w:t>
      </w:r>
      <w:r>
        <w:t xml:space="preserve"> </w:t>
      </w:r>
      <w:r>
        <w:rPr>
          <w:i/>
          <w:iCs/>
        </w:rPr>
        <w:t xml:space="preserve">together with</w:t>
      </w:r>
      <w:r>
        <w:t xml:space="preserve"> </w:t>
      </w:r>
      <w:r>
        <w:t xml:space="preserve">fixed-scale</w:t>
      </w:r>
      <w:r>
        <w:t xml:space="preserve"> </w:t>
      </w:r>
      <w:r>
        <w:t xml:space="preserve">local background subtraction; the present experiment does not assign the gain to either component</w:t>
      </w:r>
      <w:r>
        <w:t xml:space="preserve"> </w:t>
      </w:r>
      <w:r>
        <w:t xml:space="preserve">alone. Its representative runtime is 1.34</w:t>
      </w:r>
      <m:oMath>
        <m:r>
          <m:rPr>
            <m:sty m:val="p"/>
          </m:rPr>
          <m:t>×</m:t>
        </m:r>
      </m:oMath>
      <w:r>
        <w:t xml:space="preserve"> </w:t>
      </w:r>
      <w:r>
        <w:t xml:space="preserve">STCC. The candidate remains experimental because</w:t>
      </w:r>
      <w:r>
        <w:t xml:space="preserve"> </w:t>
      </w:r>
      <w:r>
        <w:t xml:space="preserve">the held-out operating metrics tie default STCC (§S13).</w:t>
      </w:r>
    </w:p>
    <w:p>
      <w:pPr>
        <w:pStyle w:val="BodyText"/>
      </w:pPr>
      <w:r>
        <w:rPr>
          <w:b/>
          <w:bCs/>
        </w:rPr>
        <w:t xml:space="preserve">Table S7.</w:t>
      </w:r>
      <w:r>
        <w:t xml:space="preserve"> </w:t>
      </w:r>
      <w:r>
        <w:t xml:space="preserve">Direct comparison of default STCC and its experimental Local-Contrast extension.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regime</w:t>
            </w:r>
          </w:p>
        </w:tc>
        <w:tc>
          <w:tcPr/>
          <w:p>
            <w:pPr>
              <w:pStyle w:val="Compact"/>
            </w:pPr>
            <w:r>
              <w:t xml:space="preserve">method</w:t>
            </w:r>
          </w:p>
        </w:tc>
        <w:tc>
          <w:tcPr/>
          <w:p>
            <w:pPr>
              <w:pStyle w:val="Compact"/>
              <w:jc w:val="center"/>
            </w:pPr>
            <w:r>
              <w:t xml:space="preserve">mean same</w:t>
            </w:r>
          </w:p>
        </w:tc>
        <w:tc>
          <w:tcPr/>
          <w:p>
            <w:pPr>
              <w:pStyle w:val="Compact"/>
              <w:jc w:val="center"/>
            </w:pPr>
            <w:r>
              <w:t xml:space="preserve">mean different</w:t>
            </w:r>
          </w:p>
        </w:tc>
        <w:tc>
          <w:tcPr/>
          <w:p>
            <w:pPr>
              <w:pStyle w:val="Compact"/>
              <w:jc w:val="center"/>
            </w:pPr>
            <w:r>
              <w:t xml:space="preserve">separation</w:t>
            </w:r>
          </w:p>
        </w:tc>
        <w:tc>
          <w:tcPr/>
          <w:p>
            <w:pPr>
              <w:pStyle w:val="Compact"/>
              <w:jc w:val="center"/>
            </w:pPr>
            <w:r>
              <w:t xml:space="preserve">margin</w:t>
            </w:r>
          </w:p>
        </w:tc>
      </w:tr>
      <w:tr>
        <w:tc>
          <w:tcPr/>
          <w:p>
            <w:pPr>
              <w:pStyle w:val="Compact"/>
            </w:pPr>
            <w:r>
              <w:t xml:space="preserve">Dense, 23 same + 2 decoys</w:t>
            </w:r>
          </w:p>
        </w:tc>
        <w:tc>
          <w:tcPr/>
          <w:p>
            <w:pPr>
              <w:pStyle w:val="Compact"/>
            </w:pPr>
            <w:r>
              <w:t xml:space="preserve">STCC</w:t>
            </w:r>
          </w:p>
        </w:tc>
        <w:tc>
          <w:tcPr/>
          <w:p>
            <w:pPr>
              <w:pStyle w:val="Compact"/>
              <w:jc w:val="center"/>
            </w:pPr>
            <w:r>
              <w:t xml:space="preserve">0.871</w:t>
            </w:r>
          </w:p>
        </w:tc>
        <w:tc>
          <w:tcPr/>
          <w:p>
            <w:pPr>
              <w:pStyle w:val="Compact"/>
              <w:jc w:val="center"/>
            </w:pPr>
            <w:r>
              <w:t xml:space="preserve">0.305</w:t>
            </w:r>
          </w:p>
        </w:tc>
        <w:tc>
          <w:tcPr/>
          <w:p>
            <w:pPr>
              <w:pStyle w:val="Compact"/>
              <w:jc w:val="center"/>
            </w:pPr>
            <w:r>
              <w:t xml:space="preserve">0.567</w:t>
            </w:r>
          </w:p>
        </w:tc>
        <w:tc>
          <w:tcPr/>
          <w:p>
            <w:pPr>
              <w:pStyle w:val="Compact"/>
              <w:jc w:val="center"/>
            </w:pPr>
            <w:r>
              <w:t xml:space="preserve">0.405</w:t>
            </w:r>
          </w:p>
        </w:tc>
      </w:tr>
      <w:tr>
        <w:tc>
          <w:tcPr/>
          <w:p>
            <w:pPr>
              <w:pStyle w:val="Compact"/>
            </w:pPr>
          </w:p>
        </w:tc>
        <w:tc>
          <w:tcPr/>
          <w:p>
            <w:pPr>
              <w:pStyle w:val="Compact"/>
            </w:pPr>
            <w:r>
              <w:t xml:space="preserve">Local Contrast</w:t>
            </w:r>
          </w:p>
        </w:tc>
        <w:tc>
          <w:tcPr/>
          <w:p>
            <w:pPr>
              <w:pStyle w:val="Compact"/>
              <w:jc w:val="center"/>
            </w:pPr>
            <w:r>
              <w:t xml:space="preserve">0.752</w:t>
            </w:r>
          </w:p>
        </w:tc>
        <w:tc>
          <w:tcPr/>
          <w:p>
            <w:pPr>
              <w:pStyle w:val="Compact"/>
              <w:jc w:val="center"/>
            </w:pPr>
            <w:r>
              <w:t xml:space="preserve">0.080</w:t>
            </w:r>
          </w:p>
        </w:tc>
        <w:tc>
          <w:tcPr/>
          <w:p>
            <w:pPr>
              <w:pStyle w:val="Compact"/>
              <w:jc w:val="center"/>
            </w:pPr>
            <w:r>
              <w:rPr>
                <w:b/>
                <w:bCs/>
              </w:rPr>
              <w:t xml:space="preserve">0.672</w:t>
            </w:r>
          </w:p>
        </w:tc>
        <w:tc>
          <w:tcPr/>
          <w:p>
            <w:pPr>
              <w:pStyle w:val="Compact"/>
              <w:jc w:val="center"/>
            </w:pPr>
            <w:r>
              <w:rPr>
                <w:b/>
                <w:bCs/>
              </w:rPr>
              <w:t xml:space="preserve">0.523</w:t>
            </w:r>
          </w:p>
        </w:tc>
      </w:tr>
      <w:tr>
        <w:tc>
          <w:tcPr/>
          <w:p>
            <w:pPr>
              <w:pStyle w:val="Compact"/>
            </w:pPr>
            <w:r>
              <w:t xml:space="preserve">Sparse, 5 same + 40 different</w:t>
            </w:r>
          </w:p>
        </w:tc>
        <w:tc>
          <w:tcPr/>
          <w:p>
            <w:pPr>
              <w:pStyle w:val="Compact"/>
            </w:pPr>
            <w:r>
              <w:t xml:space="preserve">STCC</w:t>
            </w:r>
          </w:p>
        </w:tc>
        <w:tc>
          <w:tcPr/>
          <w:p>
            <w:pPr>
              <w:pStyle w:val="Compact"/>
              <w:jc w:val="center"/>
            </w:pPr>
            <w:r>
              <w:t xml:space="preserve">0.746</w:t>
            </w:r>
          </w:p>
        </w:tc>
        <w:tc>
          <w:tcPr/>
          <w:p>
            <w:pPr>
              <w:pStyle w:val="Compact"/>
              <w:jc w:val="center"/>
            </w:pPr>
            <w:r>
              <w:t xml:space="preserve">0.002</w:t>
            </w:r>
          </w:p>
        </w:tc>
        <w:tc>
          <w:tcPr/>
          <w:p>
            <w:pPr>
              <w:pStyle w:val="Compact"/>
              <w:jc w:val="center"/>
            </w:pPr>
            <w:r>
              <w:t xml:space="preserve">0.745</w:t>
            </w:r>
          </w:p>
        </w:tc>
        <w:tc>
          <w:tcPr/>
          <w:p>
            <w:pPr>
              <w:pStyle w:val="Compact"/>
              <w:jc w:val="center"/>
            </w:pPr>
            <w:r>
              <w:t xml:space="preserve">0.374</w:t>
            </w:r>
          </w:p>
        </w:tc>
      </w:tr>
      <w:tr>
        <w:tc>
          <w:tcPr/>
          <w:p>
            <w:pPr>
              <w:pStyle w:val="Compact"/>
            </w:pPr>
          </w:p>
        </w:tc>
        <w:tc>
          <w:tcPr/>
          <w:p>
            <w:pPr>
              <w:pStyle w:val="Compact"/>
            </w:pPr>
            <w:r>
              <w:t xml:space="preserve">Local Contrast</w:t>
            </w:r>
          </w:p>
        </w:tc>
        <w:tc>
          <w:tcPr/>
          <w:p>
            <w:pPr>
              <w:pStyle w:val="Compact"/>
              <w:jc w:val="center"/>
            </w:pPr>
            <w:r>
              <w:t xml:space="preserve">0.824</w:t>
            </w:r>
          </w:p>
        </w:tc>
        <w:tc>
          <w:tcPr/>
          <w:p>
            <w:pPr>
              <w:pStyle w:val="Compact"/>
              <w:jc w:val="center"/>
            </w:pPr>
            <w:r>
              <w:t xml:space="preserve">0.004</w:t>
            </w:r>
          </w:p>
        </w:tc>
        <w:tc>
          <w:tcPr/>
          <w:p>
            <w:pPr>
              <w:pStyle w:val="Compact"/>
              <w:jc w:val="center"/>
            </w:pPr>
            <w:r>
              <w:rPr>
                <w:b/>
                <w:bCs/>
              </w:rPr>
              <w:t xml:space="preserve">0.820</w:t>
            </w:r>
          </w:p>
        </w:tc>
        <w:tc>
          <w:tcPr/>
          <w:p>
            <w:pPr>
              <w:pStyle w:val="Compact"/>
              <w:jc w:val="center"/>
            </w:pPr>
            <w:r>
              <w:rPr>
                <w:b/>
                <w:bCs/>
              </w:rPr>
              <w:t xml:space="preserve">0.434</w:t>
            </w:r>
          </w:p>
        </w:tc>
      </w:tr>
    </w:tbl>
    <w:p>
      <w:pPr>
        <w:pStyle w:val="BodyText"/>
      </w:pPr>
      <w:r>
        <w:t xml:space="preserve">The former sparse blur-sweep table is omitted because it was produced from already Gaussian-blurred</w:t>
      </w:r>
      <w:r>
        <w:t xml:space="preserve"> </w:t>
      </w:r>
      <w:r>
        <w:t xml:space="preserve">peak-list images. The current benchmark starts from sticks so that each method owns its smoothing;</w:t>
      </w:r>
      <w:r>
        <w:t xml:space="preserve"> </w:t>
      </w:r>
      <w:r>
        <w:t xml:space="preserve">a future sweep must use that same preprocessing before it is compared with the current table.</w:t>
      </w:r>
    </w:p>
    <w:p>
      <w:pPr>
        <w:pStyle w:val="BodyText"/>
      </w:pPr>
      <w:r>
        <w:rPr>
          <w:b/>
          <w:bCs/>
        </w:rPr>
        <w:t xml:space="preserve">Caveats.</w:t>
      </w:r>
      <w:r>
        <w:t xml:space="preserve"> </w:t>
      </w:r>
      <w:r>
        <w:t xml:space="preserve">(i) In the sparse benchmark, spectra are</w:t>
      </w:r>
      <w:r>
        <w:t xml:space="preserve"> </w:t>
      </w:r>
      <w:r>
        <w:rPr>
          <w:b/>
          <w:bCs/>
        </w:rPr>
        <w:t xml:space="preserve">stick-rendered from peak lists</w:t>
      </w:r>
      <w:r>
        <w:t xml:space="preserve">, not</w:t>
      </w:r>
      <w:r>
        <w:t xml:space="preserve"> </w:t>
      </w:r>
      <w:r>
        <w:t xml:space="preserve">measured 2D matrices. Each method owns its smoothing, but exact values remain specific to these</w:t>
      </w:r>
      <w:r>
        <w:t xml:space="preserve"> </w:t>
      </w:r>
      <w:r>
        <w:t xml:space="preserve">coordinates, intensities and grid; the</w:t>
      </w:r>
      <w:r>
        <w:t xml:space="preserve"> </w:t>
      </w:r>
      <w:r>
        <w:rPr>
          <w:i/>
          <w:iCs/>
        </w:rPr>
        <w:t xml:space="preserve">ranking</w:t>
      </w:r>
      <w:r>
        <w:t xml:space="preserve"> </w:t>
      </w:r>
      <w:r>
        <w:t xml:space="preserve">is the result, not a universal calibration.</w:t>
      </w:r>
      <w:r>
        <w:t xml:space="preserve"> </w:t>
      </w:r>
      <w:r>
        <w:t xml:space="preserve">(ii) The tree and NN methods here are the repository’s representative</w:t>
      </w:r>
      <w:r>
        <w:t xml:space="preserve"> </w:t>
      </w:r>
      <w:r>
        <w:t xml:space="preserve">reimplementations run inside one common wide window; the original papers tune per-spectrum windows</w:t>
      </w:r>
      <w:r>
        <w:t xml:space="preserve"> </w:t>
      </w:r>
      <w:r>
        <w:t xml:space="preserve">and parameters, so this is not a verdict on those methods as their authors deployed them — only on</w:t>
      </w:r>
      <w:r>
        <w:t xml:space="preserve"> </w:t>
      </w:r>
      <w:r>
        <w:t xml:space="preserve">how they behave as drop-in global similarity scores. (iii) The between-compound contrast is strong</w:t>
      </w:r>
      <w:r>
        <w:t xml:space="preserve"> </w:t>
      </w:r>
      <w:r>
        <w:t xml:space="preserve">(40 pairs) but the same-compound side is only 5 pairs, of which two (menthol, rotenone) are the</w:t>
      </w:r>
      <w:r>
        <w:t xml:space="preserve"> </w:t>
      </w:r>
      <w:r>
        <w:t xml:space="preserve">genuinely-shifted, discriminating tests; a byte-identical sixth pair (olivetol) was excluded</w:t>
      </w:r>
      <w:r>
        <w:t xml:space="preserve"> </w:t>
      </w:r>
      <w:r>
        <w:t xml:space="preserve">(§S9).</w:t>
      </w:r>
    </w:p>
    <w:bookmarkEnd w:id="50"/>
    <w:bookmarkStart w:id="51" w:name="s11-relationship-to-the-source-methods"/>
    <w:p>
      <w:pPr>
        <w:pStyle w:val="Heading2"/>
      </w:pPr>
      <w:r>
        <w:t xml:space="preserve">S11 Relationship to the source methods</w:t>
      </w:r>
    </w:p>
    <w:p>
      <w:pPr>
        <w:pStyle w:val="FirstParagraph"/>
      </w:pPr>
      <w:r>
        <w:rPr>
          <w:b/>
          <w:bCs/>
        </w:rPr>
        <w:t xml:space="preserve">Table S8.</w:t>
      </w:r>
      <w:r>
        <w:t xml:space="preserve"> </w:t>
      </w:r>
      <w:r>
        <w:t xml:space="preserve">STCC keeps the physically meaningful ingredient of each predecessor. Local Contrast</w:t>
      </w:r>
      <w:r>
        <w:t xml:space="preserve"> </w:t>
      </w:r>
      <w:r>
        <w:t xml:space="preserve">is an experimental feature transform layered on the completed STCC render.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ingredient</w:t>
            </w:r>
          </w:p>
        </w:tc>
        <w:tc>
          <w:tcPr/>
          <w:p>
            <w:pPr>
              <w:pStyle w:val="Compact"/>
            </w:pPr>
            <w:r>
              <w:t xml:space="preserve">taken from</w:t>
            </w:r>
          </w:p>
        </w:tc>
      </w:tr>
      <w:tr>
        <w:tc>
          <w:tcPr/>
          <w:p>
            <w:pPr>
              <w:pStyle w:val="Compact"/>
            </w:pPr>
            <w:r>
              <w:t xml:space="preserve">window + negative handling (</w:t>
            </w:r>
            <w:r>
              <w:rPr>
                <w:rStyle w:val="VerbatimChar"/>
              </w:rPr>
              <w:t xml:space="preserve">clip</w:t>
            </w:r>
            <w:r>
              <w:t xml:space="preserve">/</w:t>
            </w:r>
            <w:r>
              <w:rPr>
                <w:rStyle w:val="VerbatimChar"/>
              </w:rPr>
              <w:t xml:space="preserve">abs</w:t>
            </w:r>
            <w:r>
              <w:t xml:space="preserve">) + area weighting; normalization to unit mass</w:t>
            </w:r>
          </w:p>
        </w:tc>
        <w:tc>
          <w:tcPr/>
          <w:p>
            <w:pPr>
              <w:pStyle w:val="Compact"/>
            </w:pPr>
            <w:r>
              <w:t xml:space="preserve">Bodis et al. 2009 (bins)</w:t>
            </w:r>
          </w:p>
        </w:tc>
      </w:tr>
      <w:tr>
        <w:tc>
          <w:tcPr/>
          <w:p>
            <w:pPr>
              <w:pStyle w:val="Compact"/>
            </w:pPr>
            <w:r>
              <w:t xml:space="preserve">physical blur width as shift tolerance (</w:t>
            </w:r>
            <m:oMath>
              <m:r>
                <m:t>σ</m:t>
              </m:r>
              <m:r>
                <m:rPr>
                  <m:sty m:val="p"/>
                </m:rPr>
                <m:t>=</m:t>
              </m:r>
              <m:rad>
                <m:radPr>
                  <m:degHide m:val="on"/>
                </m:radPr>
                <m:deg/>
                <m:e>
                  <m:sSup>
                    <m:e>
                      <m:r>
                        <m:t>ℓ</m:t>
                      </m:r>
                    </m:e>
                    <m:sup>
                      <m:r>
                        <m:t>2</m:t>
                      </m:r>
                    </m:sup>
                  </m:sSup>
                  <m:r>
                    <m:rPr>
                      <m:sty m:val="p"/>
                    </m:rPr>
                    <m:t>+</m:t>
                  </m:r>
                  <m:sSup>
                    <m:e>
                      <m:r>
                        <m:t>d</m:t>
                      </m:r>
                    </m:e>
                    <m:sup>
                      <m:r>
                        <m:t>2</m:t>
                      </m:r>
                    </m:sup>
                  </m:sSup>
                </m:e>
              </m:rad>
            </m:oMath>
            <w:r>
              <w:t xml:space="preserve">)</w:t>
            </w:r>
          </w:p>
        </w:tc>
        <w:tc>
          <w:tcPr/>
          <w:p>
            <w:pPr>
              <w:pStyle w:val="Compact"/>
            </w:pPr>
            <w:r>
              <w:t xml:space="preserve">Castillo et al. 2013 (tree shift-insensitivity)</w:t>
            </w:r>
          </w:p>
        </w:tc>
      </w:tr>
      <w:tr>
        <w:tc>
          <w:tcPr/>
          <w:p>
            <w:pPr>
              <w:pStyle w:val="Compact"/>
            </w:pPr>
            <w:r>
              <w:t xml:space="preserve">a peak / lineshape picture of the spectrum</w:t>
            </w:r>
          </w:p>
        </w:tc>
        <w:tc>
          <w:tcPr/>
          <w:p>
            <w:pPr>
              <w:pStyle w:val="Compact"/>
            </w:pPr>
            <w:r>
              <w:t xml:space="preserve">Pierens et al. 2012 (NN peaks)</w:t>
            </w:r>
          </w:p>
        </w:tc>
      </w:tr>
      <w:tr>
        <w:tc>
          <w:tcPr/>
          <w:p>
            <w:pPr>
              <w:pStyle w:val="Compact"/>
            </w:pPr>
            <w:r>
              <w:t xml:space="preserve">mean-centred zero-lag correlation as the discriminating step</w:t>
            </w:r>
          </w:p>
        </w:tc>
        <w:tc>
          <w:tcPr/>
          <w:p>
            <w:pPr>
              <w:pStyle w:val="Compact"/>
            </w:pPr>
            <w:r>
              <w:t xml:space="preserve">this work (synthesis)</w:t>
            </w:r>
          </w:p>
        </w:tc>
      </w:tr>
      <w:tr>
        <w:tc>
          <w:tcPr/>
          <w:p>
            <w:pPr>
              <w:pStyle w:val="Compact"/>
            </w:pPr>
            <w:r>
              <w:t xml:space="preserve">square root + fixed-</w:t>
            </w:r>
            <m:oMath>
              <m:r>
                <m:t>3</m:t>
              </m:r>
              <m:r>
                <m:t>σ</m:t>
              </m:r>
            </m:oMath>
            <w:r>
              <w:t xml:space="preserve"> </w:t>
            </w:r>
            <w:r>
              <w:t xml:space="preserve">local background subtraction</w:t>
            </w:r>
          </w:p>
        </w:tc>
        <w:tc>
          <w:tcPr/>
          <w:p>
            <w:pPr>
              <w:pStyle w:val="Compact"/>
            </w:pPr>
            <w:r>
              <w:t xml:space="preserve">this work (experimental extension)</w:t>
            </w:r>
          </w:p>
        </w:tc>
      </w:tr>
    </w:tbl>
    <w:p>
      <w:pPr>
        <w:pStyle w:val="BodyText"/>
      </w:pPr>
      <w:r>
        <w:t xml:space="preserve">The mean-centred zero-lag correlation is itself the zero-mean normalized cross-correlation (ZNCC)</w:t>
      </w:r>
      <w:r>
        <w:t xml:space="preserve"> </w:t>
      </w:r>
      <w:r>
        <w:t xml:space="preserve">standard in image registration and template matching; the contribution of this work is the</w:t>
      </w:r>
      <w:r>
        <w:t xml:space="preserve"> </w:t>
      </w:r>
      <w:r>
        <w:rPr>
          <w:i/>
          <w:iCs/>
        </w:rPr>
        <w:t xml:space="preserve">synthesis</w:t>
      </w:r>
      <w:r>
        <w:t xml:space="preserve"> </w:t>
      </w:r>
      <w:r>
        <w:t xml:space="preserve">— applying it to physically blurred 2D-HSQC images together with the ingredients above —</w:t>
      </w:r>
      <w:r>
        <w:t xml:space="preserve"> </w:t>
      </w:r>
      <w:r>
        <w:t xml:space="preserve">not the correlation operation itself. The un-centred cosine of the same rendered/blurred images</w:t>
      </w:r>
      <w:r>
        <w:t xml:space="preserve"> </w:t>
      </w:r>
      <w:r>
        <w:t xml:space="preserve">(</w:t>
      </w:r>
      <w:r>
        <w:rPr>
          <w:rStyle w:val="VerbatimChar"/>
        </w:rPr>
        <w:t xml:space="preserve">center=False</w:t>
      </w:r>
      <w:r>
        <w:t xml:space="preserve">) is the natural ablation of the mean-centred-correlation row — it isolates what</w:t>
      </w:r>
      <w:r>
        <w:t xml:space="preserve"> </w:t>
      </w:r>
      <w:r>
        <w:t xml:space="preserve">mean-centring buys</w:t>
      </w:r>
      <w:r>
        <w:t xml:space="preserve"> </w:t>
      </w:r>
      <w:r>
        <w:t xml:space="preserve">(§S10) and is exactly the contrast-angle similarity of mass-spectral library search [15,16].</w:t>
      </w:r>
      <w:r>
        <w:t xml:space="preserve"> </w:t>
      </w:r>
      <w:r>
        <w:t xml:space="preserve">Local Contrast instead uses the signed feature in Eq. SLC1 with an un-centred cosine. The current</w:t>
      </w:r>
      <w:r>
        <w:t xml:space="preserve"> </w:t>
      </w:r>
      <w:r>
        <w:t xml:space="preserve">benchmark tests that composite transform, not its two ingredients separately.</w:t>
      </w:r>
    </w:p>
    <w:bookmarkEnd w:id="51"/>
    <w:bookmarkStart w:id="52" w:name="s12-software-reproduction-and-test-suite"/>
    <w:p>
      <w:pPr>
        <w:pStyle w:val="Heading2"/>
      </w:pPr>
      <w:r>
        <w:t xml:space="preserve">S12 Software, reproduction and test suite</w:t>
      </w:r>
    </w:p>
    <w:p>
      <w:pPr>
        <w:pStyle w:val="FirstParagraph"/>
      </w:pPr>
      <w:r>
        <w:rPr>
          <w:b/>
          <w:bCs/>
        </w:rPr>
        <w:t xml:space="preserve">Implementation.</w:t>
      </w:r>
      <w:r>
        <w:t xml:space="preserve"> </w:t>
      </w:r>
      <w:r>
        <w:t xml:space="preserve">STCC and Local Contrast are pure NumPy [17] (</w:t>
      </w:r>
      <w:r>
        <w:rPr>
          <w:rStyle w:val="VerbatimChar"/>
        </w:rPr>
        <w:t xml:space="preserve">hsqc_lcc.py</w:t>
      </w:r>
      <w:r>
        <w:t xml:space="preserve">); they read the processed Bruker data (the</w:t>
      </w:r>
      <w:r>
        <w:t xml:space="preserve"> </w:t>
      </w:r>
      <w:r>
        <w:rPr>
          <w:rStyle w:val="VerbatimChar"/>
        </w:rPr>
        <w:t xml:space="preserve">2rr</w:t>
      </w:r>
      <w:r>
        <w:t xml:space="preserve"> </w:t>
      </w:r>
      <w:r>
        <w:t xml:space="preserve">matrix and its</w:t>
      </w:r>
      <w:r>
        <w:t xml:space="preserve"> </w:t>
      </w:r>
      <w:r>
        <w:rPr>
          <w:rStyle w:val="VerbatimChar"/>
        </w:rPr>
        <w:t xml:space="preserve">procs</w:t>
      </w:r>
      <w:r>
        <w:t xml:space="preserve"> </w:t>
      </w:r>
      <w:r>
        <w:t xml:space="preserve">parameters) directly through the repository’s own reader — without a</w:t>
      </w:r>
      <w:r>
        <w:t xml:space="preserve"> </w:t>
      </w:r>
      <w:r>
        <w:t xml:space="preserve">general-purpose package such as nmrglue [18] — need no peak picking and no external solver. On a</w:t>
      </w:r>
      <w:r>
        <w:t xml:space="preserve"> </w:t>
      </w:r>
      <w:r>
        <w:t xml:space="preserve">representative dense pair, STCC runs in 12.8 ms and Local Contrast in 17.2 ms</w:t>
      </w:r>
      <w:r>
        <w:t xml:space="preserve"> </w:t>
      </w:r>
      <w:r>
        <w:t xml:space="preserve">(1.34</w:t>
      </w:r>
      <m:oMath>
        <m:r>
          <m:rPr>
            <m:sty m:val="p"/>
          </m:rPr>
          <m:t>×</m:t>
        </m:r>
      </m:oMath>
      <w:r>
        <w:t xml:space="preserve">; Apple Silicon, single core). The</w:t>
      </w:r>
      <w:r>
        <w:t xml:space="preserve"> </w:t>
      </w:r>
      <w:r>
        <w:t xml:space="preserve">processed input can come from any standard NMR processing pipeline [19–22]. Figures use</w:t>
      </w:r>
      <w:r>
        <w:t xml:space="preserve"> </w:t>
      </w:r>
      <w:r>
        <w:t xml:space="preserve">Matplotlib [23].</w:t>
      </w:r>
    </w:p>
    <w:p>
      <w:pPr>
        <w:pStyle w:val="BodyText"/>
      </w:pPr>
      <w:r>
        <w:t xml:space="preserve">Local-Contrast JSON records the method, both blur widths, actual grid steps, grid shape, fixed ppm</w:t>
      </w:r>
      <w:r>
        <w:t xml:space="preserve"> </w:t>
      </w:r>
      <w:r>
        <w:t xml:space="preserve">ranges,</w:t>
      </w:r>
      <w:r>
        <w:t xml:space="preserve"> </w:t>
      </w:r>
      <w:r>
        <w:rPr>
          <w:rStyle w:val="VerbatimChar"/>
        </w:rPr>
        <w:t xml:space="preserve">background_factor=3</w:t>
      </w:r>
      <w:r>
        <w:t xml:space="preserve"> </w:t>
      </w:r>
      <w:r>
        <w:t xml:space="preserve">and</w:t>
      </w:r>
      <w:r>
        <w:t xml:space="preserve"> </w:t>
      </w:r>
      <w:r>
        <w:rPr>
          <w:rStyle w:val="VerbatimChar"/>
        </w:rPr>
        <w:t xml:space="preserve">intensity_transform="sqrt"</w:t>
      </w:r>
      <w:r>
        <w:t xml:space="preserve">, so the experimental calculation is</w:t>
      </w:r>
      <w:r>
        <w:t xml:space="preserve"> </w:t>
      </w:r>
      <w:r>
        <w:t xml:space="preserve">self-describing. Non-finite spectra/ranges and non-positive or non-finite blur/step inputs raise</w:t>
      </w:r>
      <w:r>
        <w:t xml:space="preserve"> </w:t>
      </w:r>
      <w:r>
        <w:t xml:space="preserve">explicit errors.</w:t>
      </w:r>
    </w:p>
    <w:p>
      <w:pPr>
        <w:pStyle w:val="BodyText"/>
      </w:pPr>
      <w:r>
        <w:rPr>
          <w:b/>
          <w:bCs/>
        </w:rPr>
        <w:t xml:space="preserve">Reproduction.</w:t>
      </w:r>
      <w:r>
        <w:t xml:space="preserve"> </w:t>
      </w:r>
      <w:r>
        <w:t xml:space="preserve">All benchmark harnesses are in the repository:</w:t>
      </w:r>
    </w:p>
    <w:p>
      <w:pPr>
        <w:pStyle w:val="Compact"/>
        <w:numPr>
          <w:ilvl w:val="0"/>
          <w:numId w:val="1002"/>
        </w:numPr>
      </w:pPr>
      <w:r>
        <w:rPr>
          <w:rStyle w:val="VerbatimChar"/>
        </w:rPr>
        <w:t xml:space="preserve">python3.11 bench.py</w:t>
      </w:r>
      <w:r>
        <w:t xml:space="preserve"> </w:t>
      </w:r>
      <w:r>
        <w:t xml:space="preserve">— dense protein</w:t>
      </w:r>
      <w:r>
        <w:t xml:space="preserve"> </w:t>
      </w:r>
      <m:oMath>
        <m:sSup>
          <m:e>
            <m:r>
              <m:t>​</m:t>
            </m:r>
          </m:e>
          <m:sup>
            <m:r>
              <m:t>1</m:t>
            </m:r>
          </m:sup>
        </m:sSup>
      </m:oMath>
      <w:r>
        <w:t xml:space="preserve">H–</w:t>
      </w:r>
      <m:oMath>
        <m:sSup>
          <m:e>
            <m:r>
              <m:t>​</m:t>
            </m:r>
          </m:e>
          <m:sup>
            <m:r>
              <m:t>15</m:t>
            </m:r>
          </m:sup>
        </m:sSup>
      </m:oMath>
      <w:r>
        <w:t xml:space="preserve">N benchmark (Table S2), writing</w:t>
      </w:r>
      <w:r>
        <w:t xml:space="preserve"> </w:t>
      </w:r>
      <w:r>
        <w:rPr>
          <w:rStyle w:val="VerbatimChar"/>
        </w:rPr>
        <w:t xml:space="preserve">results/method_comparison.{csv,json}</w:t>
      </w:r>
      <w:r>
        <w:t xml:space="preserve"> </w:t>
      </w:r>
      <w:r>
        <w:t xml:space="preserve">and</w:t>
      </w:r>
      <w:r>
        <w:t xml:space="preserve"> </w:t>
      </w:r>
      <w:r>
        <w:rPr>
          <w:rStyle w:val="VerbatimChar"/>
        </w:rPr>
        <w:t xml:space="preserve">results/lcc_comparison.png</w:t>
      </w:r>
      <w:r>
        <w:t xml:space="preserve">.</w:t>
      </w:r>
    </w:p>
    <w:p>
      <w:pPr>
        <w:pStyle w:val="Compact"/>
        <w:numPr>
          <w:ilvl w:val="0"/>
          <w:numId w:val="1002"/>
        </w:numPr>
      </w:pPr>
      <w:r>
        <w:rPr>
          <w:rStyle w:val="VerbatimChar"/>
        </w:rPr>
        <w:t xml:space="preserve">python3.11 bench_nhsqc.py</w:t>
      </w:r>
      <w:r>
        <w:t xml:space="preserve"> </w:t>
      </w:r>
      <w:r>
        <w:t xml:space="preserve">— expanded dense benchmark with two decoy proteins (Tables S3, S4;</w:t>
      </w:r>
      <w:r>
        <w:t xml:space="preserve"> </w:t>
      </w:r>
      <w:r>
        <w:t xml:space="preserve">main-text Table 2), reading the</w:t>
      </w:r>
      <w:r>
        <w:t xml:space="preserve"> </w:t>
      </w:r>
      <w:r>
        <w:rPr>
          <w:rStyle w:val="VerbatimChar"/>
        </w:rPr>
        <w:t xml:space="preserve">Nhsqc/</w:t>
      </w:r>
      <w:r>
        <w:t xml:space="preserve"> </w:t>
      </w:r>
      <w:r>
        <w:t xml:space="preserve">PRL3–olsalazine titration and OAA/EphB3 spectra and</w:t>
      </w:r>
      <w:r>
        <w:t xml:space="preserve"> </w:t>
      </w:r>
      <w:r>
        <w:t xml:space="preserve">writing</w:t>
      </w:r>
      <w:r>
        <w:t xml:space="preserve"> </w:t>
      </w:r>
      <w:r>
        <w:rPr>
          <w:rStyle w:val="VerbatimChar"/>
        </w:rPr>
        <w:t xml:space="preserve">results/nhsqc_dense.json</w:t>
      </w:r>
      <w:r>
        <w:t xml:space="preserve">.</w:t>
      </w:r>
    </w:p>
    <w:p>
      <w:pPr>
        <w:pStyle w:val="Compact"/>
        <w:numPr>
          <w:ilvl w:val="0"/>
          <w:numId w:val="1002"/>
        </w:numPr>
      </w:pPr>
      <w:r>
        <w:rPr>
          <w:rStyle w:val="VerbatimChar"/>
        </w:rPr>
        <w:t xml:space="preserve">python3.11 bench_13c.py</w:t>
      </w:r>
      <w:r>
        <w:t xml:space="preserve"> </w:t>
      </w:r>
      <w:r>
        <w:t xml:space="preserve">— sparse small-molecule</w:t>
      </w:r>
      <w:r>
        <w:t xml:space="preserve"> </w:t>
      </w:r>
      <m:oMath>
        <m:sSup>
          <m:e>
            <m:r>
              <m:t>​</m:t>
            </m:r>
          </m:e>
          <m:sup>
            <m:r>
              <m:t>1</m:t>
            </m:r>
          </m:sup>
        </m:sSup>
      </m:oMath>
      <w:r>
        <w:t xml:space="preserve">H–</w:t>
      </w:r>
      <m:oMath>
        <m:sSup>
          <m:e>
            <m:r>
              <m:t>​</m:t>
            </m:r>
          </m:e>
          <m:sup>
            <m:r>
              <m:t>13</m:t>
            </m:r>
          </m:sup>
        </m:sSup>
      </m:oMath>
      <w:r>
        <w:t xml:space="preserve">C benchmark (Tables S5, S6),</w:t>
      </w:r>
      <w:r>
        <w:t xml:space="preserve"> </w:t>
      </w:r>
      <w:r>
        <w:t xml:space="preserve">downloading the simpleNMR peak lists on first run, rasterizing sticks and writing</w:t>
      </w:r>
      <w:r>
        <w:t xml:space="preserve"> </w:t>
      </w:r>
      <w:r>
        <w:rPr>
          <w:rStyle w:val="VerbatimChar"/>
        </w:rPr>
        <w:t xml:space="preserve">results/comparison_13c.json</w:t>
      </w:r>
      <w:r>
        <w:t xml:space="preserve">. It</w:t>
      </w:r>
      <w:r>
        <w:t xml:space="preserve"> </w:t>
      </w:r>
      <w:r>
        <w:t xml:space="preserve">excludes the byte-identical olivetol pair and raises on any same-pair that renders identically.</w:t>
      </w:r>
    </w:p>
    <w:p>
      <w:pPr>
        <w:pStyle w:val="Compact"/>
        <w:numPr>
          <w:ilvl w:val="0"/>
          <w:numId w:val="1002"/>
        </w:numPr>
      </w:pPr>
      <w:r>
        <w:rPr>
          <w:rStyle w:val="VerbatimChar"/>
        </w:rPr>
        <w:t xml:space="preserve">python3.11 bench_retrieval.py</w:t>
      </w:r>
      <w:r>
        <w:t xml:space="preserve"> </w:t>
      </w:r>
      <w:r>
        <w:t xml:space="preserve">— top-1/MRR, AUROC/AUPRC, leave-one-compound-out threshold error,</w:t>
      </w:r>
      <w:r>
        <w:t xml:space="preserve"> </w:t>
      </w:r>
      <w:r>
        <w:t xml:space="preserve">rejection FPR and compound-cluster bootstrap comparisons on the sparse regime (Table S9),</w:t>
      </w:r>
      <w:r>
        <w:t xml:space="preserve"> </w:t>
      </w:r>
      <w:r>
        <w:t xml:space="preserve">writing</w:t>
      </w:r>
      <w:r>
        <w:t xml:space="preserve"> </w:t>
      </w:r>
      <w:r>
        <w:rPr>
          <w:rStyle w:val="VerbatimChar"/>
        </w:rPr>
        <w:t xml:space="preserve">results/retrieval_13c.json</w:t>
      </w:r>
      <w:r>
        <w:t xml:space="preserve">.</w:t>
      </w:r>
    </w:p>
    <w:p>
      <w:pPr>
        <w:pStyle w:val="Compact"/>
        <w:numPr>
          <w:ilvl w:val="0"/>
          <w:numId w:val="1002"/>
        </w:numPr>
      </w:pPr>
      <w:r>
        <w:rPr>
          <w:rStyle w:val="VerbatimChar"/>
        </w:rPr>
        <w:t xml:space="preserve">python3.11 results/make_plots.py</w:t>
      </w:r>
      <w:r>
        <w:t xml:space="preserve"> </w:t>
      </w:r>
      <w:r>
        <w:t xml:space="preserve">— regenerates Figure 2 (and</w:t>
      </w:r>
      <w:r>
        <w:t xml:space="preserve"> </w:t>
      </w:r>
      <w:r>
        <w:rPr>
          <w:rStyle w:val="VerbatimChar"/>
        </w:rPr>
        <w:t xml:space="preserve">comparison_13c.png</w:t>
      </w:r>
      <w:r>
        <w:t xml:space="preserve">) from the</w:t>
      </w:r>
      <w:r>
        <w:t xml:space="preserve"> </w:t>
      </w:r>
      <w:r>
        <w:t xml:space="preserve">JSON;</w:t>
      </w:r>
      <w:r>
        <w:t xml:space="preserve"> </w:t>
      </w:r>
      <w:r>
        <w:rPr>
          <w:rStyle w:val="VerbatimChar"/>
        </w:rPr>
        <w:t xml:space="preserve">python3.11 results/make_fig3.py</w:t>
      </w:r>
      <w:r>
        <w:t xml:space="preserve"> </w:t>
      </w:r>
      <w:r>
        <w:t xml:space="preserve">— regenerates Figure 3 (bootstrap CIs + ablation) from</w:t>
      </w:r>
      <w:r>
        <w:t xml:space="preserve"> </w:t>
      </w:r>
      <w:r>
        <w:rPr>
          <w:rStyle w:val="VerbatimChar"/>
        </w:rPr>
        <w:t xml:space="preserve">retrieval_13c.json</w:t>
      </w:r>
      <w:r>
        <w:t xml:space="preserve">;</w:t>
      </w:r>
      <w:r>
        <w:t xml:space="preserve"> </w:t>
      </w:r>
      <w:r>
        <w:rPr>
          <w:rStyle w:val="VerbatimChar"/>
        </w:rPr>
        <w:t xml:space="preserve">python3.11 results/make_schematic.py</w:t>
      </w:r>
      <w:r>
        <w:t xml:space="preserve"> </w:t>
      </w:r>
      <w:r>
        <w:t xml:space="preserve">— regenerates Figure 1;</w:t>
      </w:r>
      <w:r>
        <w:t xml:space="preserve"> </w:t>
      </w:r>
      <w:r>
        <w:rPr>
          <w:rStyle w:val="VerbatimChar"/>
        </w:rPr>
        <w:t xml:space="preserve">python3.11 results/make_si_figs.py</w:t>
      </w:r>
      <w:r>
        <w:t xml:space="preserve"> </w:t>
      </w:r>
      <w:r>
        <w:t xml:space="preserve">— regenerates the ten SI method figures (S1–S10).</w:t>
      </w:r>
    </w:p>
    <w:p>
      <w:pPr>
        <w:pStyle w:val="FirstParagraph"/>
      </w:pPr>
      <w:r>
        <w:rPr>
          <w:b/>
          <w:bCs/>
        </w:rPr>
        <w:t xml:space="preserve">Test suite.</w:t>
      </w:r>
      <w:r>
        <w:t xml:space="preserve"> </w:t>
      </w:r>
      <w:r>
        <w:t xml:space="preserve">A 46-test suite (all passing) checks the properties proved in §S5 and the</w:t>
      </w:r>
      <w:r>
        <w:t xml:space="preserve"> </w:t>
      </w:r>
      <w:r>
        <w:t xml:space="preserve">Local-Contrast contract: exact self-score, symmetry,</w:t>
      </w:r>
      <w:r>
        <w:t xml:space="preserve"> </w:t>
      </w:r>
      <m:oMath>
        <m:r>
          <m:rPr>
            <m:sty m:val="p"/>
          </m:rPr>
          <m:t>[</m:t>
        </m:r>
        <m:r>
          <m:t>0</m:t>
        </m:r>
        <m:r>
          <m:rPr>
            <m:sty m:val="p"/>
          </m:rPr>
          <m:t>,</m:t>
        </m:r>
        <m:r>
          <m:t>1</m:t>
        </m:r>
        <m:r>
          <m:rPr>
            <m:sty m:val="p"/>
          </m:rPr>
          <m:t>]</m:t>
        </m:r>
      </m:oMath>
      <w:r>
        <w:t xml:space="preserve"> </w:t>
      </w:r>
      <w:r>
        <w:t xml:space="preserve">range, monotonic drift response,</w:t>
      </w:r>
      <w:r>
        <w:t xml:space="preserve"> </w:t>
      </w:r>
      <w:r>
        <w:t xml:space="preserve">global intensity-scale invariance, baseline/noise related-above-unrelated ordering, half-step grid</w:t>
      </w:r>
      <w:r>
        <w:t xml:space="preserve"> </w:t>
      </w:r>
      <w:r>
        <w:t xml:space="preserve">invariance and explicit invalid-input errors. Existing regressions cover mean-centring, the</w:t>
      </w:r>
      <w:r>
        <w:t xml:space="preserve"> </w:t>
      </w:r>
      <w:r>
        <w:rPr>
          <w:rStyle w:val="VerbatimChar"/>
        </w:rPr>
        <w:t xml:space="preserve">abs</w:t>
      </w:r>
      <w:r>
        <w:t xml:space="preserve"> </w:t>
      </w:r>
      <w:r>
        <w:t xml:space="preserve">baseline and the duplicate-pair guard. Run with</w:t>
      </w:r>
      <w:r>
        <w:t xml:space="preserve"> </w:t>
      </w:r>
      <w:r>
        <w:rPr>
          <w:rStyle w:val="VerbatimChar"/>
        </w:rPr>
        <w:t xml:space="preserve">python3.11 -m pytest</w:t>
      </w:r>
      <w:r>
        <w:t xml:space="preserve"> </w:t>
      </w:r>
      <w:r>
        <w:t xml:space="preserve">(files under</w:t>
      </w:r>
      <w:r>
        <w:t xml:space="preserve"> </w:t>
      </w:r>
      <w:r>
        <w:rPr>
          <w:rStyle w:val="VerbatimChar"/>
        </w:rPr>
        <w:t xml:space="preserve">tests/</w:t>
      </w:r>
      <w:r>
        <w:t xml:space="preserve">:</w:t>
      </w:r>
      <w:r>
        <w:t xml:space="preserve"> </w:t>
      </w:r>
      <w:r>
        <w:rPr>
          <w:rStyle w:val="VerbatimChar"/>
        </w:rPr>
        <w:t xml:space="preserve">test_hsqc_lcc.py</w:t>
      </w:r>
      <w:r>
        <w:t xml:space="preserve">,</w:t>
      </w:r>
      <w:r>
        <w:t xml:space="preserve"> </w:t>
      </w:r>
      <w:r>
        <w:rPr>
          <w:rStyle w:val="VerbatimChar"/>
        </w:rPr>
        <w:t xml:space="preserve">test_hsqc_methods.py</w:t>
      </w:r>
      <w:r>
        <w:t xml:space="preserve">,</w:t>
      </w:r>
      <w:r>
        <w:t xml:space="preserve"> </w:t>
      </w:r>
      <w:r>
        <w:rPr>
          <w:rStyle w:val="VerbatimChar"/>
        </w:rPr>
        <w:t xml:space="preserve">test_hsqc_similarity.py</w:t>
      </w:r>
      <w:r>
        <w:t xml:space="preserve">,</w:t>
      </w:r>
      <w:r>
        <w:t xml:space="preserve"> </w:t>
      </w:r>
      <w:r>
        <w:rPr>
          <w:rStyle w:val="VerbatimChar"/>
        </w:rPr>
        <w:t xml:space="preserve">test_bench_13c.py</w:t>
      </w:r>
      <w:r>
        <w:t xml:space="preserve">,</w:t>
      </w:r>
      <w:r>
        <w:t xml:space="preserve"> </w:t>
      </w:r>
      <w:r>
        <w:rPr>
          <w:rStyle w:val="VerbatimChar"/>
        </w:rPr>
        <w:t xml:space="preserve">test_bench_nhsqc.py</w:t>
      </w:r>
      <w:r>
        <w:t xml:space="preserve">,</w:t>
      </w:r>
      <w:r>
        <w:t xml:space="preserve"> </w:t>
      </w:r>
      <w:r>
        <w:rPr>
          <w:rStyle w:val="VerbatimChar"/>
        </w:rPr>
        <w:t xml:space="preserve">test_bench_retrieval.py</w:t>
      </w:r>
      <w:r>
        <w:t xml:space="preserve">,</w:t>
      </w:r>
      <w:r>
        <w:t xml:space="preserve"> </w:t>
      </w:r>
      <w:r>
        <w:rPr>
          <w:rStyle w:val="VerbatimChar"/>
        </w:rPr>
        <w:t xml:space="preserve">test_spectrum_similarity.py</w:t>
      </w:r>
      <w:r>
        <w:t xml:space="preserve">).</w:t>
      </w:r>
    </w:p>
    <w:bookmarkEnd w:id="52"/>
    <w:bookmarkStart w:id="53" w:name="Xedd169027239c4d8d84816ad5a074b5a389d063"/>
    <w:p>
      <w:pPr>
        <w:pStyle w:val="Heading2"/>
      </w:pPr>
      <w:r>
        <w:t xml:space="preserve">S13 Statistical strength: bootstrap CIs and a retrieval test</w:t>
      </w:r>
    </w:p>
    <w:p>
      <w:pPr>
        <w:pStyle w:val="FirstParagraph"/>
      </w:pPr>
      <w:r>
        <w:t xml:space="preserve">These metrics run on the public sparse</w:t>
      </w:r>
      <w:r>
        <w:t xml:space="preserve"> </w:t>
      </w:r>
      <m:oMath>
        <m:sSup>
          <m:e>
            <m:r>
              <m:t>​</m:t>
            </m:r>
          </m:e>
          <m:sup>
            <m:r>
              <m:t>1</m:t>
            </m:r>
          </m:sup>
        </m:sSup>
      </m:oMath>
      <w:r>
        <w:t xml:space="preserve">H–</w:t>
      </w:r>
      <m:oMath>
        <m:sSup>
          <m:e>
            <m:r>
              <m:t>​</m:t>
            </m:r>
          </m:e>
          <m:sup>
            <m:r>
              <m:t>13</m:t>
            </m:r>
          </m:sup>
        </m:sSup>
      </m:oMath>
      <w:r>
        <w:t xml:space="preserve">C data and are reproducible with</w:t>
      </w:r>
      <w:r>
        <w:t xml:space="preserve"> </w:t>
      </w:r>
      <w:r>
        <w:rPr>
          <w:rStyle w:val="VerbatimChar"/>
        </w:rPr>
        <w:t xml:space="preserve">python3.11 bench_retrieval.py</w:t>
      </w:r>
      <w:r>
        <w:t xml:space="preserve"> </w:t>
      </w:r>
      <w:r>
        <w:t xml:space="preserve">(writes</w:t>
      </w:r>
      <w:r>
        <w:t xml:space="preserve"> </w:t>
      </w:r>
      <w:r>
        <w:rPr>
          <w:rStyle w:val="VerbatimChar"/>
        </w:rPr>
        <w:t xml:space="preserve">results/retrieval_13c.json</w:t>
      </w:r>
      <w:r>
        <w:t xml:space="preserve">).</w:t>
      </w:r>
    </w:p>
    <w:p>
      <w:pPr>
        <w:pStyle w:val="BodyText"/>
      </w:pPr>
      <w:r>
        <w:rPr>
          <w:b/>
          <w:bCs/>
        </w:rPr>
        <w:t xml:space="preserve">Bootstrap confidence intervals and operating metrics.</w:t>
      </w:r>
      <w:r>
        <w:t xml:space="preserve"> </w:t>
      </w:r>
      <w:r>
        <w:t xml:space="preserve">The sparse-regime separation is</w:t>
      </w:r>
      <w:r>
        <w:t xml:space="preserve"> </w:t>
      </w:r>
      <w:r>
        <w:t xml:space="preserve">resampled</w:t>
      </w:r>
      <w:r>
        <w:t xml:space="preserve"> </w:t>
      </w:r>
      <m:oMath>
        <m:sSup>
          <m:e>
            <m:r>
              <m:t>10</m:t>
            </m:r>
          </m:e>
          <m:sup>
            <m:r>
              <m:t>4</m:t>
            </m:r>
          </m:sup>
        </m:sSup>
      </m:oMath>
      <w:r>
        <w:t xml:space="preserve"> </w:t>
      </w:r>
      <w:r>
        <w:t xml:space="preserve">times at the level of the five</w:t>
      </w:r>
      <w:r>
        <w:t xml:space="preserve"> </w:t>
      </w:r>
      <w:r>
        <w:rPr>
          <w:b/>
          <w:bCs/>
        </w:rPr>
        <w:t xml:space="preserve">compounds</w:t>
      </w:r>
      <w:r>
        <w:t xml:space="preserve"> </w:t>
      </w:r>
      <w:r>
        <w:t xml:space="preserve">(whole compounds rather than the 45</w:t>
      </w:r>
      <w:r>
        <w:t xml:space="preserve"> </w:t>
      </w:r>
      <w:r>
        <w:t xml:space="preserve">pairs), so the dependence induced by each spectrum recurring in eight different-compound pairs is</w:t>
      </w:r>
      <w:r>
        <w:t xml:space="preserve"> </w:t>
      </w:r>
      <w:r>
        <w:t xml:space="preserve">respected [24]. The cluster 95% intervals are wide: STCC 0.508–0.982 and Local Contrast</w:t>
      </w:r>
      <w:r>
        <w:t xml:space="preserve"> </w:t>
      </w:r>
      <w:r>
        <w:t xml:space="preserve">0.623–0.985. A paired compound-cluster bootstrap, which evaluates both methods on the same</w:t>
      </w:r>
      <w:r>
        <w:t xml:space="preserve"> </w:t>
      </w:r>
      <w:r>
        <w:t xml:space="preserve">resamples, gives Local Contrast − STCC</w:t>
      </w:r>
      <w:r>
        <w:t xml:space="preserve"> </w:t>
      </w:r>
      <m:oMath>
        <m:r>
          <m:rPr>
            <m:sty m:val="p"/>
          </m:rPr>
          <m:t>Δ</m:t>
        </m:r>
        <m:r>
          <m:rPr>
            <m:sty m:val="p"/>
          </m:rPr>
          <m:t>=</m:t>
        </m:r>
        <m:r>
          <m:t>0.0757</m:t>
        </m:r>
      </m:oMath>
      <w:r>
        <w:t xml:space="preserve"> </w:t>
      </w:r>
      <w:r>
        <w:t xml:space="preserve">(95% CI 0.0014–0.2057,</w:t>
      </w:r>
      <w:r>
        <w:t xml:space="preserve"> </w:t>
      </w:r>
      <m:oMath>
        <m:r>
          <m:t>P</m:t>
        </m:r>
        <m:r>
          <m:rPr>
            <m:sty m:val="p"/>
          </m:rPr>
          <m:t>(</m:t>
        </m:r>
        <m:r>
          <m:rPr>
            <m:sty m:val="p"/>
          </m:rPr>
          <m:t>Δ</m:t>
        </m:r>
        <m:r>
          <m:rPr>
            <m:sty m:val="p"/>
          </m:rPr>
          <m:t>≤</m:t>
        </m:r>
        <m:r>
          <m:t>0</m:t>
        </m:r>
        <m:r>
          <m:rPr>
            <m:sty m:val="p"/>
          </m:rPr>
          <m:t>)</m:t>
        </m:r>
        <m:r>
          <m:rPr>
            <m:sty m:val="p"/>
          </m:rPr>
          <m:t>=</m:t>
        </m:r>
        <m:r>
          <m:t>0.0067</m:t>
        </m:r>
      </m:oMath>
      <w:r>
        <w:t xml:space="preserve">).</w:t>
      </w:r>
    </w:p>
    <w:p>
      <w:pPr>
        <w:pStyle w:val="BodyText"/>
      </w:pPr>
      <w:r>
        <w:t xml:space="preserve">The promotion decision is based on held-out operation, not separation alone. For each held-out</w:t>
      </w:r>
      <w:r>
        <w:t xml:space="preserve"> </w:t>
      </w:r>
      <w:r>
        <w:t xml:space="preserve">compound, a threshold minimizing balanced error is learned from the remaining compounds and then</w:t>
      </w:r>
      <w:r>
        <w:t xml:space="preserve"> </w:t>
      </w:r>
      <w:r>
        <w:t xml:space="preserve">applied to every pair involving the held-out compound. Both STCC and Local Contrast give AUROC and</w:t>
      </w:r>
      <w:r>
        <w:t xml:space="preserve"> </w:t>
      </w:r>
      <w:r>
        <w:t xml:space="preserve">AUPRC of 1.00, top-1 and MRR of 1.00, zero leave-one-compound-out error and zero rejection FPR and</w:t>
      </w:r>
      <w:r>
        <w:t xml:space="preserve"> </w:t>
      </w:r>
      <w:r>
        <w:t xml:space="preserve">false-negative rate. The candidate therefore improves descriptive separation on these five</w:t>
      </w:r>
      <w:r>
        <w:t xml:space="preserve"> </w:t>
      </w:r>
      <w:r>
        <w:t xml:space="preserve">compounds without improving the held-out decision boundary. It remains experimental.</w:t>
      </w:r>
    </w:p>
    <w:p>
      <w:pPr>
        <w:pStyle w:val="BodyText"/>
      </w:pPr>
      <w:r>
        <w:rPr>
          <w:b/>
          <w:bCs/>
        </w:rPr>
        <w:t xml:space="preserve">Table S9.</w:t>
      </w:r>
      <w:r>
        <w:t xml:space="preserve"> </w:t>
      </w:r>
      <w:r>
        <w:t xml:space="preserve">Current stick-input sparse</w:t>
      </w:r>
      <w:r>
        <w:t xml:space="preserve"> </w:t>
      </w:r>
      <m:oMath>
        <m:sSup>
          <m:e>
            <m:r>
              <m:t>​</m:t>
            </m:r>
          </m:e>
          <m:sup>
            <m:r>
              <m:t>1</m:t>
            </m:r>
          </m:sup>
        </m:sSup>
      </m:oMath>
      <w:r>
        <w:t xml:space="preserve">H–</w:t>
      </w:r>
      <m:oMath>
        <m:sSup>
          <m:e>
            <m:r>
              <m:t>​</m:t>
            </m:r>
          </m:e>
          <m:sup>
            <m:r>
              <m:t>13</m:t>
            </m:r>
          </m:sup>
        </m:sSup>
      </m:oMath>
      <w:r>
        <w:t xml:space="preserve">C evaluation. The CI is the</w:t>
      </w:r>
      <w:r>
        <w:t xml:space="preserve"> </w:t>
      </w:r>
      <w:r>
        <w:t xml:space="preserve">compound-cluster interval; top-1 and MRR [25] use the 10-spectrum retrieval library.</w:t>
      </w:r>
    </w:p>
    <w:tbl>
      <w:tblPr>
        <w:tblStyle w:val="Table"/>
        <w:tblW w:type="pct" w:w="5000"/>
        <w:tblLayout w:type="fixed"/>
        <w:tblLook w:firstRow="1" w:lastRow="0" w:firstColumn="0" w:lastColumn="0" w:noHBand="0" w:noVBand="0" w:val="0020"/>
      </w:tblPr>
      <w:tblGrid>
        <w:gridCol w:w="1033"/>
        <w:gridCol w:w="1721"/>
        <w:gridCol w:w="1721"/>
        <w:gridCol w:w="1721"/>
        <w:gridCol w:w="1721"/>
      </w:tblGrid>
      <w:tr>
        <w:trPr>
          <w:tblHeader w:val="on"/>
        </w:trPr>
        <w:tc>
          <w:tcPr/>
          <w:p>
            <w:pPr>
              <w:pStyle w:val="Compact"/>
            </w:pPr>
            <w:r>
              <w:t xml:space="preserve">method</w:t>
            </w:r>
          </w:p>
        </w:tc>
        <w:tc>
          <w:tcPr/>
          <w:p>
            <w:pPr>
              <w:pStyle w:val="Compact"/>
              <w:jc w:val="center"/>
            </w:pPr>
            <w:r>
              <w:t xml:space="preserve">separation</w:t>
            </w:r>
          </w:p>
        </w:tc>
        <w:tc>
          <w:tcPr/>
          <w:p>
            <w:pPr>
              <w:pStyle w:val="Compact"/>
              <w:jc w:val="center"/>
            </w:pPr>
            <w:r>
              <w:t xml:space="preserve">cluster 95% CI</w:t>
            </w:r>
          </w:p>
        </w:tc>
        <w:tc>
          <w:tcPr/>
          <w:p>
            <w:pPr>
              <w:pStyle w:val="Compact"/>
              <w:jc w:val="center"/>
            </w:pPr>
            <w:r>
              <w:t xml:space="preserve">AUROC</w:t>
            </w:r>
          </w:p>
        </w:tc>
        <w:tc>
          <w:tcPr/>
          <w:p>
            <w:pPr>
              <w:pStyle w:val="Compact"/>
              <w:jc w:val="center"/>
            </w:pPr>
            <w:r>
              <w:t xml:space="preserve">AUPRC</w:t>
            </w:r>
          </w:p>
        </w:tc>
      </w:tr>
      <w:tr>
        <w:tc>
          <w:tcPr/>
          <w:p>
            <w:pPr>
              <w:pStyle w:val="Compact"/>
            </w:pPr>
            <w:r>
              <w:rPr>
                <w:b/>
                <w:bCs/>
              </w:rPr>
              <w:t xml:space="preserve">STCC (default)</w:t>
            </w:r>
          </w:p>
        </w:tc>
        <w:tc>
          <w:tcPr/>
          <w:p>
            <w:pPr>
              <w:pStyle w:val="Compact"/>
              <w:jc w:val="center"/>
            </w:pPr>
            <w:r>
              <w:t xml:space="preserve">0.745</w:t>
            </w:r>
          </w:p>
        </w:tc>
        <w:tc>
          <w:tcPr/>
          <w:p>
            <w:pPr>
              <w:pStyle w:val="Compact"/>
              <w:jc w:val="center"/>
            </w:pPr>
            <w:r>
              <w:t xml:space="preserve">0.508–0.982</w:t>
            </w:r>
          </w:p>
        </w:tc>
        <w:tc>
          <w:tcPr/>
          <w:p>
            <w:pPr>
              <w:pStyle w:val="Compact"/>
              <w:jc w:val="center"/>
            </w:pPr>
            <w:r>
              <w:t xml:space="preserve">1.00</w:t>
            </w:r>
          </w:p>
        </w:tc>
        <w:tc>
          <w:tcPr/>
          <w:p>
            <w:pPr>
              <w:pStyle w:val="Compact"/>
              <w:jc w:val="center"/>
            </w:pPr>
            <w:r>
              <w:t xml:space="preserve">1.00</w:t>
            </w:r>
          </w:p>
        </w:tc>
      </w:tr>
      <w:tr>
        <w:tc>
          <w:tcPr/>
          <w:p>
            <w:pPr>
              <w:pStyle w:val="Compact"/>
            </w:pPr>
            <w:r>
              <w:rPr>
                <w:b/>
                <w:bCs/>
              </w:rPr>
              <w:t xml:space="preserve">Local Contrast (experimental)</w:t>
            </w:r>
          </w:p>
        </w:tc>
        <w:tc>
          <w:tcPr/>
          <w:p>
            <w:pPr>
              <w:pStyle w:val="Compact"/>
              <w:jc w:val="center"/>
            </w:pPr>
            <w:r>
              <w:rPr>
                <w:b/>
                <w:bCs/>
              </w:rPr>
              <w:t xml:space="preserve">0.820</w:t>
            </w:r>
          </w:p>
        </w:tc>
        <w:tc>
          <w:tcPr/>
          <w:p>
            <w:pPr>
              <w:pStyle w:val="Compact"/>
              <w:jc w:val="center"/>
            </w:pPr>
            <w:r>
              <w:t xml:space="preserve">0.623–0.985</w:t>
            </w:r>
          </w:p>
        </w:tc>
        <w:tc>
          <w:tcPr/>
          <w:p>
            <w:pPr>
              <w:pStyle w:val="Compact"/>
              <w:jc w:val="center"/>
            </w:pPr>
            <w:r>
              <w:t xml:space="preserve">1.00</w:t>
            </w:r>
          </w:p>
        </w:tc>
        <w:tc>
          <w:tcPr/>
          <w:p>
            <w:pPr>
              <w:pStyle w:val="Compact"/>
              <w:jc w:val="center"/>
            </w:pPr>
            <w:r>
              <w:t xml:space="preserve">1.00</w:t>
            </w:r>
          </w:p>
        </w:tc>
      </w:tr>
    </w:tbl>
    <w:p>
      <w:pPr>
        <w:pStyle w:val="BodyText"/>
      </w:pPr>
      <w:r>
        <w:rPr>
          <w:b/>
          <w:bCs/>
        </w:rPr>
        <w:t xml:space="preserve">Table S9 (continued).</w:t>
      </w:r>
      <w:r>
        <w:t xml:space="preserve"> </w:t>
      </w:r>
      <w:r>
        <w:t xml:space="preserve">Held-out and retrieval operating metrics.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method</w:t>
            </w:r>
          </w:p>
        </w:tc>
        <w:tc>
          <w:tcPr/>
          <w:p>
            <w:pPr>
              <w:pStyle w:val="Compact"/>
              <w:jc w:val="center"/>
            </w:pPr>
            <w:r>
              <w:t xml:space="preserve">LOO error</w:t>
            </w:r>
          </w:p>
        </w:tc>
        <w:tc>
          <w:tcPr/>
          <w:p>
            <w:pPr>
              <w:pStyle w:val="Compact"/>
              <w:jc w:val="center"/>
            </w:pPr>
            <w:r>
              <w:t xml:space="preserve">rejection FPR</w:t>
            </w:r>
          </w:p>
        </w:tc>
        <w:tc>
          <w:tcPr/>
          <w:p>
            <w:pPr>
              <w:pStyle w:val="Compact"/>
              <w:jc w:val="center"/>
            </w:pPr>
            <w:r>
              <w:t xml:space="preserve">top-1</w:t>
            </w:r>
          </w:p>
        </w:tc>
        <w:tc>
          <w:tcPr/>
          <w:p>
            <w:pPr>
              <w:pStyle w:val="Compact"/>
              <w:jc w:val="center"/>
            </w:pPr>
            <w:r>
              <w:t xml:space="preserve">MRR</w:t>
            </w:r>
          </w:p>
        </w:tc>
      </w:tr>
      <w:tr>
        <w:tc>
          <w:tcPr/>
          <w:p>
            <w:pPr>
              <w:pStyle w:val="Compact"/>
            </w:pPr>
            <w:r>
              <w:rPr>
                <w:b/>
                <w:bCs/>
              </w:rPr>
              <w:t xml:space="preserve">STCC (default)</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1.00</w:t>
            </w:r>
          </w:p>
        </w:tc>
        <w:tc>
          <w:tcPr/>
          <w:p>
            <w:pPr>
              <w:pStyle w:val="Compact"/>
              <w:jc w:val="center"/>
            </w:pPr>
            <w:r>
              <w:t xml:space="preserve">1.00</w:t>
            </w:r>
          </w:p>
        </w:tc>
      </w:tr>
      <w:tr>
        <w:tc>
          <w:tcPr/>
          <w:p>
            <w:pPr>
              <w:pStyle w:val="Compact"/>
            </w:pPr>
            <w:r>
              <w:rPr>
                <w:b/>
                <w:bCs/>
              </w:rPr>
              <w:t xml:space="preserve">Local Contrast (experimental)</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1.00</w:t>
            </w:r>
          </w:p>
        </w:tc>
        <w:tc>
          <w:tcPr/>
          <w:p>
            <w:pPr>
              <w:pStyle w:val="Compact"/>
              <w:jc w:val="center"/>
            </w:pPr>
            <w:r>
              <w:t xml:space="preserve">1.00</w:t>
            </w:r>
          </w:p>
        </w:tc>
      </w:tr>
    </w:tbl>
    <w:p>
      <w:pPr>
        <w:pStyle w:val="BodyText"/>
      </w:pPr>
      <w:r>
        <w:rPr>
          <w:b/>
          <w:bCs/>
        </w:rPr>
        <w:t xml:space="preserve">Retrieval (dereplication).</w:t>
      </w:r>
      <w:r>
        <w:t xml:space="preserve"> </w:t>
      </w:r>
      <w:r>
        <w:t xml:space="preserve">Cast as a library search — for each of the 10 spectra, rank the</w:t>
      </w:r>
      <w:r>
        <w:t xml:space="preserve"> </w:t>
      </w:r>
      <w:r>
        <w:t xml:space="preserve">other 9 by similarity and ask whether the true same-compound partner is retrieved first —</w:t>
      </w:r>
      <w:r>
        <w:t xml:space="preserve"> </w:t>
      </w:r>
      <w:r>
        <w:rPr>
          <w:b/>
          <w:bCs/>
        </w:rPr>
        <w:t xml:space="preserve">every</w:t>
      </w:r>
      <w:r>
        <w:t xml:space="preserve"> </w:t>
      </w:r>
      <w:r>
        <w:t xml:space="preserve">method achieves top-1 = 1.00 and MRR = 1.00. This is an honest null result: on a small, clean</w:t>
      </w:r>
      <w:r>
        <w:t xml:space="preserve"> </w:t>
      </w:r>
      <w:r>
        <w:t xml:space="preserve">library the correct partner is always the single most-similar spectrum, even for the saturating</w:t>
      </w:r>
      <w:r>
        <w:t xml:space="preserve"> </w:t>
      </w:r>
      <w:r>
        <w:t xml:space="preserve">tree/NN methods whose</w:t>
      </w:r>
      <w:r>
        <w:t xml:space="preserve"> </w:t>
      </w:r>
      <w:r>
        <w:rPr>
          <w:i/>
          <w:iCs/>
        </w:rPr>
        <w:t xml:space="preserve">different</w:t>
      </w:r>
      <w:r>
        <w:t xml:space="preserve">-compound scores are also high. Retrieval accuracy therefore does</w:t>
      </w:r>
      <w:r>
        <w:t xml:space="preserve"> </w:t>
      </w:r>
      <w:r>
        <w:rPr>
          <w:b/>
          <w:bCs/>
        </w:rPr>
        <w:t xml:space="preserve">not</w:t>
      </w:r>
      <w:r>
        <w:t xml:space="preserve"> </w:t>
      </w:r>
      <w:r>
        <w:t xml:space="preserve">discriminate the methods at this scale; the discriminating quantity is the thresholded</w:t>
      </w:r>
      <w:r>
        <w:t xml:space="preserve"> </w:t>
      </w:r>
      <w:r>
        <w:t xml:space="preserve">same/different decision (separation and margin), which is what would matter against a large decoy</w:t>
      </w:r>
      <w:r>
        <w:t xml:space="preserve"> </w:t>
      </w:r>
      <w:r>
        <w:t xml:space="preserve">library or with a rejection threshold. The held-out threshold test above is also tied for STCC and</w:t>
      </w:r>
      <w:r>
        <w:t xml:space="preserve"> </w:t>
      </w:r>
      <w:r>
        <w:t xml:space="preserve">Local Contrast; a larger, harder library is required to test whether the descriptive gap becomes</w:t>
      </w:r>
      <w:r>
        <w:t xml:space="preserve"> </w:t>
      </w:r>
      <w:r>
        <w:t xml:space="preserve">an operating advantage. We report the null result rather than omit an experiment</w:t>
      </w:r>
      <w:r>
        <w:t xml:space="preserve"> </w:t>
      </w:r>
      <w:r>
        <w:t xml:space="preserve">that did not favour the proposed method. A prospective, at-scale dereplication study [26,27] against</w:t>
      </w:r>
      <w:r>
        <w:t xml:space="preserve"> </w:t>
      </w:r>
      <w:r>
        <w:t xml:space="preserve">a community library (BMRB [28], HMDB [29], NMRShiftDB [30]) is the natural way to turn this into a</w:t>
      </w:r>
      <w:r>
        <w:t xml:space="preserve"> </w:t>
      </w:r>
      <w:r>
        <w:t xml:space="preserve">discriminating chemical application; STCC provides the scoring primitive, complementary to the</w:t>
      </w:r>
      <w:r>
        <w:t xml:space="preserve"> </w:t>
      </w:r>
      <w:r>
        <w:t xml:space="preserve">multivariate workflows of NMR-based profiling [31]. A second, equally natural application is the</w:t>
      </w:r>
      <w:r>
        <w:t xml:space="preserve"> </w:t>
      </w:r>
      <w:r>
        <w:rPr>
          <w:b/>
          <w:bCs/>
        </w:rPr>
        <w:t xml:space="preserve">higher-order-structure (HOS) comparability</w:t>
      </w:r>
      <w:r>
        <w:t xml:space="preserve"> </w:t>
      </w:r>
      <w:r>
        <w:t xml:space="preserve">of protein biotherapeutics — biosimilar-versus-</w:t>
      </w:r>
      <w:r>
        <w:t xml:space="preserve"> </w:t>
      </w:r>
      <w:r>
        <w:t xml:space="preserve">originator, or before/after a formulation or process change — where the fold is confirmed by</w:t>
      </w:r>
      <w:r>
        <w:t xml:space="preserve"> </w:t>
      </w:r>
      <w:r>
        <w:t xml:space="preserve">matching 2D-HSQC fingerprints and where 2D-NMR is an established, high-precision readout</w:t>
      </w:r>
      <w:r>
        <w:t xml:space="preserve"> </w:t>
      </w:r>
      <w:r>
        <w:t xml:space="preserve">[32–37]. The dense-protein benchmark (§S8) exercises the distinct-fold end of that task — cleanly</w:t>
      </w:r>
      <w:r>
        <w:t xml:space="preserve"> </w:t>
      </w:r>
      <w:r>
        <w:t xml:space="preserve">separating fingerprints of different folds and tracking a titration smoothly — but not the subtle</w:t>
      </w:r>
      <w:r>
        <w:t xml:space="preserve"> </w:t>
      </w:r>
      <w:r>
        <w:t xml:space="preserve">originator-versus-biosimilar discrimination, which falls in the intermediate-score regime and is</w:t>
      </w:r>
      <w:r>
        <w:t xml:space="preserve"> </w:t>
      </w:r>
      <w:r>
        <w:t xml:space="preserve">left to future work (main text).</w:t>
      </w:r>
    </w:p>
    <w:bookmarkEnd w:id="53"/>
    <w:bookmarkStart w:id="54" w:name="s14-supporting-references"/>
    <w:p>
      <w:pPr>
        <w:pStyle w:val="Heading2"/>
      </w:pPr>
      <w:r>
        <w:t xml:space="preserve">S14 Supporting references</w:t>
      </w:r>
    </w:p>
    <w:p>
      <w:pPr>
        <w:pStyle w:val="Compact"/>
        <w:numPr>
          <w:ilvl w:val="0"/>
          <w:numId w:val="1003"/>
        </w:numPr>
      </w:pPr>
      <w:r>
        <w:t xml:space="preserve">W. Willker, D. Leibfritz, R. Kerssebaum, W. Bermel,</w:t>
      </w:r>
      <w:r>
        <w:t xml:space="preserve"> </w:t>
      </w:r>
      <w:r>
        <w:rPr>
          <w:i/>
          <w:iCs/>
        </w:rPr>
        <w:t xml:space="preserve">Gradient selection in inverse</w:t>
      </w:r>
      <w:r>
        <w:rPr>
          <w:i/>
          <w:iCs/>
        </w:rPr>
        <w:t xml:space="preserve"> </w:t>
      </w:r>
      <w:r>
        <w:rPr>
          <w:i/>
          <w:iCs/>
        </w:rPr>
        <w:t xml:space="preserve">heteronuclear correlation spectroscopy</w:t>
      </w:r>
      <w:r>
        <w:t xml:space="preserve">, Magn. Reson. Chem.</w:t>
      </w:r>
      <w:r>
        <w:t xml:space="preserve"> </w:t>
      </w:r>
      <w:r>
        <w:rPr>
          <w:b/>
          <w:bCs/>
        </w:rPr>
        <w:t xml:space="preserve">1993</w:t>
      </w:r>
      <w:r>
        <w:t xml:space="preserve">,</w:t>
      </w:r>
      <w:r>
        <w:t xml:space="preserve"> </w:t>
      </w:r>
      <w:r>
        <w:rPr>
          <w:i/>
          <w:iCs/>
        </w:rPr>
        <w:t xml:space="preserve">31</w:t>
      </w:r>
      <w:r>
        <w:t xml:space="preserve">, 287–292.</w:t>
      </w:r>
      <w:r>
        <w:t xml:space="preserve"> </w:t>
      </w:r>
      <w:r>
        <w:t xml:space="preserve">doi:10.1002/mrc.1260310315.</w:t>
      </w:r>
    </w:p>
    <w:p>
      <w:pPr>
        <w:pStyle w:val="Compact"/>
        <w:numPr>
          <w:ilvl w:val="0"/>
          <w:numId w:val="1003"/>
        </w:numPr>
      </w:pPr>
      <w:r>
        <w:t xml:space="preserve">L. Bodis, A. Ross, J. Bodis, E. Pretsch,</w:t>
      </w:r>
      <w:r>
        <w:t xml:space="preserve"> </w:t>
      </w:r>
      <w:r>
        <w:rPr>
          <w:i/>
          <w:iCs/>
        </w:rPr>
        <w:t xml:space="preserve">Automatic compatibility tests of HSQC NMR spectra</w:t>
      </w:r>
      <w:r>
        <w:rPr>
          <w:i/>
          <w:iCs/>
        </w:rPr>
        <w:t xml:space="preserve"> </w:t>
      </w:r>
      <w:r>
        <w:rPr>
          <w:i/>
          <w:iCs/>
        </w:rPr>
        <w:t xml:space="preserve">with proposed structures of chemical compounds</w:t>
      </w:r>
      <w:r>
        <w:t xml:space="preserve">, Talanta</w:t>
      </w:r>
      <w:r>
        <w:t xml:space="preserve"> </w:t>
      </w:r>
      <w:r>
        <w:rPr>
          <w:b/>
          <w:bCs/>
        </w:rPr>
        <w:t xml:space="preserve">2009</w:t>
      </w:r>
      <w:r>
        <w:t xml:space="preserve">,</w:t>
      </w:r>
      <w:r>
        <w:t xml:space="preserve"> </w:t>
      </w:r>
      <w:r>
        <w:rPr>
          <w:i/>
          <w:iCs/>
        </w:rPr>
        <w:t xml:space="preserve">79</w:t>
      </w:r>
      <w:r>
        <w:t xml:space="preserve">, 1379–1386.</w:t>
      </w:r>
      <w:r>
        <w:t xml:space="preserve"> </w:t>
      </w:r>
      <w:r>
        <w:t xml:space="preserve">doi:10.1016/j.talanta.2009.06.017.</w:t>
      </w:r>
    </w:p>
    <w:p>
      <w:pPr>
        <w:pStyle w:val="Compact"/>
        <w:numPr>
          <w:ilvl w:val="0"/>
          <w:numId w:val="1003"/>
        </w:numPr>
      </w:pPr>
      <w:r>
        <w:t xml:space="preserve">L. Bodis, A. Ross, E. Pretsch,</w:t>
      </w:r>
      <w:r>
        <w:t xml:space="preserve"> </w:t>
      </w:r>
      <w:r>
        <w:rPr>
          <w:i/>
          <w:iCs/>
        </w:rPr>
        <w:t xml:space="preserve">A novel spectra similarity measure</w:t>
      </w:r>
      <w:r>
        <w:t xml:space="preserve">, Chemometr. Intell. Lab.</w:t>
      </w:r>
      <w:r>
        <w:t xml:space="preserve"> </w:t>
      </w:r>
      <w:r>
        <w:t xml:space="preserve">Syst.</w:t>
      </w:r>
      <w:r>
        <w:t xml:space="preserve"> </w:t>
      </w:r>
      <w:r>
        <w:rPr>
          <w:b/>
          <w:bCs/>
        </w:rPr>
        <w:t xml:space="preserve">2007</w:t>
      </w:r>
      <w:r>
        <w:t xml:space="preserve">,</w:t>
      </w:r>
      <w:r>
        <w:t xml:space="preserve"> </w:t>
      </w:r>
      <w:r>
        <w:rPr>
          <w:i/>
          <w:iCs/>
        </w:rPr>
        <w:t xml:space="preserve">85</w:t>
      </w:r>
      <w:r>
        <w:t xml:space="preserve">, 1–8. doi:10.1016/j.chemolab.2005.10.002.</w:t>
      </w:r>
    </w:p>
    <w:p>
      <w:pPr>
        <w:pStyle w:val="Compact"/>
        <w:numPr>
          <w:ilvl w:val="0"/>
          <w:numId w:val="1003"/>
        </w:numPr>
      </w:pPr>
      <w:r>
        <w:t xml:space="preserve">A. Craig, O. Cloarec, E. Holmes, J. K. Nicholson, J. C. Lindon,</w:t>
      </w:r>
      <w:r>
        <w:t xml:space="preserve"> </w:t>
      </w:r>
      <w:r>
        <w:rPr>
          <w:i/>
          <w:iCs/>
        </w:rPr>
        <w:t xml:space="preserve">Scaling and normalization</w:t>
      </w:r>
      <w:r>
        <w:rPr>
          <w:i/>
          <w:iCs/>
        </w:rPr>
        <w:t xml:space="preserve"> </w:t>
      </w:r>
      <w:r>
        <w:rPr>
          <w:i/>
          <w:iCs/>
        </w:rPr>
        <w:t xml:space="preserve">effects in NMR spectroscopic metabonomic data sets</w:t>
      </w:r>
      <w:r>
        <w:t xml:space="preserve">, Anal. Chem.</w:t>
      </w:r>
      <w:r>
        <w:t xml:space="preserve"> </w:t>
      </w:r>
      <w:r>
        <w:rPr>
          <w:b/>
          <w:bCs/>
        </w:rPr>
        <w:t xml:space="preserve">2006</w:t>
      </w:r>
      <w:r>
        <w:t xml:space="preserve">,</w:t>
      </w:r>
      <w:r>
        <w:t xml:space="preserve"> </w:t>
      </w:r>
      <w:r>
        <w:rPr>
          <w:i/>
          <w:iCs/>
        </w:rPr>
        <w:t xml:space="preserve">78</w:t>
      </w:r>
      <w:r>
        <w:t xml:space="preserve">, 2262–2267.</w:t>
      </w:r>
      <w:r>
        <w:t xml:space="preserve"> </w:t>
      </w:r>
      <w:r>
        <w:t xml:space="preserve">doi:10.1021/ac0519312.</w:t>
      </w:r>
    </w:p>
    <w:p>
      <w:pPr>
        <w:pStyle w:val="Compact"/>
        <w:numPr>
          <w:ilvl w:val="0"/>
          <w:numId w:val="1003"/>
        </w:numPr>
      </w:pPr>
      <w:r>
        <w:t xml:space="preserve">F. Dieterle, A. Ross, G. Schlotterbeck, H. Senn,</w:t>
      </w:r>
      <w:r>
        <w:t xml:space="preserve"> </w:t>
      </w:r>
      <w:r>
        <w:rPr>
          <w:i/>
          <w:iCs/>
        </w:rPr>
        <w:t xml:space="preserve">Probabilistic quotient normalization as</w:t>
      </w:r>
      <w:r>
        <w:rPr>
          <w:i/>
          <w:iCs/>
        </w:rPr>
        <w:t xml:space="preserve"> </w:t>
      </w:r>
      <w:r>
        <w:rPr>
          <w:i/>
          <w:iCs/>
        </w:rPr>
        <w:t xml:space="preserve">robust method to account for dilution of complex biological mixtures</w:t>
      </w:r>
      <w:r>
        <w:t xml:space="preserve">, Anal. Chem.</w:t>
      </w:r>
      <w:r>
        <w:t xml:space="preserve"> </w:t>
      </w:r>
      <w:r>
        <w:rPr>
          <w:b/>
          <w:bCs/>
        </w:rPr>
        <w:t xml:space="preserve">2006</w:t>
      </w:r>
      <w:r>
        <w:t xml:space="preserve">,</w:t>
      </w:r>
      <w:r>
        <w:t xml:space="preserve"> </w:t>
      </w:r>
      <w:r>
        <w:rPr>
          <w:i/>
          <w:iCs/>
        </w:rPr>
        <w:t xml:space="preserve">78</w:t>
      </w:r>
      <w:r>
        <w:t xml:space="preserve">, 4281–4290. doi:10.1021/ac051632c.</w:t>
      </w:r>
    </w:p>
    <w:p>
      <w:pPr>
        <w:pStyle w:val="Compact"/>
        <w:numPr>
          <w:ilvl w:val="0"/>
          <w:numId w:val="1003"/>
        </w:numPr>
      </w:pPr>
      <w:r>
        <w:t xml:space="preserve">A. M. Castillo, L. Uribe, L. Patiny, J. Wist,</w:t>
      </w:r>
      <w:r>
        <w:t xml:space="preserve"> </w:t>
      </w:r>
      <w:r>
        <w:rPr>
          <w:i/>
          <w:iCs/>
        </w:rPr>
        <w:t xml:space="preserve">Fast and shift-insensitive similarity</w:t>
      </w:r>
      <w:r>
        <w:rPr>
          <w:i/>
          <w:iCs/>
        </w:rPr>
        <w:t xml:space="preserve"> </w:t>
      </w:r>
      <w:r>
        <w:rPr>
          <w:i/>
          <w:iCs/>
        </w:rPr>
        <w:t xml:space="preserve">comparisons of NMR using a tree-representation of spectra</w:t>
      </w:r>
      <w:r>
        <w:t xml:space="preserve">, Chemometr. Intell. Lab. Syst.</w:t>
      </w:r>
      <w:r>
        <w:t xml:space="preserve"> </w:t>
      </w:r>
      <w:r>
        <w:rPr>
          <w:b/>
          <w:bCs/>
        </w:rPr>
        <w:t xml:space="preserve">2013</w:t>
      </w:r>
      <w:r>
        <w:t xml:space="preserve">,</w:t>
      </w:r>
      <w:r>
        <w:t xml:space="preserve"> </w:t>
      </w:r>
      <w:r>
        <w:rPr>
          <w:i/>
          <w:iCs/>
        </w:rPr>
        <w:t xml:space="preserve">127</w:t>
      </w:r>
      <w:r>
        <w:t xml:space="preserve">, 1–6. doi:10.1016/j.chemolab.2013.05.009.</w:t>
      </w:r>
    </w:p>
    <w:p>
      <w:pPr>
        <w:pStyle w:val="Compact"/>
        <w:numPr>
          <w:ilvl w:val="0"/>
          <w:numId w:val="1003"/>
        </w:numPr>
      </w:pPr>
      <w:r>
        <w:t xml:space="preserve">H. Samet,</w:t>
      </w:r>
      <w:r>
        <w:t xml:space="preserve"> </w:t>
      </w:r>
      <w:r>
        <w:rPr>
          <w:i/>
          <w:iCs/>
        </w:rPr>
        <w:t xml:space="preserve">The quadtree and related hierarchical data structures</w:t>
      </w:r>
      <w:r>
        <w:t xml:space="preserve">, ACM Comput. Surv.</w:t>
      </w:r>
      <w:r>
        <w:t xml:space="preserve"> </w:t>
      </w:r>
      <w:r>
        <w:rPr>
          <w:b/>
          <w:bCs/>
        </w:rPr>
        <w:t xml:space="preserve">1984</w:t>
      </w:r>
      <w:r>
        <w:t xml:space="preserve">,</w:t>
      </w:r>
      <w:r>
        <w:t xml:space="preserve"> </w:t>
      </w:r>
      <w:r>
        <w:rPr>
          <w:i/>
          <w:iCs/>
        </w:rPr>
        <w:t xml:space="preserve">16</w:t>
      </w:r>
      <w:r>
        <w:t xml:space="preserve">, 187–260. doi:10.1145/356924.356930.</w:t>
      </w:r>
    </w:p>
    <w:p>
      <w:pPr>
        <w:pStyle w:val="Compact"/>
        <w:numPr>
          <w:ilvl w:val="0"/>
          <w:numId w:val="1003"/>
        </w:numPr>
      </w:pPr>
      <w:r>
        <w:t xml:space="preserve">G. K. Pierens, S. Brossi, Z. Yang, D. C. Reutens, V. Vegh,</w:t>
      </w:r>
      <w:r>
        <w:t xml:space="preserve"> </w:t>
      </w:r>
      <w:r>
        <w:rPr>
          <w:i/>
          <w:iCs/>
        </w:rPr>
        <w:t xml:space="preserve">HSQC spectral based similarity</w:t>
      </w:r>
      <w:r>
        <w:rPr>
          <w:i/>
          <w:iCs/>
        </w:rPr>
        <w:t xml:space="preserve"> </w:t>
      </w:r>
      <w:r>
        <w:rPr>
          <w:i/>
          <w:iCs/>
        </w:rPr>
        <w:t xml:space="preserve">matching of compounds using nearest neighbours and a fast discrete genetic algorithm</w:t>
      </w:r>
      <w:r>
        <w:t xml:space="preserve">,</w:t>
      </w:r>
      <w:r>
        <w:t xml:space="preserve"> </w:t>
      </w:r>
      <w:r>
        <w:t xml:space="preserve">J. Cheminform.</w:t>
      </w:r>
      <w:r>
        <w:t xml:space="preserve"> </w:t>
      </w:r>
      <w:r>
        <w:rPr>
          <w:b/>
          <w:bCs/>
        </w:rPr>
        <w:t xml:space="preserve">2012</w:t>
      </w:r>
      <w:r>
        <w:t xml:space="preserve">,</w:t>
      </w:r>
      <w:r>
        <w:t xml:space="preserve"> </w:t>
      </w:r>
      <w:r>
        <w:rPr>
          <w:i/>
          <w:iCs/>
        </w:rPr>
        <w:t xml:space="preserve">4</w:t>
      </w:r>
      <w:r>
        <w:t xml:space="preserve">, 25. doi:10.1186/1758-2946-4-25.</w:t>
      </w:r>
    </w:p>
    <w:p>
      <w:pPr>
        <w:pStyle w:val="Compact"/>
        <w:numPr>
          <w:ilvl w:val="0"/>
          <w:numId w:val="1003"/>
        </w:numPr>
      </w:pPr>
      <w:r>
        <w:t xml:space="preserve">F. Savorani, G. Tomasi, S. B. Engelsen,</w:t>
      </w:r>
      <w:r>
        <w:t xml:space="preserve"> </w:t>
      </w:r>
      <w:r>
        <w:rPr>
          <w:i/>
          <w:iCs/>
        </w:rPr>
        <w:t xml:space="preserve">icoshift: a versatile tool for the rapid alignment of</w:t>
      </w:r>
      <w:r>
        <w:rPr>
          <w:i/>
          <w:iCs/>
        </w:rPr>
        <w:t xml:space="preserve"> </w:t>
      </w:r>
      <w:r>
        <w:rPr>
          <w:i/>
          <w:iCs/>
        </w:rPr>
        <w:t xml:space="preserve">1D NMR spectra</w:t>
      </w:r>
      <w:r>
        <w:t xml:space="preserve">, J. Magn. Reson.</w:t>
      </w:r>
      <w:r>
        <w:t xml:space="preserve"> </w:t>
      </w:r>
      <w:r>
        <w:rPr>
          <w:b/>
          <w:bCs/>
        </w:rPr>
        <w:t xml:space="preserve">2010</w:t>
      </w:r>
      <w:r>
        <w:t xml:space="preserve">,</w:t>
      </w:r>
      <w:r>
        <w:t xml:space="preserve"> </w:t>
      </w:r>
      <w:r>
        <w:rPr>
          <w:i/>
          <w:iCs/>
        </w:rPr>
        <w:t xml:space="preserve">202</w:t>
      </w:r>
      <w:r>
        <w:t xml:space="preserve">, 190–202. doi:10.1016/j.jmr.2009.11.012.</w:t>
      </w:r>
    </w:p>
    <w:p>
      <w:pPr>
        <w:pStyle w:val="Compact"/>
        <w:numPr>
          <w:ilvl w:val="0"/>
          <w:numId w:val="1003"/>
        </w:numPr>
      </w:pPr>
      <w:r>
        <w:t xml:space="preserve">M. P. Williamson,</w:t>
      </w:r>
      <w:r>
        <w:t xml:space="preserve"> </w:t>
      </w:r>
      <w:r>
        <w:rPr>
          <w:i/>
          <w:iCs/>
        </w:rPr>
        <w:t xml:space="preserve">Using chemical shift perturbation to characterise ligand binding</w:t>
      </w:r>
      <w:r>
        <w:t xml:space="preserve">, Prog.</w:t>
      </w:r>
      <w:r>
        <w:t xml:space="preserve"> </w:t>
      </w:r>
      <w:r>
        <w:t xml:space="preserve">Nucl. Magn. Reson. Spectrosc.</w:t>
      </w:r>
      <w:r>
        <w:t xml:space="preserve"> </w:t>
      </w:r>
      <w:r>
        <w:rPr>
          <w:b/>
          <w:bCs/>
        </w:rPr>
        <w:t xml:space="preserve">2013</w:t>
      </w:r>
      <w:r>
        <w:t xml:space="preserve">,</w:t>
      </w:r>
      <w:r>
        <w:t xml:space="preserve"> </w:t>
      </w:r>
      <w:r>
        <w:rPr>
          <w:i/>
          <w:iCs/>
        </w:rPr>
        <w:t xml:space="preserve">73</w:t>
      </w:r>
      <w:r>
        <w:t xml:space="preserve">, 1–16. doi:10.1016/j.pnmrs.2013.02.001.</w:t>
      </w:r>
    </w:p>
    <w:p>
      <w:pPr>
        <w:pStyle w:val="Compact"/>
        <w:numPr>
          <w:ilvl w:val="0"/>
          <w:numId w:val="1003"/>
        </w:numPr>
      </w:pPr>
      <w:r>
        <w:t xml:space="preserve">S. B. Shuker, P. J. Hajduk, R. P. Meadows, S. W. Fesik,</w:t>
      </w:r>
      <w:r>
        <w:t xml:space="preserve"> </w:t>
      </w:r>
      <w:r>
        <w:rPr>
          <w:i/>
          <w:iCs/>
        </w:rPr>
        <w:t xml:space="preserve">Discovering high-affinity ligands for</w:t>
      </w:r>
      <w:r>
        <w:rPr>
          <w:i/>
          <w:iCs/>
        </w:rPr>
        <w:t xml:space="preserve"> </w:t>
      </w:r>
      <w:r>
        <w:rPr>
          <w:i/>
          <w:iCs/>
        </w:rPr>
        <w:t xml:space="preserve">proteins: SAR by NMR</w:t>
      </w:r>
      <w:r>
        <w:t xml:space="preserve">, Science</w:t>
      </w:r>
      <w:r>
        <w:t xml:space="preserve"> </w:t>
      </w:r>
      <w:r>
        <w:rPr>
          <w:b/>
          <w:bCs/>
        </w:rPr>
        <w:t xml:space="preserve">1996</w:t>
      </w:r>
      <w:r>
        <w:t xml:space="preserve">,</w:t>
      </w:r>
      <w:r>
        <w:t xml:space="preserve"> </w:t>
      </w:r>
      <w:r>
        <w:rPr>
          <w:i/>
          <w:iCs/>
        </w:rPr>
        <w:t xml:space="preserve">274</w:t>
      </w:r>
      <w:r>
        <w:t xml:space="preserve">, 1531–1534. doi:10.1126/science.274.5292.1531.</w:t>
      </w:r>
    </w:p>
    <w:p>
      <w:pPr>
        <w:pStyle w:val="Compact"/>
        <w:numPr>
          <w:ilvl w:val="0"/>
          <w:numId w:val="1003"/>
        </w:numPr>
      </w:pPr>
      <w:r>
        <w:t xml:space="preserve">M. Pellecchia, I. Bertini, D. Cowburn, C. Dalvit, E. Giralt, W. Jahnke, T. L. James,</w:t>
      </w:r>
      <w:r>
        <w:t xml:space="preserve"> </w:t>
      </w:r>
      <w:r>
        <w:t xml:space="preserve">S. W. Homans, H. Kessler, C. Luchinat, B. Meyer, H. Oschkinat, J. Peng, H. Schwalbe,</w:t>
      </w:r>
      <w:r>
        <w:t xml:space="preserve"> </w:t>
      </w:r>
      <w:r>
        <w:t xml:space="preserve">G. Siegal,</w:t>
      </w:r>
      <w:r>
        <w:t xml:space="preserve"> </w:t>
      </w:r>
      <w:r>
        <w:rPr>
          <w:i/>
          <w:iCs/>
        </w:rPr>
        <w:t xml:space="preserve">Perspectives on NMR in drug discovery: a technique comes of age</w:t>
      </w:r>
      <w:r>
        <w:t xml:space="preserve">, Nat. Rev. Drug</w:t>
      </w:r>
      <w:r>
        <w:t xml:space="preserve"> </w:t>
      </w:r>
      <w:r>
        <w:t xml:space="preserve">Discov.</w:t>
      </w:r>
      <w:r>
        <w:t xml:space="preserve"> </w:t>
      </w:r>
      <w:r>
        <w:rPr>
          <w:b/>
          <w:bCs/>
        </w:rPr>
        <w:t xml:space="preserve">2008</w:t>
      </w:r>
      <w:r>
        <w:t xml:space="preserve">,</w:t>
      </w:r>
      <w:r>
        <w:t xml:space="preserve"> </w:t>
      </w:r>
      <w:r>
        <w:rPr>
          <w:i/>
          <w:iCs/>
        </w:rPr>
        <w:t xml:space="preserve">7</w:t>
      </w:r>
      <w:r>
        <w:t xml:space="preserve">, 738–745. doi:10.1038/nrd2606.</w:t>
      </w:r>
    </w:p>
    <w:p>
      <w:pPr>
        <w:pStyle w:val="Compact"/>
        <w:numPr>
          <w:ilvl w:val="0"/>
          <w:numId w:val="1003"/>
        </w:numPr>
      </w:pPr>
      <w:r>
        <w:t xml:space="preserve">D. A. Erlanson, S. W. Fesik, R. E. Hubbard, W. Jahnke, H. Jhoti,</w:t>
      </w:r>
      <w:r>
        <w:t xml:space="preserve"> </w:t>
      </w:r>
      <w:r>
        <w:rPr>
          <w:i/>
          <w:iCs/>
        </w:rPr>
        <w:t xml:space="preserve">Twenty years on: the impact</w:t>
      </w:r>
      <w:r>
        <w:rPr>
          <w:i/>
          <w:iCs/>
        </w:rPr>
        <w:t xml:space="preserve"> </w:t>
      </w:r>
      <w:r>
        <w:rPr>
          <w:i/>
          <w:iCs/>
        </w:rPr>
        <w:t xml:space="preserve">of fragments on drug discovery</w:t>
      </w:r>
      <w:r>
        <w:t xml:space="preserve">, Nat. Rev. Drug Discov.</w:t>
      </w:r>
      <w:r>
        <w:t xml:space="preserve"> </w:t>
      </w:r>
      <w:r>
        <w:rPr>
          <w:b/>
          <w:bCs/>
        </w:rPr>
        <w:t xml:space="preserve">2016</w:t>
      </w:r>
      <w:r>
        <w:t xml:space="preserve">,</w:t>
      </w:r>
      <w:r>
        <w:t xml:space="preserve"> </w:t>
      </w:r>
      <w:r>
        <w:rPr>
          <w:i/>
          <w:iCs/>
        </w:rPr>
        <w:t xml:space="preserve">15</w:t>
      </w:r>
      <w:r>
        <w:t xml:space="preserve">, 605–619.</w:t>
      </w:r>
      <w:r>
        <w:t xml:space="preserve"> </w:t>
      </w:r>
      <w:r>
        <w:t xml:space="preserve">doi:10.1038/nrd.2016.109.</w:t>
      </w:r>
    </w:p>
    <w:p>
      <w:pPr>
        <w:pStyle w:val="Compact"/>
        <w:numPr>
          <w:ilvl w:val="0"/>
          <w:numId w:val="1003"/>
        </w:numPr>
      </w:pPr>
      <w:r>
        <w:t xml:space="preserve">E. Hughes, A. M. Kenwright,</w:t>
      </w:r>
      <w:r>
        <w:t xml:space="preserve"> </w:t>
      </w:r>
      <w:r>
        <w:rPr>
          <w:i/>
          <w:iCs/>
        </w:rPr>
        <w:t xml:space="preserve">SimpleNMR: an interactive graph network approach to aid</w:t>
      </w:r>
      <w:r>
        <w:rPr>
          <w:i/>
          <w:iCs/>
        </w:rPr>
        <w:t xml:space="preserve"> </w:t>
      </w:r>
      <w:r>
        <w:rPr>
          <w:i/>
          <w:iCs/>
        </w:rPr>
        <w:t xml:space="preserve">constitutional isomer verification using standard 1D and 2D NMR experiments</w:t>
      </w:r>
      <w:r>
        <w:t xml:space="preserve">, Magn. Reson.</w:t>
      </w:r>
      <w:r>
        <w:t xml:space="preserve"> </w:t>
      </w:r>
      <w:r>
        <w:t xml:space="preserve">Chem.</w:t>
      </w:r>
      <w:r>
        <w:t xml:space="preserve"> </w:t>
      </w:r>
      <w:r>
        <w:rPr>
          <w:b/>
          <w:bCs/>
        </w:rPr>
        <w:t xml:space="preserve">2024</w:t>
      </w:r>
      <w:r>
        <w:t xml:space="preserve">,</w:t>
      </w:r>
      <w:r>
        <w:t xml:space="preserve"> </w:t>
      </w:r>
      <w:r>
        <w:rPr>
          <w:i/>
          <w:iCs/>
        </w:rPr>
        <w:t xml:space="preserve">62</w:t>
      </w:r>
      <w:r>
        <w:t xml:space="preserve">, 556–565. doi:10.1002/mrc.5441.</w:t>
      </w:r>
    </w:p>
    <w:p>
      <w:pPr>
        <w:pStyle w:val="Compact"/>
        <w:numPr>
          <w:ilvl w:val="0"/>
          <w:numId w:val="1003"/>
        </w:numPr>
      </w:pPr>
      <w:r>
        <w:t xml:space="preserve">S. E. Stein, D. R. Scott,</w:t>
      </w:r>
      <w:r>
        <w:t xml:space="preserve"> </w:t>
      </w:r>
      <w:r>
        <w:rPr>
          <w:i/>
          <w:iCs/>
        </w:rPr>
        <w:t xml:space="preserve">Optimization and testing of mass spectral library search algorithms</w:t>
      </w:r>
      <w:r>
        <w:rPr>
          <w:i/>
          <w:iCs/>
        </w:rPr>
        <w:t xml:space="preserve"> </w:t>
      </w:r>
      <w:r>
        <w:rPr>
          <w:i/>
          <w:iCs/>
        </w:rPr>
        <w:t xml:space="preserve">for compound identification</w:t>
      </w:r>
      <w:r>
        <w:t xml:space="preserve">, J. Am. Soc. Mass Spectrom.</w:t>
      </w:r>
      <w:r>
        <w:t xml:space="preserve"> </w:t>
      </w:r>
      <w:r>
        <w:rPr>
          <w:b/>
          <w:bCs/>
        </w:rPr>
        <w:t xml:space="preserve">1994</w:t>
      </w:r>
      <w:r>
        <w:t xml:space="preserve">,</w:t>
      </w:r>
      <w:r>
        <w:t xml:space="preserve"> </w:t>
      </w:r>
      <w:r>
        <w:rPr>
          <w:i/>
          <w:iCs/>
        </w:rPr>
        <w:t xml:space="preserve">5</w:t>
      </w:r>
      <w:r>
        <w:t xml:space="preserve">, 859–866.</w:t>
      </w:r>
      <w:r>
        <w:t xml:space="preserve"> </w:t>
      </w:r>
      <w:r>
        <w:t xml:space="preserve">doi:10.1016/1044-0305(94)87009-8.</w:t>
      </w:r>
    </w:p>
    <w:p>
      <w:pPr>
        <w:pStyle w:val="Compact"/>
        <w:numPr>
          <w:ilvl w:val="0"/>
          <w:numId w:val="1003"/>
        </w:numPr>
      </w:pPr>
      <w:r>
        <w:t xml:space="preserve">K. X. Wan, I. Vidavsky, M. L. Gross,</w:t>
      </w:r>
      <w:r>
        <w:t xml:space="preserve"> </w:t>
      </w:r>
      <w:r>
        <w:rPr>
          <w:i/>
          <w:iCs/>
        </w:rPr>
        <w:t xml:space="preserve">Comparing similar spectra: from similarity index to</w:t>
      </w:r>
      <w:r>
        <w:rPr>
          <w:i/>
          <w:iCs/>
        </w:rPr>
        <w:t xml:space="preserve"> </w:t>
      </w:r>
      <w:r>
        <w:rPr>
          <w:i/>
          <w:iCs/>
        </w:rPr>
        <w:t xml:space="preserve">spectral contrast angle</w:t>
      </w:r>
      <w:r>
        <w:t xml:space="preserve">, J. Am. Soc. Mass Spectrom.</w:t>
      </w:r>
      <w:r>
        <w:t xml:space="preserve"> </w:t>
      </w:r>
      <w:r>
        <w:rPr>
          <w:b/>
          <w:bCs/>
        </w:rPr>
        <w:t xml:space="preserve">2002</w:t>
      </w:r>
      <w:r>
        <w:t xml:space="preserve">,</w:t>
      </w:r>
      <w:r>
        <w:t xml:space="preserve"> </w:t>
      </w:r>
      <w:r>
        <w:rPr>
          <w:i/>
          <w:iCs/>
        </w:rPr>
        <w:t xml:space="preserve">13</w:t>
      </w:r>
      <w:r>
        <w:t xml:space="preserve">, 85–88.</w:t>
      </w:r>
      <w:r>
        <w:t xml:space="preserve"> </w:t>
      </w:r>
      <w:r>
        <w:t xml:space="preserve">doi:10.1016/S1044-0305(01)00327-0.</w:t>
      </w:r>
    </w:p>
    <w:p>
      <w:pPr>
        <w:pStyle w:val="Compact"/>
        <w:numPr>
          <w:ilvl w:val="0"/>
          <w:numId w:val="1003"/>
        </w:numPr>
      </w:pPr>
      <w:r>
        <w:t xml:space="preserve">C. R. Harris, K. J. Millman, S. J. van der Walt, R. Gommers, P. Virtanen, D. Cournapeau,</w:t>
      </w:r>
      <w:r>
        <w:t xml:space="preserve"> </w:t>
      </w:r>
      <w:r>
        <w:t xml:space="preserve">E. Wieser, J. Taylor, S. Berg, N. J. Smith, R. Kern, M. Picus, S. Hoyer, M. H. van Kerkwijk,</w:t>
      </w:r>
      <w:r>
        <w:t xml:space="preserve"> </w:t>
      </w:r>
      <w:r>
        <w:t xml:space="preserve">M. Brett, A. Haldane, J. F. del Río, M. Wiebe, P. Peterson, P. Gérard-Marchant, K. Sheppard,</w:t>
      </w:r>
      <w:r>
        <w:t xml:space="preserve"> </w:t>
      </w:r>
      <w:r>
        <w:t xml:space="preserve">T. Reddy, W. Weckesser, H. Abbasi, C. Gohlke, T. E. Oliphant,</w:t>
      </w:r>
      <w:r>
        <w:t xml:space="preserve"> </w:t>
      </w:r>
      <w:r>
        <w:rPr>
          <w:i/>
          <w:iCs/>
        </w:rPr>
        <w:t xml:space="preserve">Array programming with NumPy</w:t>
      </w:r>
      <w:r>
        <w:t xml:space="preserve">,</w:t>
      </w:r>
      <w:r>
        <w:t xml:space="preserve"> </w:t>
      </w:r>
      <w:r>
        <w:t xml:space="preserve">Nature</w:t>
      </w:r>
      <w:r>
        <w:t xml:space="preserve"> </w:t>
      </w:r>
      <w:r>
        <w:rPr>
          <w:b/>
          <w:bCs/>
        </w:rPr>
        <w:t xml:space="preserve">2020</w:t>
      </w:r>
      <w:r>
        <w:t xml:space="preserve">,</w:t>
      </w:r>
      <w:r>
        <w:t xml:space="preserve"> </w:t>
      </w:r>
      <w:r>
        <w:rPr>
          <w:i/>
          <w:iCs/>
        </w:rPr>
        <w:t xml:space="preserve">585</w:t>
      </w:r>
      <w:r>
        <w:t xml:space="preserve">, 357–362. doi:10.1038/s41586-020-2649-2.</w:t>
      </w:r>
    </w:p>
    <w:p>
      <w:pPr>
        <w:pStyle w:val="Compact"/>
        <w:numPr>
          <w:ilvl w:val="0"/>
          <w:numId w:val="1003"/>
        </w:numPr>
      </w:pPr>
      <w:r>
        <w:t xml:space="preserve">J. J. Helmus, C. P. Jaroniec,</w:t>
      </w:r>
      <w:r>
        <w:t xml:space="preserve"> </w:t>
      </w:r>
      <w:r>
        <w:rPr>
          <w:i/>
          <w:iCs/>
        </w:rPr>
        <w:t xml:space="preserve">Nmrglue: an open source Python package for the analysis of</w:t>
      </w:r>
      <w:r>
        <w:rPr>
          <w:i/>
          <w:iCs/>
        </w:rPr>
        <w:t xml:space="preserve"> </w:t>
      </w:r>
      <w:r>
        <w:rPr>
          <w:i/>
          <w:iCs/>
        </w:rPr>
        <w:t xml:space="preserve">multidimensional NMR data</w:t>
      </w:r>
      <w:r>
        <w:t xml:space="preserve">, J. Biomol. NMR</w:t>
      </w:r>
      <w:r>
        <w:t xml:space="preserve"> </w:t>
      </w:r>
      <w:r>
        <w:rPr>
          <w:b/>
          <w:bCs/>
        </w:rPr>
        <w:t xml:space="preserve">2013</w:t>
      </w:r>
      <w:r>
        <w:t xml:space="preserve">,</w:t>
      </w:r>
      <w:r>
        <w:t xml:space="preserve"> </w:t>
      </w:r>
      <w:r>
        <w:rPr>
          <w:i/>
          <w:iCs/>
        </w:rPr>
        <w:t xml:space="preserve">55</w:t>
      </w:r>
      <w:r>
        <w:t xml:space="preserve">, 355–367.</w:t>
      </w:r>
      <w:r>
        <w:t xml:space="preserve"> </w:t>
      </w:r>
      <w:r>
        <w:t xml:space="preserve">doi:10.1007/s10858-013-9718-x.</w:t>
      </w:r>
    </w:p>
    <w:p>
      <w:pPr>
        <w:pStyle w:val="Compact"/>
        <w:numPr>
          <w:ilvl w:val="0"/>
          <w:numId w:val="1003"/>
        </w:numPr>
      </w:pPr>
      <w:r>
        <w:t xml:space="preserve">F. Delaglio, S. Grzesiek, G. W. Vuister, G. Zhu, J. Pfeifer, A. Bax,</w:t>
      </w:r>
      <w:r>
        <w:t xml:space="preserve"> </w:t>
      </w:r>
      <w:r>
        <w:rPr>
          <w:i/>
          <w:iCs/>
        </w:rPr>
        <w:t xml:space="preserve">NMRPipe: a multidimensional</w:t>
      </w:r>
      <w:r>
        <w:rPr>
          <w:i/>
          <w:iCs/>
        </w:rPr>
        <w:t xml:space="preserve"> </w:t>
      </w:r>
      <w:r>
        <w:rPr>
          <w:i/>
          <w:iCs/>
        </w:rPr>
        <w:t xml:space="preserve">spectral processing system based on UNIX pipes</w:t>
      </w:r>
      <w:r>
        <w:t xml:space="preserve">, J. Biomol. NMR</w:t>
      </w:r>
      <w:r>
        <w:t xml:space="preserve"> </w:t>
      </w:r>
      <w:r>
        <w:rPr>
          <w:b/>
          <w:bCs/>
        </w:rPr>
        <w:t xml:space="preserve">1995</w:t>
      </w:r>
      <w:r>
        <w:t xml:space="preserve">,</w:t>
      </w:r>
      <w:r>
        <w:t xml:space="preserve"> </w:t>
      </w:r>
      <w:r>
        <w:rPr>
          <w:i/>
          <w:iCs/>
        </w:rPr>
        <w:t xml:space="preserve">6</w:t>
      </w:r>
      <w:r>
        <w:t xml:space="preserve">, 277–293.</w:t>
      </w:r>
      <w:r>
        <w:t xml:space="preserve"> </w:t>
      </w:r>
      <w:r>
        <w:t xml:space="preserve">doi:10.1007/BF00197809.</w:t>
      </w:r>
    </w:p>
    <w:p>
      <w:pPr>
        <w:pStyle w:val="Compact"/>
        <w:numPr>
          <w:ilvl w:val="0"/>
          <w:numId w:val="1003"/>
        </w:numPr>
      </w:pPr>
      <w:r>
        <w:t xml:space="preserve">W. F. Vranken, W. Boucher, T. J. Stevens, R. H. Fogh, A. Pajon, M. Llinas, E. L. Ulrich,</w:t>
      </w:r>
      <w:r>
        <w:t xml:space="preserve"> </w:t>
      </w:r>
      <w:r>
        <w:t xml:space="preserve">J. L. Markley, J. Ionides, E. D. Laue,</w:t>
      </w:r>
      <w:r>
        <w:t xml:space="preserve"> </w:t>
      </w:r>
      <w:r>
        <w:rPr>
          <w:i/>
          <w:iCs/>
        </w:rPr>
        <w:t xml:space="preserve">The CCPN data model for NMR spectroscopy: development of</w:t>
      </w:r>
      <w:r>
        <w:rPr>
          <w:i/>
          <w:iCs/>
        </w:rPr>
        <w:t xml:space="preserve"> </w:t>
      </w:r>
      <w:r>
        <w:rPr>
          <w:i/>
          <w:iCs/>
        </w:rPr>
        <w:t xml:space="preserve">a software pipeline</w:t>
      </w:r>
      <w:r>
        <w:t xml:space="preserve">, Proteins</w:t>
      </w:r>
      <w:r>
        <w:t xml:space="preserve"> </w:t>
      </w:r>
      <w:r>
        <w:rPr>
          <w:b/>
          <w:bCs/>
        </w:rPr>
        <w:t xml:space="preserve">2005</w:t>
      </w:r>
      <w:r>
        <w:t xml:space="preserve">,</w:t>
      </w:r>
      <w:r>
        <w:t xml:space="preserve"> </w:t>
      </w:r>
      <w:r>
        <w:rPr>
          <w:i/>
          <w:iCs/>
        </w:rPr>
        <w:t xml:space="preserve">59</w:t>
      </w:r>
      <w:r>
        <w:t xml:space="preserve">, 687–696. doi:10.1002/prot.20449.</w:t>
      </w:r>
    </w:p>
    <w:p>
      <w:pPr>
        <w:pStyle w:val="Compact"/>
        <w:numPr>
          <w:ilvl w:val="0"/>
          <w:numId w:val="1003"/>
        </w:numPr>
      </w:pPr>
      <w:r>
        <w:t xml:space="preserve">S. P. Skinner, R. H. Fogh, W. Boucher, T. J. Ragan, L. G. Mureddu, G. W. Vuister,</w:t>
      </w:r>
      <w:r>
        <w:t xml:space="preserve"> </w:t>
      </w:r>
      <w:r>
        <w:rPr>
          <w:i/>
          <w:iCs/>
        </w:rPr>
        <w:t xml:space="preserve">CcpNmr</w:t>
      </w:r>
      <w:r>
        <w:rPr>
          <w:i/>
          <w:iCs/>
        </w:rPr>
        <w:t xml:space="preserve"> </w:t>
      </w:r>
      <w:r>
        <w:rPr>
          <w:i/>
          <w:iCs/>
        </w:rPr>
        <w:t xml:space="preserve">AnalysisAssign: a flexible platform for integrated NMR analysis</w:t>
      </w:r>
      <w:r>
        <w:t xml:space="preserve">, J. Biomol. NMR</w:t>
      </w:r>
      <w:r>
        <w:t xml:space="preserve"> </w:t>
      </w:r>
      <w:r>
        <w:rPr>
          <w:b/>
          <w:bCs/>
        </w:rPr>
        <w:t xml:space="preserve">2016</w:t>
      </w:r>
      <w:r>
        <w:t xml:space="preserve">,</w:t>
      </w:r>
      <w:r>
        <w:t xml:space="preserve"> </w:t>
      </w:r>
      <w:r>
        <w:rPr>
          <w:i/>
          <w:iCs/>
        </w:rPr>
        <w:t xml:space="preserve">66</w:t>
      </w:r>
      <w:r>
        <w:t xml:space="preserve">,</w:t>
      </w:r>
      <w:r>
        <w:t xml:space="preserve"> </w:t>
      </w:r>
      <w:r>
        <w:t xml:space="preserve">111–124. doi:10.1007/s10858-016-0060-y.</w:t>
      </w:r>
    </w:p>
    <w:p>
      <w:pPr>
        <w:pStyle w:val="Compact"/>
        <w:numPr>
          <w:ilvl w:val="0"/>
          <w:numId w:val="1003"/>
        </w:numPr>
      </w:pPr>
      <w:r>
        <w:t xml:space="preserve">C. Ludwig, U. L. Günther,</w:t>
      </w:r>
      <w:r>
        <w:t xml:space="preserve"> </w:t>
      </w:r>
      <w:r>
        <w:rPr>
          <w:i/>
          <w:iCs/>
        </w:rPr>
        <w:t xml:space="preserve">MetaboLab — advanced NMR data processing and analysis for</w:t>
      </w:r>
      <w:r>
        <w:rPr>
          <w:i/>
          <w:iCs/>
        </w:rPr>
        <w:t xml:space="preserve"> </w:t>
      </w:r>
      <w:r>
        <w:rPr>
          <w:i/>
          <w:iCs/>
        </w:rPr>
        <w:t xml:space="preserve">metabolomics</w:t>
      </w:r>
      <w:r>
        <w:t xml:space="preserve">, BMC Bioinformatics</w:t>
      </w:r>
      <w:r>
        <w:t xml:space="preserve"> </w:t>
      </w:r>
      <w:r>
        <w:rPr>
          <w:b/>
          <w:bCs/>
        </w:rPr>
        <w:t xml:space="preserve">2011</w:t>
      </w:r>
      <w:r>
        <w:t xml:space="preserve">,</w:t>
      </w:r>
      <w:r>
        <w:t xml:space="preserve"> </w:t>
      </w:r>
      <w:r>
        <w:rPr>
          <w:i/>
          <w:iCs/>
        </w:rPr>
        <w:t xml:space="preserve">12</w:t>
      </w:r>
      <w:r>
        <w:t xml:space="preserve">, 366. doi:10.1186/1471-2105-12-366.</w:t>
      </w:r>
    </w:p>
    <w:p>
      <w:pPr>
        <w:pStyle w:val="Compact"/>
        <w:numPr>
          <w:ilvl w:val="0"/>
          <w:numId w:val="1003"/>
        </w:numPr>
      </w:pPr>
      <w:r>
        <w:t xml:space="preserve">J. D. Hunter,</w:t>
      </w:r>
      <w:r>
        <w:t xml:space="preserve"> </w:t>
      </w:r>
      <w:r>
        <w:rPr>
          <w:i/>
          <w:iCs/>
        </w:rPr>
        <w:t xml:space="preserve">Matplotlib: a 2D graphics environment</w:t>
      </w:r>
      <w:r>
        <w:t xml:space="preserve">, Comput. Sci. Eng.</w:t>
      </w:r>
      <w:r>
        <w:t xml:space="preserve"> </w:t>
      </w:r>
      <w:r>
        <w:rPr>
          <w:b/>
          <w:bCs/>
        </w:rPr>
        <w:t xml:space="preserve">2007</w:t>
      </w:r>
      <w:r>
        <w:t xml:space="preserve">,</w:t>
      </w:r>
      <w:r>
        <w:t xml:space="preserve"> </w:t>
      </w:r>
      <w:r>
        <w:rPr>
          <w:i/>
          <w:iCs/>
        </w:rPr>
        <w:t xml:space="preserve">9</w:t>
      </w:r>
      <w:r>
        <w:t xml:space="preserve">, 90–95.</w:t>
      </w:r>
      <w:r>
        <w:t xml:space="preserve"> </w:t>
      </w:r>
      <w:r>
        <w:t xml:space="preserve">doi:10.1109/MCSE.2007.55.</w:t>
      </w:r>
    </w:p>
    <w:p>
      <w:pPr>
        <w:pStyle w:val="Compact"/>
        <w:numPr>
          <w:ilvl w:val="0"/>
          <w:numId w:val="1003"/>
        </w:numPr>
      </w:pPr>
      <w:r>
        <w:t xml:space="preserve">B. Efron,</w:t>
      </w:r>
      <w:r>
        <w:t xml:space="preserve"> </w:t>
      </w:r>
      <w:r>
        <w:rPr>
          <w:i/>
          <w:iCs/>
        </w:rPr>
        <w:t xml:space="preserve">Bootstrap methods: another look at the jackknife</w:t>
      </w:r>
      <w:r>
        <w:t xml:space="preserve">, Ann. Stat.</w:t>
      </w:r>
      <w:r>
        <w:t xml:space="preserve"> </w:t>
      </w:r>
      <w:r>
        <w:rPr>
          <w:b/>
          <w:bCs/>
        </w:rPr>
        <w:t xml:space="preserve">1979</w:t>
      </w:r>
      <w:r>
        <w:t xml:space="preserve">,</w:t>
      </w:r>
      <w:r>
        <w:t xml:space="preserve"> </w:t>
      </w:r>
      <w:r>
        <w:rPr>
          <w:i/>
          <w:iCs/>
        </w:rPr>
        <w:t xml:space="preserve">7</w:t>
      </w:r>
      <w:r>
        <w:t xml:space="preserve">, 1–26.</w:t>
      </w:r>
      <w:r>
        <w:t xml:space="preserve"> </w:t>
      </w:r>
      <w:r>
        <w:t xml:space="preserve">doi:10.1214/aos/1176344552.</w:t>
      </w:r>
    </w:p>
    <w:p>
      <w:pPr>
        <w:pStyle w:val="Compact"/>
        <w:numPr>
          <w:ilvl w:val="0"/>
          <w:numId w:val="1003"/>
        </w:numPr>
      </w:pPr>
      <w:r>
        <w:t xml:space="preserve">E. M. Voorhees,</w:t>
      </w:r>
      <w:r>
        <w:t xml:space="preserve"> </w:t>
      </w:r>
      <w:r>
        <w:rPr>
          <w:i/>
          <w:iCs/>
        </w:rPr>
        <w:t xml:space="preserve">The TREC-8 question answering track report</w:t>
      </w:r>
      <w:r>
        <w:t xml:space="preserve">, in</w:t>
      </w:r>
      <w:r>
        <w:t xml:space="preserve"> </w:t>
      </w:r>
      <w:r>
        <w:rPr>
          <w:i/>
          <w:iCs/>
        </w:rPr>
        <w:t xml:space="preserve">Proceedings of the 8th Text</w:t>
      </w:r>
      <w:r>
        <w:rPr>
          <w:i/>
          <w:iCs/>
        </w:rPr>
        <w:t xml:space="preserve"> </w:t>
      </w:r>
      <w:r>
        <w:rPr>
          <w:i/>
          <w:iCs/>
        </w:rPr>
        <w:t xml:space="preserve">REtrieval Conference (TREC-8)</w:t>
      </w:r>
      <w:r>
        <w:t xml:space="preserve">, NIST Special Publication 500-246, Gaithersburg, MD,</w:t>
      </w:r>
      <w:r>
        <w:t xml:space="preserve"> </w:t>
      </w:r>
      <w:r>
        <w:rPr>
          <w:b/>
          <w:bCs/>
        </w:rPr>
        <w:t xml:space="preserve">1999</w:t>
      </w:r>
      <w:r>
        <w:t xml:space="preserve">,</w:t>
      </w:r>
      <w:r>
        <w:t xml:space="preserve"> </w:t>
      </w:r>
      <w:r>
        <w:t xml:space="preserve">pp. 77–82.</w:t>
      </w:r>
    </w:p>
    <w:p>
      <w:pPr>
        <w:pStyle w:val="Compact"/>
        <w:numPr>
          <w:ilvl w:val="0"/>
          <w:numId w:val="1003"/>
        </w:numPr>
      </w:pPr>
      <w:r>
        <w:t xml:space="preserve">S. L. Robinette, R. Brüschweiler, F. C. Schroeder, A. S. Edison,</w:t>
      </w:r>
      <w:r>
        <w:t xml:space="preserve"> </w:t>
      </w:r>
      <w:r>
        <w:rPr>
          <w:i/>
          <w:iCs/>
        </w:rPr>
        <w:t xml:space="preserve">NMR in metabolomics and</w:t>
      </w:r>
      <w:r>
        <w:rPr>
          <w:i/>
          <w:iCs/>
        </w:rPr>
        <w:t xml:space="preserve"> </w:t>
      </w:r>
      <w:r>
        <w:rPr>
          <w:i/>
          <w:iCs/>
        </w:rPr>
        <w:t xml:space="preserve">natural products research: two sides of the same coin</w:t>
      </w:r>
      <w:r>
        <w:t xml:space="preserve">, Acc. Chem. Res.</w:t>
      </w:r>
      <w:r>
        <w:t xml:space="preserve"> </w:t>
      </w:r>
      <w:r>
        <w:rPr>
          <w:b/>
          <w:bCs/>
        </w:rPr>
        <w:t xml:space="preserve">2012</w:t>
      </w:r>
      <w:r>
        <w:t xml:space="preserve">,</w:t>
      </w:r>
      <w:r>
        <w:t xml:space="preserve"> </w:t>
      </w:r>
      <w:r>
        <w:rPr>
          <w:i/>
          <w:iCs/>
        </w:rPr>
        <w:t xml:space="preserve">45</w:t>
      </w:r>
      <w:r>
        <w:t xml:space="preserve">,</w:t>
      </w:r>
      <w:r>
        <w:t xml:space="preserve"> </w:t>
      </w:r>
      <w:r>
        <w:t xml:space="preserve">288–297. doi:10.1021/ar2001606.</w:t>
      </w:r>
    </w:p>
    <w:p>
      <w:pPr>
        <w:pStyle w:val="Compact"/>
        <w:numPr>
          <w:ilvl w:val="0"/>
          <w:numId w:val="1003"/>
        </w:numPr>
      </w:pPr>
      <w:r>
        <w:t xml:space="preserve">K. Bingol, R. Brüschweiler,</w:t>
      </w:r>
      <w:r>
        <w:t xml:space="preserve"> </w:t>
      </w:r>
      <w:r>
        <w:rPr>
          <w:i/>
          <w:iCs/>
        </w:rPr>
        <w:t xml:space="preserve">Multidimensional approaches to NMR-based metabolomics</w:t>
      </w:r>
      <w:r>
        <w:t xml:space="preserve">, Anal.</w:t>
      </w:r>
      <w:r>
        <w:t xml:space="preserve"> </w:t>
      </w:r>
      <w:r>
        <w:t xml:space="preserve">Chem.</w:t>
      </w:r>
      <w:r>
        <w:t xml:space="preserve"> </w:t>
      </w:r>
      <w:r>
        <w:rPr>
          <w:b/>
          <w:bCs/>
        </w:rPr>
        <w:t xml:space="preserve">2014</w:t>
      </w:r>
      <w:r>
        <w:t xml:space="preserve">,</w:t>
      </w:r>
      <w:r>
        <w:t xml:space="preserve"> </w:t>
      </w:r>
      <w:r>
        <w:rPr>
          <w:i/>
          <w:iCs/>
        </w:rPr>
        <w:t xml:space="preserve">86</w:t>
      </w:r>
      <w:r>
        <w:t xml:space="preserve">, 47–57. doi:10.1021/ac403520j.</w:t>
      </w:r>
    </w:p>
    <w:p>
      <w:pPr>
        <w:pStyle w:val="Compact"/>
        <w:numPr>
          <w:ilvl w:val="0"/>
          <w:numId w:val="1003"/>
        </w:numPr>
      </w:pPr>
      <w:r>
        <w:t xml:space="preserve">E. L. Ulrich, H. Akutsu, J. F. Doreleijers, Y. Harano, Y. E. Ioannidis, J. Lin, M. Livny,</w:t>
      </w:r>
      <w:r>
        <w:t xml:space="preserve"> </w:t>
      </w:r>
      <w:r>
        <w:t xml:space="preserve">S. Mading, D. Maziuk, Z. Miller, E. Nakatani, C. F. Schulte, D. E. Tolmie, R. K. Wenger,</w:t>
      </w:r>
      <w:r>
        <w:t xml:space="preserve"> </w:t>
      </w:r>
      <w:r>
        <w:t xml:space="preserve">H. Yao, J. L. Markley,</w:t>
      </w:r>
      <w:r>
        <w:t xml:space="preserve"> </w:t>
      </w:r>
      <w:r>
        <w:rPr>
          <w:i/>
          <w:iCs/>
        </w:rPr>
        <w:t xml:space="preserve">BioMagResBank</w:t>
      </w:r>
      <w:r>
        <w:t xml:space="preserve">, Nucleic Acids Res.</w:t>
      </w:r>
      <w:r>
        <w:t xml:space="preserve"> </w:t>
      </w:r>
      <w:r>
        <w:rPr>
          <w:b/>
          <w:bCs/>
        </w:rPr>
        <w:t xml:space="preserve">2008</w:t>
      </w:r>
      <w:r>
        <w:t xml:space="preserve">,</w:t>
      </w:r>
      <w:r>
        <w:t xml:space="preserve"> </w:t>
      </w:r>
      <w:r>
        <w:rPr>
          <w:i/>
          <w:iCs/>
        </w:rPr>
        <w:t xml:space="preserve">36</w:t>
      </w:r>
      <w:r>
        <w:t xml:space="preserve">, D402–D408.</w:t>
      </w:r>
      <w:r>
        <w:t xml:space="preserve"> </w:t>
      </w:r>
      <w:r>
        <w:t xml:space="preserve">doi:10.1093/nar/gkm957.</w:t>
      </w:r>
    </w:p>
    <w:p>
      <w:pPr>
        <w:pStyle w:val="Compact"/>
        <w:numPr>
          <w:ilvl w:val="0"/>
          <w:numId w:val="1003"/>
        </w:numPr>
      </w:pPr>
      <w:r>
        <w:t xml:space="preserve">D. S. Wishart, A. Guo, E. Oler, F. Wang, A. Anjum, H. Peters, R. Dizon, Z. Sayeeda, S. Tian,</w:t>
      </w:r>
      <w:r>
        <w:t xml:space="preserve"> </w:t>
      </w:r>
      <w:r>
        <w:t xml:space="preserve">B. L. Lee, M. Berjanskii, R. Mah, M. Yamamoto, J. Jovel, C. Torres-Calzada, M. Hiebert-Giesbrecht,</w:t>
      </w:r>
      <w:r>
        <w:t xml:space="preserve"> </w:t>
      </w:r>
      <w:r>
        <w:t xml:space="preserve">V. W. Lui, D. Varshavi, D. Varshavi, D. Allen, D. Arndt, N. Khetarpal, A. Sivakumaran, K. Harford,</w:t>
      </w:r>
      <w:r>
        <w:t xml:space="preserve"> </w:t>
      </w:r>
      <w:r>
        <w:t xml:space="preserve">S. Sanford, K. Yee, X. Cao, Z. Budinski, J. Liigand, L. Zhang, J. Zheng, R. Mandal, N. Karu,</w:t>
      </w:r>
      <w:r>
        <w:t xml:space="preserve"> </w:t>
      </w:r>
      <w:r>
        <w:t xml:space="preserve">M. Dambrova, H. B. Schiöth, R. Greiner, V. Gautam,</w:t>
      </w:r>
      <w:r>
        <w:t xml:space="preserve"> </w:t>
      </w:r>
      <w:r>
        <w:rPr>
          <w:i/>
          <w:iCs/>
        </w:rPr>
        <w:t xml:space="preserve">HMDB 5.0: the Human Metabolome Database for</w:t>
      </w:r>
      <w:r>
        <w:rPr>
          <w:i/>
          <w:iCs/>
        </w:rPr>
        <w:t xml:space="preserve"> </w:t>
      </w:r>
      <w:r>
        <w:rPr>
          <w:i/>
          <w:iCs/>
        </w:rPr>
        <w:t xml:space="preserve">2022</w:t>
      </w:r>
      <w:r>
        <w:t xml:space="preserve">, Nucleic Acids Res.</w:t>
      </w:r>
      <w:r>
        <w:t xml:space="preserve"> </w:t>
      </w:r>
      <w:r>
        <w:rPr>
          <w:b/>
          <w:bCs/>
        </w:rPr>
        <w:t xml:space="preserve">2022</w:t>
      </w:r>
      <w:r>
        <w:t xml:space="preserve">,</w:t>
      </w:r>
      <w:r>
        <w:t xml:space="preserve"> </w:t>
      </w:r>
      <w:r>
        <w:rPr>
          <w:i/>
          <w:iCs/>
        </w:rPr>
        <w:t xml:space="preserve">50</w:t>
      </w:r>
      <w:r>
        <w:t xml:space="preserve">, D622–D631. doi:10.1093/nar/gkab1062.</w:t>
      </w:r>
    </w:p>
    <w:p>
      <w:pPr>
        <w:pStyle w:val="Compact"/>
        <w:numPr>
          <w:ilvl w:val="0"/>
          <w:numId w:val="1003"/>
        </w:numPr>
      </w:pPr>
      <w:r>
        <w:t xml:space="preserve">C. Steinbeck, S. Kuhn,</w:t>
      </w:r>
      <w:r>
        <w:t xml:space="preserve"> </w:t>
      </w:r>
      <w:r>
        <w:rPr>
          <w:i/>
          <w:iCs/>
        </w:rPr>
        <w:t xml:space="preserve">NMRShiftDB — compound identification and structure elucidation support</w:t>
      </w:r>
      <w:r>
        <w:rPr>
          <w:i/>
          <w:iCs/>
        </w:rPr>
        <w:t xml:space="preserve"> </w:t>
      </w:r>
      <w:r>
        <w:rPr>
          <w:i/>
          <w:iCs/>
        </w:rPr>
        <w:t xml:space="preserve">through a free community-built web database</w:t>
      </w:r>
      <w:r>
        <w:t xml:space="preserve">, Phytochemistry</w:t>
      </w:r>
      <w:r>
        <w:t xml:space="preserve"> </w:t>
      </w:r>
      <w:r>
        <w:rPr>
          <w:b/>
          <w:bCs/>
        </w:rPr>
        <w:t xml:space="preserve">2004</w:t>
      </w:r>
      <w:r>
        <w:t xml:space="preserve">,</w:t>
      </w:r>
      <w:r>
        <w:t xml:space="preserve"> </w:t>
      </w:r>
      <w:r>
        <w:rPr>
          <w:i/>
          <w:iCs/>
        </w:rPr>
        <w:t xml:space="preserve">65</w:t>
      </w:r>
      <w:r>
        <w:t xml:space="preserve">, 2711–2717.</w:t>
      </w:r>
      <w:r>
        <w:t xml:space="preserve"> </w:t>
      </w:r>
      <w:r>
        <w:t xml:space="preserve">doi:10.1016/j.phytochem.2004.08.027.</w:t>
      </w:r>
    </w:p>
    <w:p>
      <w:pPr>
        <w:pStyle w:val="Compact"/>
        <w:numPr>
          <w:ilvl w:val="0"/>
          <w:numId w:val="1003"/>
        </w:numPr>
      </w:pPr>
      <w:r>
        <w:t xml:space="preserve">B. Worley, R. Powers,</w:t>
      </w:r>
      <w:r>
        <w:t xml:space="preserve"> </w:t>
      </w:r>
      <w:r>
        <w:rPr>
          <w:i/>
          <w:iCs/>
        </w:rPr>
        <w:t xml:space="preserve">Multivariate analysis in metabolomics</w:t>
      </w:r>
      <w:r>
        <w:t xml:space="preserve">, Curr. Metabolomics</w:t>
      </w:r>
      <w:r>
        <w:t xml:space="preserve"> </w:t>
      </w:r>
      <w:r>
        <w:rPr>
          <w:b/>
          <w:bCs/>
        </w:rPr>
        <w:t xml:space="preserve">2013</w:t>
      </w:r>
      <w:r>
        <w:t xml:space="preserve">,</w:t>
      </w:r>
      <w:r>
        <w:t xml:space="preserve"> </w:t>
      </w:r>
      <w:r>
        <w:rPr>
          <w:i/>
          <w:iCs/>
        </w:rPr>
        <w:t xml:space="preserve">1</w:t>
      </w:r>
      <w:r>
        <w:t xml:space="preserve">, 92–107. doi:10.2174/2213235X11301010092.</w:t>
      </w:r>
    </w:p>
    <w:p>
      <w:pPr>
        <w:pStyle w:val="Compact"/>
        <w:numPr>
          <w:ilvl w:val="0"/>
          <w:numId w:val="1003"/>
        </w:numPr>
      </w:pPr>
      <w:r>
        <w:t xml:space="preserve">S. A. Berkowitz, J. R. Engen, J. R. Mazzeo, G. B. Jones,</w:t>
      </w:r>
      <w:r>
        <w:t xml:space="preserve"> </w:t>
      </w:r>
      <w:r>
        <w:rPr>
          <w:i/>
          <w:iCs/>
        </w:rPr>
        <w:t xml:space="preserve">Analytical tools for characterizing</w:t>
      </w:r>
      <w:r>
        <w:rPr>
          <w:i/>
          <w:iCs/>
        </w:rPr>
        <w:t xml:space="preserve"> </w:t>
      </w:r>
      <w:r>
        <w:rPr>
          <w:i/>
          <w:iCs/>
        </w:rPr>
        <w:t xml:space="preserve">biopharmaceuticals and the implications for biosimilars</w:t>
      </w:r>
      <w:r>
        <w:t xml:space="preserve">, Nat. Rev. Drug Discov.</w:t>
      </w:r>
      <w:r>
        <w:t xml:space="preserve"> </w:t>
      </w:r>
      <w:r>
        <w:rPr>
          <w:b/>
          <w:bCs/>
        </w:rPr>
        <w:t xml:space="preserve">2012</w:t>
      </w:r>
      <w:r>
        <w:t xml:space="preserve">,</w:t>
      </w:r>
      <w:r>
        <w:t xml:space="preserve"> </w:t>
      </w:r>
      <w:r>
        <w:rPr>
          <w:i/>
          <w:iCs/>
        </w:rPr>
        <w:t xml:space="preserve">11</w:t>
      </w:r>
      <w:r>
        <w:t xml:space="preserve">,</w:t>
      </w:r>
      <w:r>
        <w:t xml:space="preserve"> </w:t>
      </w:r>
      <w:r>
        <w:t xml:space="preserve">527–540. doi:10.1038/nrd3746.</w:t>
      </w:r>
    </w:p>
    <w:p>
      <w:pPr>
        <w:pStyle w:val="Compact"/>
        <w:numPr>
          <w:ilvl w:val="0"/>
          <w:numId w:val="1003"/>
        </w:numPr>
      </w:pPr>
      <w:r>
        <w:t xml:space="preserve">J. P. Gabrielson, W. F. Weiss IV,</w:t>
      </w:r>
      <w:r>
        <w:t xml:space="preserve"> </w:t>
      </w:r>
      <w:r>
        <w:rPr>
          <w:i/>
          <w:iCs/>
        </w:rPr>
        <w:t xml:space="preserve">Technical decision-making with higher order structure data:</w:t>
      </w:r>
      <w:r>
        <w:rPr>
          <w:i/>
          <w:iCs/>
        </w:rPr>
        <w:t xml:space="preserve"> </w:t>
      </w:r>
      <w:r>
        <w:rPr>
          <w:i/>
          <w:iCs/>
        </w:rPr>
        <w:t xml:space="preserve">starting a new dialogue</w:t>
      </w:r>
      <w:r>
        <w:t xml:space="preserve">, J. Pharm. Sci.</w:t>
      </w:r>
      <w:r>
        <w:t xml:space="preserve"> </w:t>
      </w:r>
      <w:r>
        <w:rPr>
          <w:b/>
          <w:bCs/>
        </w:rPr>
        <w:t xml:space="preserve">2015</w:t>
      </w:r>
      <w:r>
        <w:t xml:space="preserve">,</w:t>
      </w:r>
      <w:r>
        <w:t xml:space="preserve"> </w:t>
      </w:r>
      <w:r>
        <w:rPr>
          <w:i/>
          <w:iCs/>
        </w:rPr>
        <w:t xml:space="preserve">104</w:t>
      </w:r>
      <w:r>
        <w:t xml:space="preserve">, 1240–1245. doi:10.1002/jps.24393.</w:t>
      </w:r>
    </w:p>
    <w:p>
      <w:pPr>
        <w:pStyle w:val="Compact"/>
        <w:numPr>
          <w:ilvl w:val="0"/>
          <w:numId w:val="1003"/>
        </w:numPr>
      </w:pPr>
      <w:r>
        <w:t xml:space="preserve">L. W. Arbogast, R. G. Brinson, J. P. Marino,</w:t>
      </w:r>
      <w:r>
        <w:t xml:space="preserve"> </w:t>
      </w:r>
      <w:r>
        <w:rPr>
          <w:i/>
          <w:iCs/>
        </w:rPr>
        <w:t xml:space="preserve">Mapping monoclonal antibody structure by 2D</w:t>
      </w:r>
      <w:r>
        <w:rPr>
          <w:i/>
          <w:iCs/>
        </w:rPr>
        <w:t xml:space="preserve"> </w:t>
      </w:r>
      <m:oMath>
        <m:sSup>
          <m:e>
            <m:r>
              <m:t>​</m:t>
            </m:r>
          </m:e>
          <m:sup>
            <m:r>
              <m:t>13</m:t>
            </m:r>
          </m:sup>
        </m:sSup>
      </m:oMath>
      <w:r>
        <w:rPr>
          <w:i/>
          <w:iCs/>
        </w:rPr>
        <w:t xml:space="preserve">C NMR at natural abundance</w:t>
      </w:r>
      <w:r>
        <w:t xml:space="preserve">, Anal. Chem.</w:t>
      </w:r>
      <w:r>
        <w:t xml:space="preserve"> </w:t>
      </w:r>
      <w:r>
        <w:rPr>
          <w:b/>
          <w:bCs/>
        </w:rPr>
        <w:t xml:space="preserve">2015</w:t>
      </w:r>
      <w:r>
        <w:t xml:space="preserve">,</w:t>
      </w:r>
      <w:r>
        <w:t xml:space="preserve"> </w:t>
      </w:r>
      <w:r>
        <w:rPr>
          <w:i/>
          <w:iCs/>
        </w:rPr>
        <w:t xml:space="preserve">87</w:t>
      </w:r>
      <w:r>
        <w:t xml:space="preserve">, 3556–3561.</w:t>
      </w:r>
      <w:r>
        <w:t xml:space="preserve"> </w:t>
      </w:r>
      <w:r>
        <w:t xml:space="preserve">doi:10.1021/ac504804m.</w:t>
      </w:r>
    </w:p>
    <w:p>
      <w:pPr>
        <w:pStyle w:val="Compact"/>
        <w:numPr>
          <w:ilvl w:val="0"/>
          <w:numId w:val="1003"/>
        </w:numPr>
      </w:pPr>
      <w:r>
        <w:t xml:space="preserve">H. Ghasriani, D. J. Hodgson, R. G. Brinson, I. McEwen, L. F. Buhse, S. Kozlowski, J. P. Marino,</w:t>
      </w:r>
      <w:r>
        <w:t xml:space="preserve"> </w:t>
      </w:r>
      <w:r>
        <w:t xml:space="preserve">Y. Aubin, D. A. Keire,</w:t>
      </w:r>
      <w:r>
        <w:t xml:space="preserve"> </w:t>
      </w:r>
      <w:r>
        <w:rPr>
          <w:i/>
          <w:iCs/>
        </w:rPr>
        <w:t xml:space="preserve">Precision and robustness of 2D-NMR for structure assessment of</w:t>
      </w:r>
      <w:r>
        <w:rPr>
          <w:i/>
          <w:iCs/>
        </w:rPr>
        <w:t xml:space="preserve"> </w:t>
      </w:r>
      <w:r>
        <w:rPr>
          <w:i/>
          <w:iCs/>
        </w:rPr>
        <w:t xml:space="preserve">filgrastim biosimilars</w:t>
      </w:r>
      <w:r>
        <w:t xml:space="preserve">, Nat. Biotechnol.</w:t>
      </w:r>
      <w:r>
        <w:t xml:space="preserve"> </w:t>
      </w:r>
      <w:r>
        <w:rPr>
          <w:b/>
          <w:bCs/>
        </w:rPr>
        <w:t xml:space="preserve">2016</w:t>
      </w:r>
      <w:r>
        <w:t xml:space="preserve">,</w:t>
      </w:r>
      <w:r>
        <w:t xml:space="preserve"> </w:t>
      </w:r>
      <w:r>
        <w:rPr>
          <w:i/>
          <w:iCs/>
        </w:rPr>
        <w:t xml:space="preserve">34</w:t>
      </w:r>
      <w:r>
        <w:t xml:space="preserve">, 139–141. doi:10.1038/nbt.3474.</w:t>
      </w:r>
    </w:p>
    <w:p>
      <w:pPr>
        <w:pStyle w:val="Compact"/>
        <w:numPr>
          <w:ilvl w:val="0"/>
          <w:numId w:val="1003"/>
        </w:numPr>
      </w:pPr>
      <w:r>
        <w:t xml:space="preserve">L. W. Arbogast, F. Delaglio, J. E. Schiel, J. P. Marino,</w:t>
      </w:r>
      <w:r>
        <w:t xml:space="preserve"> </w:t>
      </w:r>
      <w:r>
        <w:rPr>
          <w:i/>
          <w:iCs/>
        </w:rPr>
        <w:t xml:space="preserve">Multivariate analysis of</w:t>
      </w:r>
      <w:r>
        <w:rPr>
          <w:i/>
          <w:iCs/>
        </w:rPr>
        <w:t xml:space="preserve"> </w:t>
      </w:r>
      <w:r>
        <w:rPr>
          <w:i/>
          <w:iCs/>
        </w:rPr>
        <w:t xml:space="preserve">two-dimensional</w:t>
      </w:r>
      <w:r>
        <w:rPr>
          <w:i/>
          <w:iCs/>
        </w:rPr>
        <w:t xml:space="preserve"> </w:t>
      </w:r>
      <m:oMath>
        <m:sSup>
          <m:e>
            <m:r>
              <m:t>​</m:t>
            </m:r>
          </m:e>
          <m:sup>
            <m:r>
              <m:t>1</m:t>
            </m:r>
          </m:sup>
        </m:sSup>
      </m:oMath>
      <w:r>
        <w:rPr>
          <w:i/>
          <w:iCs/>
        </w:rPr>
        <w:t xml:space="preserve">H,</w:t>
      </w:r>
      <m:oMath>
        <m:sSup>
          <m:e>
            <m:r>
              <m:t>​</m:t>
            </m:r>
          </m:e>
          <m:sup>
            <m:r>
              <m:t>13</m:t>
            </m:r>
          </m:sup>
        </m:sSup>
      </m:oMath>
      <w:r>
        <w:rPr>
          <w:i/>
          <w:iCs/>
        </w:rPr>
        <w:t xml:space="preserve">C methyl NMR spectra of monoclonal antibody therapeutics to</w:t>
      </w:r>
      <w:r>
        <w:rPr>
          <w:i/>
          <w:iCs/>
        </w:rPr>
        <w:t xml:space="preserve"> </w:t>
      </w:r>
      <w:r>
        <w:rPr>
          <w:i/>
          <w:iCs/>
        </w:rPr>
        <w:t xml:space="preserve">facilitate assessment of higher order structure</w:t>
      </w:r>
      <w:r>
        <w:t xml:space="preserve">, Anal. Chem.</w:t>
      </w:r>
      <w:r>
        <w:t xml:space="preserve"> </w:t>
      </w:r>
      <w:r>
        <w:rPr>
          <w:b/>
          <w:bCs/>
        </w:rPr>
        <w:t xml:space="preserve">2017</w:t>
      </w:r>
      <w:r>
        <w:t xml:space="preserve">,</w:t>
      </w:r>
      <w:r>
        <w:t xml:space="preserve"> </w:t>
      </w:r>
      <w:r>
        <w:rPr>
          <w:i/>
          <w:iCs/>
        </w:rPr>
        <w:t xml:space="preserve">89</w:t>
      </w:r>
      <w:r>
        <w:t xml:space="preserve">, 11839–11845.</w:t>
      </w:r>
      <w:r>
        <w:t xml:space="preserve"> </w:t>
      </w:r>
      <w:r>
        <w:t xml:space="preserve">doi:10.1021/acs.analchem.7b03571.</w:t>
      </w:r>
    </w:p>
    <w:p>
      <w:pPr>
        <w:pStyle w:val="Compact"/>
        <w:numPr>
          <w:ilvl w:val="0"/>
          <w:numId w:val="1003"/>
        </w:numPr>
      </w:pPr>
      <w:r>
        <w:t xml:space="preserve">R. G. Brinson, J. P. Marino, F. Delaglio, L. W. Arbogast, R. M. Evans, A. Kearsley, G. Gingras,</w:t>
      </w:r>
      <w:r>
        <w:t xml:space="preserve"> </w:t>
      </w:r>
      <w:r>
        <w:t xml:space="preserve">H. Ghasriani, Y. Aubin, G. K. Pierens, X. Jia, M. Mobli, H. G. Grant, D. W. Keizer, K. Schweimer,</w:t>
      </w:r>
      <w:r>
        <w:t xml:space="preserve"> </w:t>
      </w:r>
      <w:r>
        <w:t xml:space="preserve">J. Ståhle, G. Widmalm, E. R. Zartler, C. W. Lawrence, P. N. Reardon, J. R. Cort, P. Xu, F. Ni,</w:t>
      </w:r>
      <w:r>
        <w:t xml:space="preserve"> </w:t>
      </w:r>
      <w:r>
        <w:t xml:space="preserve">S. Yanaka, K. Kato, S. R. Parnham, D. Tsao, A. Blomgren, T. Rundlöf, N. Trieloff, P. Schmieder,</w:t>
      </w:r>
      <w:r>
        <w:t xml:space="preserve"> </w:t>
      </w:r>
      <w:r>
        <w:t xml:space="preserve">A. Ross, K. Skidmore, K. Chen, D. Keire, D. I. Freedberg, T. Suter-Stahel, G. Wider, G. Ilc,</w:t>
      </w:r>
      <w:r>
        <w:t xml:space="preserve"> </w:t>
      </w:r>
      <w:r>
        <w:t xml:space="preserve">J. Plavec, S. A. Bradley, D. M. Baldisseri, M. L. Sforça, A. C. de M. Zeri, J. Y. Wei,</w:t>
      </w:r>
      <w:r>
        <w:t xml:space="preserve"> </w:t>
      </w:r>
      <w:r>
        <w:t xml:space="preserve">C. M. Szabo, C. A. Amezcua, J. B. Jordan, M. Wikström,</w:t>
      </w:r>
      <w:r>
        <w:t xml:space="preserve"> </w:t>
      </w:r>
      <w:r>
        <w:rPr>
          <w:i/>
          <w:iCs/>
        </w:rPr>
        <w:t xml:space="preserve">Enabling adoption of 2D-NMR</w:t>
      </w:r>
      <w:r>
        <w:rPr>
          <w:i/>
          <w:iCs/>
        </w:rPr>
        <w:t xml:space="preserve"> </w:t>
      </w:r>
      <w:r>
        <w:rPr>
          <w:i/>
          <w:iCs/>
        </w:rPr>
        <w:t xml:space="preserve">for the higher order structure assessment of monoclonal antibody therapeutics</w:t>
      </w:r>
      <w:r>
        <w:t xml:space="preserve">, mAbs</w:t>
      </w:r>
      <w:r>
        <w:t xml:space="preserve"> </w:t>
      </w:r>
      <w:r>
        <w:rPr>
          <w:b/>
          <w:bCs/>
        </w:rPr>
        <w:t xml:space="preserve">2019</w:t>
      </w:r>
      <w:r>
        <w:t xml:space="preserve">,</w:t>
      </w:r>
      <w:r>
        <w:t xml:space="preserve"> </w:t>
      </w:r>
      <w:r>
        <w:rPr>
          <w:i/>
          <w:iCs/>
        </w:rPr>
        <w:t xml:space="preserve">11</w:t>
      </w:r>
      <w:r>
        <w:t xml:space="preserve">, 94–105. doi:10.1080/19420862.2018.1544454.</w:t>
      </w:r>
    </w:p>
    <w:p>
      <w:pPr>
        <w:pStyle w:val="Compact"/>
        <w:numPr>
          <w:ilvl w:val="0"/>
          <w:numId w:val="1003"/>
        </w:numPr>
      </w:pPr>
      <w:r>
        <w:t xml:space="preserve">C. E. Hart, T. Kind, P. C. Dorrestein, D. Healey, D. Domingo-Fernández,</w:t>
      </w:r>
      <w:r>
        <w:t xml:space="preserve"> </w:t>
      </w:r>
      <w:r>
        <w:rPr>
          <w:i/>
          <w:iCs/>
        </w:rPr>
        <w:t xml:space="preserve">Weighting</w:t>
      </w:r>
      <w:r>
        <w:rPr>
          <w:i/>
          <w:iCs/>
        </w:rPr>
        <w:t xml:space="preserve"> </w:t>
      </w:r>
      <w:r>
        <w:rPr>
          <w:i/>
          <w:iCs/>
        </w:rPr>
        <w:t xml:space="preserve">low-intensity MS/MS ions and m/z frequency for spectral library annotation</w:t>
      </w:r>
      <w:r>
        <w:t xml:space="preserve">, J. Am. Soc. Mass</w:t>
      </w:r>
      <w:r>
        <w:t xml:space="preserve"> </w:t>
      </w:r>
      <w:r>
        <w:t xml:space="preserve">Spectrom.</w:t>
      </w:r>
      <w:r>
        <w:t xml:space="preserve"> </w:t>
      </w:r>
      <w:r>
        <w:rPr>
          <w:b/>
          <w:bCs/>
        </w:rPr>
        <w:t xml:space="preserve">2024</w:t>
      </w:r>
      <w:r>
        <w:t xml:space="preserve">,</w:t>
      </w:r>
      <w:r>
        <w:t xml:space="preserve"> </w:t>
      </w:r>
      <w:r>
        <w:rPr>
          <w:i/>
          <w:iCs/>
        </w:rPr>
        <w:t xml:space="preserve">35</w:t>
      </w:r>
      <w:r>
        <w:t xml:space="preserve">, 266–274. doi:10.1021/jasms.3c00353.</w:t>
      </w:r>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8" Target="media/rId18.png" /><Relationship Type="http://schemas.openxmlformats.org/officeDocument/2006/relationships/image" Id="rId28" Target="media/rId28.png" /><Relationship Type="http://schemas.openxmlformats.org/officeDocument/2006/relationships/image" Id="rId44" Target="media/rId44.png" /><Relationship Type="http://schemas.openxmlformats.org/officeDocument/2006/relationships/image" Id="rId37" Target="media/rId37.png" /><Relationship Type="http://schemas.openxmlformats.org/officeDocument/2006/relationships/image" Id="rId22" Target="media/rId22.png" /><Relationship Type="http://schemas.openxmlformats.org/officeDocument/2006/relationships/image" Id="rId14" Target="media/rId14.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Information — Robust Sameness Scoring Using a Shift-Tolerant Correlation Coefficient</dc:title>
  <dc:creator>Donghan Lee</dc:creator>
  <cp:keywords/>
  <dcterms:created xsi:type="dcterms:W3CDTF">2026-07-19T03:07:19Z</dcterms:created>
  <dcterms:modified xsi:type="dcterms:W3CDTF">2026-07-19T03:07:19Z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date">
    <vt:lpwstr/>
  </property>
  <property fmtid="{D5CDD505-2E9C-101B-9397-08002B2CF9AE}" pid="4" name="fontsize">
    <vt:lpwstr>11pt</vt:lpwstr>
  </property>
  <property fmtid="{D5CDD505-2E9C-101B-9397-08002B2CF9AE}" pid="5" name="geometry">
    <vt:lpwstr>margin=1in</vt:lpwstr>
  </property>
  <property fmtid="{D5CDD505-2E9C-101B-9397-08002B2CF9AE}" pid="6" name="header-includes">
    <vt:lpwstr/>
  </property>
  <property fmtid="{D5CDD505-2E9C-101B-9397-08002B2CF9AE}" pid="7" name="linkcolor">
    <vt:lpwstr>RoyalBlue</vt:lpwstr>
  </property>
  <property fmtid="{D5CDD505-2E9C-101B-9397-08002B2CF9AE}" pid="8" name="urlcolor">
    <vt:lpwstr>RoyalBlue</vt:lpwstr>
  </property>
</Properties>
</file>