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Lineshape Correlation Coefficient for Robust Similarity of Two-Dimensional HSQC NMR Spectra</w:t>
      </w:r>
    </w:p>
    <w:p>
      <w:pPr>
        <w:pStyle w:val="Author"/>
      </w:pPr>
      <w:r>
        <w:t xml:space="preserve">Donghan Lee</w:t>
      </w:r>
    </w:p>
    <w:p>
      <w:pPr>
        <w:pStyle w:val="FirstParagraph"/>
      </w:pPr>
      <w:r>
        <w:rPr>
          <w:b/>
          <w:bCs/>
        </w:rPr>
        <w:t xml:space="preserve">NMR Spectroscopy | Research Article</w:t>
      </w:r>
    </w:p>
    <w:p>
      <w:pPr>
        <w:pStyle w:val="BodyText"/>
      </w:pPr>
      <w:r>
        <w:t xml:space="preserve">Korea Basic Science Institute (KBSI), Ochang, Republic of Korea. * Correspondence:</w:t>
      </w:r>
      <w:r>
        <w:t xml:space="preserve"> </w:t>
      </w:r>
      <w:r>
        <w:t xml:space="preserve">kbsi.bionmr@gmail.com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Quantitative comparison of two-dimensional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H–X HSQC spectra underlies</w:t>
      </w:r>
      <w:r>
        <w:t xml:space="preserve"> </w:t>
      </w:r>
      <w:r>
        <w:t xml:space="preserve">ligand screening, chemical-shift-perturbation mapping, higher-order-structure comparability of</w:t>
      </w:r>
      <w:r>
        <w:t xml:space="preserve"> </w:t>
      </w:r>
      <w:r>
        <w:t xml:space="preserve">protein biotherapeutics, and molecular fingerprinting, yet</w:t>
      </w:r>
      <w:r>
        <w:t xml:space="preserve"> </w:t>
      </w:r>
      <w:r>
        <w:t xml:space="preserve">the established similarity measures each fail in one of two opposite ways: histogram-binning</w:t>
      </w:r>
      <w:r>
        <w:t xml:space="preserve"> </w:t>
      </w:r>
      <w:r>
        <w:t xml:space="preserve">scores are brittle to the small peak drifts a titration induces, whereas tree- and</w:t>
      </w:r>
      <w:r>
        <w:t xml:space="preserve"> </w:t>
      </w:r>
      <w:r>
        <w:t xml:space="preserve">nearest-neighbour scores saturate because in any crowded window every peak finds a</w:t>
      </w:r>
      <w:r>
        <w:t xml:space="preserve"> </w:t>
      </w:r>
      <w:r>
        <w:t xml:space="preserve">coincidental near neighbour. Here we introduce the Lineshape Correlation Coefficient (LCC),</w:t>
      </w:r>
      <w:r>
        <w:t xml:space="preserve"> </w:t>
      </w:r>
      <w:r>
        <w:t xml:space="preserve">which renders both spectra onto a single shared grid, blurs each by the physical NMR</w:t>
      </w:r>
      <w:r>
        <w:t xml:space="preserve"> </w:t>
      </w:r>
      <w:r>
        <w:t xml:space="preserve">linewidth combined with the expected shift drift, and scores the pair by the mean-centred,</w:t>
      </w:r>
      <w:r>
        <w:t xml:space="preserve"> </w:t>
      </w:r>
      <w:r>
        <w:t xml:space="preserve">zero-lag normalized cross-correlation of the two images. The Gaussian render supplies graded,</w:t>
      </w:r>
      <w:r>
        <w:t xml:space="preserve"> </w:t>
      </w:r>
      <w:r>
        <w:t xml:space="preserve">physically-tunable shift tolerance while mean-centring actively penalizes intensity that is</w:t>
      </w:r>
      <w:r>
        <w:t xml:space="preserve"> </w:t>
      </w:r>
      <w:r>
        <w:t xml:space="preserve">not co-located. On two deliberately opposite benchmarks — a dense protein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amide</w:t>
      </w:r>
      <w:r>
        <w:t xml:space="preserve"> </w:t>
      </w:r>
      <w:r>
        <w:t xml:space="preserve">fingerprint and a sparse small-molecule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set — LCC gives the widest same/different</w:t>
      </w:r>
      <w:r>
        <w:t xml:space="preserve"> </w:t>
      </w:r>
      <w:r>
        <w:t xml:space="preserve">separation in both regimes (0.75 dense, 0.78 sparse on a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scale), significantly outscoring</w:t>
      </w:r>
      <w:r>
        <w:t xml:space="preserve"> </w:t>
      </w:r>
      <w:r>
        <w:t xml:space="preserve">the saturating tree and nearest-neighbour measures, which leave the classes overlapping (margin</w:t>
      </w:r>
      <w:r>
        <w:t xml:space="preserve"> </w:t>
      </w:r>
      <m:oMath>
        <m:r>
          <m:rPr>
            <m:sty m:val="p"/>
          </m:rPr>
          <m:t>≤</m:t>
        </m:r>
        <m:r>
          <m:t>0.09</m:t>
        </m:r>
      </m:oMath>
      <w:r>
        <w:t xml:space="preserve">) in both. A bootstrap shows LCC’s sparse-regime edge over the bin method is within noise</w:t>
      </w:r>
      <w:r>
        <w:t xml:space="preserve"> </w:t>
      </w:r>
      <w:r>
        <w:t xml:space="preserve">at five compounds, while its dense-fingerprint advantage is large and, on an expanded test, keeps</w:t>
      </w:r>
      <w:r>
        <w:t xml:space="preserve"> </w:t>
      </w:r>
      <w:r>
        <w:t xml:space="preserve">both of two decoy proteins below every same-protein titration point; removing the mean-centring step</w:t>
      </w:r>
      <w:r>
        <w:t xml:space="preserve"> </w:t>
      </w:r>
      <w:r>
        <w:t xml:space="preserve">collapses the dense-protein separation from 0.75 to 0.59, yet in the sparse regime — where</w:t>
      </w:r>
      <w:r>
        <w:t xml:space="preserve"> </w:t>
      </w:r>
      <w:r>
        <w:t xml:space="preserve">peaks rarely overlap — centred and un-centred scores coincide (0.78), so mean-centring is the</w:t>
      </w:r>
      <w:r>
        <w:t xml:space="preserve"> </w:t>
      </w:r>
      <w:r>
        <w:t xml:space="preserve">operation that rescues discrimination specifically when peaks crowd. LCC is a two-knob,</w:t>
      </w:r>
      <w:r>
        <w:t xml:space="preserve"> </w:t>
      </w:r>
      <w:r>
        <w:t xml:space="preserve">peak-picking-free, solver-free measure with both knobs set by spectroscopy rather than by tuning.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NMR spectroscopy · HSQC · spectral similarity · higher-order structure · chemical-shift perturbation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comparison of two two-dimensional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H–X HSQC spectra is a deceptively basic operation</w:t>
      </w:r>
      <w:r>
        <w:t xml:space="preserve"> </w:t>
      </w:r>
      <w:r>
        <w:t xml:space="preserve">that sits at the centre of several NMR workflows. In fragment-based and structure-based drug</w:t>
      </w:r>
      <w:r>
        <w:t xml:space="preserve"> </w:t>
      </w:r>
      <w:r>
        <w:t xml:space="preserve">discovery, an amide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fingerprint is tracked across a ligand titration to read out</w:t>
      </w:r>
      <w:r>
        <w:t xml:space="preserve"> </w:t>
      </w:r>
      <w:r>
        <w:t xml:space="preserve">binding through chemical-shift perturbation,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and the quality of that read-out depends</w:t>
      </w:r>
      <w:r>
        <w:t xml:space="preserve"> </w:t>
      </w:r>
      <w:r>
        <w:t xml:space="preserve">on being able to say, quantitatively, how different two fingerprints are. In metabolomics and</w:t>
      </w:r>
      <w:r>
        <w:t xml:space="preserve"> </w:t>
      </w:r>
      <w:r>
        <w:t xml:space="preserve">natural-product chemistry, a small-molecule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spectrum is matched against a</w:t>
      </w:r>
      <w:r>
        <w:t xml:space="preserve"> </w:t>
      </w:r>
      <w:r>
        <w:t xml:space="preserve">reference — an operation central to 2D-NMR-based dereplication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5</m:t>
            </m:r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and to searches against</w:t>
      </w:r>
      <w:r>
        <w:t xml:space="preserve"> </w:t>
      </w:r>
      <w:r>
        <w:t xml:space="preserve">community libraries such as the BMRB, NMRShiftDB and HMDB.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8</m:t>
            </m:r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]</m:t>
            </m:r>
          </m:sup>
        </m:sSup>
      </m:oMath>
    </w:p>
    <w:p>
      <w:pPr>
        <w:pStyle w:val="BodyText"/>
      </w:pPr>
      <w:r>
        <w:t xml:space="preserve">A third and increasingly prominent setting is the</w:t>
      </w:r>
      <w:r>
        <w:t xml:space="preserve"> </w:t>
      </w:r>
      <w:r>
        <w:rPr>
          <w:b/>
          <w:bCs/>
        </w:rPr>
        <w:t xml:space="preserve">higher-order-structure (HOS)</w:t>
      </w:r>
      <w:r>
        <w:t xml:space="preserve"> </w:t>
      </w:r>
      <w:r>
        <w:t xml:space="preserve">assessment of</w:t>
      </w:r>
      <w:r>
        <w:t xml:space="preserve"> </w:t>
      </w:r>
      <w:r>
        <w:t xml:space="preserve">protein biopharmaceuticals. A protein’s biological activity, stability and immunogenicity are</w:t>
      </w:r>
      <w:r>
        <w:t xml:space="preserve"> </w:t>
      </w:r>
      <w:r>
        <w:t xml:space="preserve">governed not by its amino-acid sequence alone but by its folded secondary, tertiary and quaternary</w:t>
      </w:r>
      <w:r>
        <w:t xml:space="preserve"> </w:t>
      </w:r>
      <w:r>
        <w:t xml:space="preserve">structure, so confirming that this higher-order structure is preserved — between a biosimilar and</w:t>
      </w:r>
      <w:r>
        <w:t xml:space="preserve"> </w:t>
      </w:r>
      <w:r>
        <w:t xml:space="preserve">its originator, across a manufacturing or formulation change, or on storage — has become a central</w:t>
      </w:r>
      <w:r>
        <w:t xml:space="preserve"> </w:t>
      </w:r>
      <w:r>
        <w:t xml:space="preserve">requirement of biochemical characterization and of regulatory comparability.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11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Two-dimensional HSQC is a premier atomic-resolution probe of that structure: each crosspeak reports</w:t>
      </w:r>
      <w:r>
        <w:t xml:space="preserve"> </w:t>
      </w:r>
      <w:r>
        <w:t xml:space="preserve">the local environment of one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H–X pair, so two fingerprints coincide only when the two samples</w:t>
      </w:r>
      <w:r>
        <w:t xml:space="preserve"> </w:t>
      </w:r>
      <w:r>
        <w:t xml:space="preserve">share the same fold, and 2D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C- and</w:t>
      </w:r>
      <w:r>
        <w:t xml:space="preserve"> 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N-HSQC fingerprinting is now an established,</w:t>
      </w:r>
      <w:r>
        <w:t xml:space="preserve"> </w:t>
      </w:r>
      <w:r>
        <w:t xml:space="preserve">high-precision method for the HOS comparability of therapeutic proteins and monoclonal</w:t>
      </w:r>
      <w:r>
        <w:t xml:space="preserve"> </w:t>
      </w:r>
      <w:r>
        <w:t xml:space="preserve">antibodies.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13</m:t>
            </m:r>
            <m:r>
              <m:rPr>
                <m:sty m:val="p"/>
              </m:rPr>
              <m:t>,</m:t>
            </m:r>
            <m:r>
              <m:t>14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how similar</w:t>
      </w:r>
      <w:r>
        <w:t xml:space="preserve"> </w:t>
      </w:r>
      <w:r>
        <w:t xml:space="preserve">two such fingerprints are is exactly the</w:t>
      </w:r>
      <w:r>
        <w:t xml:space="preserve"> </w:t>
      </w:r>
      <w:r>
        <w:t xml:space="preserve">measurement that multivariate and chemometric HOS workflows carry out,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15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and exactly the</w:t>
      </w:r>
      <w:r>
        <w:t xml:space="preserve"> </w:t>
      </w:r>
      <w:r>
        <w:t xml:space="preserve">primitive the present work makes robust.</w:t>
      </w:r>
    </w:p>
    <w:p>
      <w:pPr>
        <w:pStyle w:val="BodyText"/>
      </w:pPr>
      <w:r>
        <w:t xml:space="preserve">In every case the same</w:t>
      </w:r>
      <w:r>
        <w:t xml:space="preserve"> </w:t>
      </w:r>
      <w:r>
        <w:t xml:space="preserve">primitive is required: a single number that is high when two spectra come from the same species</w:t>
      </w:r>
      <w:r>
        <w:t xml:space="preserve"> </w:t>
      </w:r>
      <w:r>
        <w:t xml:space="preserve">and low when they do not.</w:t>
      </w:r>
    </w:p>
    <w:p>
      <w:pPr>
        <w:pStyle w:val="BodyText"/>
      </w:pPr>
      <w:r>
        <w:t xml:space="preserve">Three families of measure are in current use, and they fail in two opposite ways. The bin</w:t>
      </w:r>
      <w:r>
        <w:t xml:space="preserve"> </w:t>
      </w:r>
      <w:r>
        <w:t xml:space="preserve">method of Bodis et al. integrates each spectrum over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grid at a range of</w:t>
      </w:r>
      <w:r>
        <w:t xml:space="preserve"> </w:t>
      </w:r>
      <w:r>
        <w:t xml:space="preserve">resolutions and reports a weighted Jaccard (Ružička) index,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17</m:t>
            </m:r>
            <m:r>
              <m:rPr>
                <m:sty m:val="p"/>
              </m:rPr>
              <m:t>,</m:t>
            </m:r>
            <m:r>
              <m:t>18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in the lineage of the</w:t>
      </w:r>
      <w:r>
        <w:t xml:space="preserve"> </w:t>
      </w:r>
      <w:r>
        <w:t xml:space="preserve">binning and normalization schemes long used in NMR metabonomics.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19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Because its bin</w:t>
      </w:r>
      <w:r>
        <w:t xml:space="preserve"> </w:t>
      </w:r>
      <w:r>
        <w:t xml:space="preserve">edges are hard, a peak straddling an edge splits its intensity across neighbouring bins; a small</w:t>
      </w:r>
      <w:r>
        <w:t xml:space="preserve"> </w:t>
      </w:r>
      <w:r>
        <w:t xml:space="preserve">titration drift therefore erodes the score in a discontinuous jump. The measure is</w:t>
      </w:r>
      <w:r>
        <w:t xml:space="preserve"> </w:t>
      </w:r>
      <w:r>
        <w:t xml:space="preserve">shift-</w:t>
      </w:r>
      <w:r>
        <w:rPr>
          <w:b/>
          <w:bCs/>
        </w:rPr>
        <w:t xml:space="preserve">brittle</w:t>
      </w:r>
      <w:r>
        <w:t xml:space="preserve">. The quad-tree method of Castillo et al. encodes a spectrum as a recursive</w:t>
      </w:r>
      <w:r>
        <w:t xml:space="preserve"> </w:t>
      </w:r>
      <w:r>
        <w:t xml:space="preserve">centre-of-mass tree and compares trees node-by-node with a shift-tolerant node score,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21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and the peak method of Pierens et al. picks peaks and matches each to its nearest neighbour in</w:t>
      </w:r>
      <w:r>
        <w:t xml:space="preserve"> </w:t>
      </w:r>
      <w:r>
        <w:t xml:space="preserve">the other spectrum.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22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Both build in genuine shift tolerance — but in a crowded window</w:t>
      </w:r>
      <w:r>
        <w:t xml:space="preserve"> </w:t>
      </w:r>
      <w:r>
        <w:t xml:space="preserve">every peak has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near neighbour and every spectrum a similar mass-centre structure, so both</w:t>
      </w:r>
      <w:r>
        <w:t xml:space="preserve"> </w:t>
      </w:r>
      <w:r>
        <w:t xml:space="preserve">saturate near unity and retain almost no contrast between related and unrelated spectra. They</w:t>
      </w:r>
      <w:r>
        <w:t xml:space="preserve"> </w:t>
      </w:r>
      <w:r>
        <w:t xml:space="preserve">are shift-</w:t>
      </w:r>
      <w:r>
        <w:rPr>
          <w:b/>
          <w:bCs/>
        </w:rPr>
        <w:t xml:space="preserve">blind</w:t>
      </w:r>
      <w:r>
        <w:t xml:space="preserve">. A measure fit for real HSQC comparison must tolerate the small physical</w:t>
      </w:r>
      <w:r>
        <w:t xml:space="preserve"> </w:t>
      </w:r>
      <w:r>
        <w:t xml:space="preserve">drifts a titration or a solvent change induces, yet still penalize intensity that is genuinely</w:t>
      </w:r>
      <w:r>
        <w:t xml:space="preserve"> </w:t>
      </w:r>
      <w:r>
        <w:t xml:space="preserve">relocated.</w:t>
      </w:r>
    </w:p>
    <w:p>
      <w:pPr>
        <w:pStyle w:val="BodyText"/>
      </w:pPr>
      <w:r>
        <w:t xml:space="preserve">We resolve this tension with the Lineshape Correlation Coefficient (LCC), a measure that keeps</w:t>
      </w:r>
      <w:r>
        <w:t xml:space="preserve"> </w:t>
      </w:r>
      <w:r>
        <w:t xml:space="preserve">the physically meaningful ingredients of all three predecessors — area-weighted integration and</w:t>
      </w:r>
      <w:r>
        <w:t xml:space="preserve"> </w:t>
      </w:r>
      <w:r>
        <w:t xml:space="preserve">unit normalization (Bodis), a physical shift tolerance (Castillo), and a lineshape picture of</w:t>
      </w:r>
      <w:r>
        <w:t xml:space="preserve"> </w:t>
      </w:r>
      <w:r>
        <w:t xml:space="preserve">the spectrum (Pierens) — and adds a mean-centred correlation as the discriminating step. Given</w:t>
      </w:r>
      <w:r>
        <w:t xml:space="preserve"> </w:t>
      </w:r>
      <w:r>
        <w:t xml:space="preserve">two spectra compared inside a common window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(processed Bruker data from any standard</w:t>
      </w:r>
      <w:r>
        <w:t xml:space="preserve"> </w:t>
      </w:r>
      <w:r>
        <w:t xml:space="preserve">pipeline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23</m:t>
            </m:r>
            <m:r>
              <m:rPr>
                <m:sty m:val="p"/>
              </m:rPr>
              <m:t>−</m:t>
            </m:r>
            <m:r>
              <m:t>27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or peak lists rendered to a grid), LCC proceeds in three steps (Figure 1a).</w:t>
      </w:r>
    </w:p>
    <w:p>
      <w:pPr>
        <w:pStyle w:val="BodyText"/>
      </w:pPr>
      <w:r>
        <w:rPr>
          <w:b/>
          <w:bCs/>
        </w:rPr>
        <w:t xml:space="preserve">Render.</w:t>
      </w:r>
      <w:r>
        <w:t xml:space="preserve"> </w:t>
      </w:r>
      <w:r>
        <w:t xml:space="preserve">Negative intensities are clipped, each point is weighted by its local integration</w:t>
      </w:r>
      <w:r>
        <w:t xml:space="preserve"> </w:t>
      </w:r>
      <w:r>
        <w:t xml:space="preserve">area, and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spectra are histogrammed onto a</w:t>
      </w:r>
      <w:r>
        <w:t xml:space="preserve"> </w:t>
      </w:r>
      <w:r>
        <w:rPr>
          <w:b/>
          <w:bCs/>
        </w:rPr>
        <w:t xml:space="preserve">single shared grid</w:t>
      </w:r>
      <w:r>
        <w:t xml:space="preserve">, so they are directly</w:t>
      </w:r>
      <w:r>
        <w:t xml:space="preserve"> </w:t>
      </w:r>
      <w:r>
        <w:t xml:space="preserve">comparable irrespective of their native digital resolution. The mass is normalized to unit sum;</w:t>
      </w:r>
      <w:r>
        <w:t xml:space="preserve"> </w:t>
      </w:r>
      <w:r>
        <w:t xml:space="preserve">the final score is invariant to this scale.</w:t>
      </w:r>
    </w:p>
    <w:p>
      <w:pPr>
        <w:pStyle w:val="BodyText"/>
      </w:pPr>
      <w:r>
        <w:rPr>
          <w:b/>
          <w:bCs/>
        </w:rPr>
        <w:t xml:space="preserve">Blur.</w:t>
      </w:r>
      <w:r>
        <w:t xml:space="preserve"> </w:t>
      </w:r>
      <w:r>
        <w:t xml:space="preserve">Each image is convolved with a separable Gaussian whose width per axis is the physical</w:t>
      </w:r>
      <w:r>
        <w:t xml:space="preserve"> </w:t>
      </w:r>
      <w:r>
        <w:t xml:space="preserve">linewidth combined with the expected drift,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ℓ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This replaces the</w:t>
      </w:r>
      <w:r>
        <w:t xml:space="preserve"> </w:t>
      </w:r>
      <w:r>
        <w:t xml:space="preserve">bin method’s hard edges with a continuous response. For an isolated peak on a large grid, two</w:t>
      </w:r>
      <w:r>
        <w:t xml:space="preserve"> </w:t>
      </w:r>
      <w:r>
        <w:t xml:space="preserve">copies displaced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correlate as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— smooth and monotone in the drift</w:t>
      </w:r>
      <w:r>
        <w:t xml:space="preserve"> </w:t>
      </w:r>
      <w:r>
        <w:t xml:space="preserve">(Figure 1b), so a physical shift costs little while a random relocation (</w:t>
      </w:r>
      <m:oMath>
        <m:r>
          <m:rPr>
            <m:sty m:val="p"/>
          </m:rPr>
          <m:t>Δ</m:t>
        </m:r>
        <m:r>
          <m:rPr>
            <m:sty m:val="p"/>
          </m:rPr>
          <m:t>≫</m:t>
        </m:r>
        <m:r>
          <m:t>σ</m:t>
        </m:r>
      </m:oMath>
      <w:r>
        <w:t xml:space="preserve">)</w:t>
      </w:r>
      <w:r>
        <w:t xml:space="preserve"> </w:t>
      </w:r>
      <w:r>
        <w:t xml:space="preserve">costs almost everything. The blur width, not a bin count, is the tolerance knob, and it is set</w:t>
      </w:r>
      <w:r>
        <w:t xml:space="preserve"> </w:t>
      </w:r>
      <w:r>
        <w:t xml:space="preserve">by two spectroscopic quantities: the linewidth (the floor) and the expected shift perturbation</w:t>
      </w:r>
      <w:r>
        <w:t xml:space="preserve"> </w:t>
      </w:r>
      <w:r>
        <w:t xml:space="preserve">(the tolerance).</w:t>
      </w:r>
    </w:p>
    <w:p>
      <w:pPr>
        <w:pStyle w:val="BodyText"/>
      </w:pPr>
      <w:r>
        <w:rPr>
          <w:b/>
          <w:bCs/>
        </w:rPr>
        <w:t xml:space="preserve">Score.</w:t>
      </w:r>
      <w:r>
        <w:t xml:space="preserve"> </w:t>
      </w:r>
      <w:r>
        <w:t xml:space="preserve">Each image is mean-centred and the similarity is the zero-lag normalized</w:t>
      </w:r>
      <w:r>
        <w:t xml:space="preserve"> </w:t>
      </w:r>
      <w:r>
        <w:t xml:space="preserve">cross-correlation — the Pearson coefficient — of the two centred images, clamped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is the spectral-imaging analogue of the cosine / contrast-angle similarity long used in</w:t>
      </w:r>
      <w:r>
        <w:t xml:space="preserve"> </w:t>
      </w:r>
      <w:r>
        <w:t xml:space="preserve">mass-spectral library search.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28</m:t>
            </m:r>
            <m:r>
              <m:rPr>
                <m:sty m:val="p"/>
              </m:rPr>
              <m:t>,</m:t>
            </m:r>
            <m:r>
              <m:t>29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Mean-centring is what turns overlap into</w:t>
      </w:r>
      <w:r>
        <w:t xml:space="preserve"> </w:t>
      </w:r>
      <w:r>
        <w:t xml:space="preserve">discrimination: a cell where one spectrum has a peak (a value above its mean) and the other is</w:t>
      </w:r>
      <w:r>
        <w:t xml:space="preserve"> </w:t>
      </w:r>
      <w:r>
        <w:t xml:space="preserve">empty (a value below its mean) contributes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product and lowers the score, so</w:t>
      </w:r>
      <w:r>
        <w:t xml:space="preserve"> </w:t>
      </w:r>
      <w:r>
        <w:t xml:space="preserve">intensity that is not co-located is actively penalized rather than merely ignored, as it is by</w:t>
      </w:r>
      <w:r>
        <w:t xml:space="preserve"> </w:t>
      </w:r>
      <w:r>
        <w:t xml:space="preserve">the one-way nearest-neighbour distance. No shift search is performed. Aligning the images — as</w:t>
      </w:r>
      <w:r>
        <w:t xml:space="preserve"> </w:t>
      </w:r>
      <w:r>
        <w:t xml:space="preserve">in NMR peak-alignment tools such as icoshift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30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— would let a genuinely different spectrum</w:t>
      </w:r>
      <w:r>
        <w:t xml:space="preserve"> </w:t>
      </w:r>
      <w:r>
        <w:t xml:space="preserve">slide into registration and re-saturate, reintroducing exactly the failure mode of the tree and</w:t>
      </w:r>
      <w:r>
        <w:t xml:space="preserve"> </w:t>
      </w:r>
      <w:r>
        <w:t xml:space="preserve">nearest-neighbour methods. Scoring at zero lag keeps the position information that carries the</w:t>
      </w:r>
      <w:r>
        <w:t xml:space="preserve"> </w:t>
      </w:r>
      <w:r>
        <w:t xml:space="preserve">discrimination.</w:t>
      </w:r>
    </w:p>
    <w:p>
      <w:pPr>
        <w:pStyle w:val="BodyText"/>
      </w:pPr>
      <w:r>
        <w:t xml:space="preserve">The measure has the properties one expects of a similarity: self-similarity is exactly one, the</w:t>
      </w:r>
      <w:r>
        <w:t xml:space="preserve"> </w:t>
      </w:r>
      <w:r>
        <w:t xml:space="preserve">score is exactly symmetric, and it is monotone in the drift of an isolated peak (all verified in</w:t>
      </w:r>
      <w:r>
        <w:t xml:space="preserve"> </w:t>
      </w:r>
      <w:r>
        <w:t xml:space="preserve">the test suite; Supporting Information). The implementation is pure NumPy,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31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reads</w:t>
      </w:r>
      <w:r>
        <w:t xml:space="preserve"> </w:t>
      </w:r>
      <w:r>
        <w:t xml:space="preserve">processed Bruker data directly, requires neither peak picking nor an external solver, and runs</w:t>
      </w:r>
      <w:r>
        <w:t xml:space="preserve"> </w:t>
      </w:r>
      <w:r>
        <w:t xml:space="preserve">in about 6 ms per spectrum pair on a</w:t>
      </w:r>
      <w:r>
        <w:t xml:space="preserve"> </w:t>
      </w:r>
      <m:oMath>
        <m:r>
          <m:t>250</m:t>
        </m:r>
        <m:r>
          <m:rPr>
            <m:sty m:val="p"/>
          </m:rPr>
          <m:t>×</m:t>
        </m:r>
        <m:r>
          <m:t>350</m:t>
        </m:r>
      </m:oMath>
      <w:r>
        <w:t xml:space="preserve"> </w:t>
      </w:r>
      <w:r>
        <w:t xml:space="preserve">grid (Apple Silicon, single core). A</w:t>
      </w:r>
      <w:r>
        <w:t xml:space="preserve"> </w:t>
      </w:r>
      <w:r>
        <w:t xml:space="preserve">26-test suite (all passing) checks self-similarity, related-beats-unrelated ordering, and</w:t>
      </w:r>
      <w:r>
        <w:t xml:space="preserve"> </w:t>
      </w:r>
      <w:r>
        <w:t xml:space="preserve">monotonicity in drift, plus regressions for the mean-centring ablation, the</w:t>
      </w:r>
      <w:r>
        <w:t xml:space="preserve"> </w:t>
      </w:r>
      <w:r>
        <w:rPr>
          <w:rStyle w:val="VerbatimChar"/>
        </w:rPr>
        <w:t xml:space="preserve">abs</w:t>
      </w:r>
      <w:r>
        <w:t xml:space="preserve"> </w:t>
      </w:r>
      <w:r>
        <w:t xml:space="preserve">baseline and the</w:t>
      </w:r>
      <w:r>
        <w:t xml:space="preserve"> </w:t>
      </w:r>
      <w:r>
        <w:t xml:space="preserve">duplicate-pair guard; figures use Matplotlib.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32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A full derivation with proofs is given in</w:t>
      </w:r>
      <w:r>
        <w:t xml:space="preserve"> </w:t>
      </w:r>
      <w:r>
        <w:t xml:space="preserve">the Supporting Information.</w:t>
      </w:r>
    </w:p>
    <w:p>
      <w:pPr>
        <w:pStyle w:val="BodyText"/>
      </w:pPr>
      <w:r>
        <w:t xml:space="preserve">We benchmarked LCC against the three reference methods on two deliberately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regimes,</w:t>
      </w:r>
      <w:r>
        <w:t xml:space="preserve"> </w:t>
      </w:r>
      <w:r>
        <w:t xml:space="preserve">so that any measure claiming general utility must succeed on both (Figure 2; Table 1). We</w:t>
      </w:r>
      <w:r>
        <w:t xml:space="preserve"> </w:t>
      </w:r>
      <w:r>
        <w:t xml:space="preserve">summarize discrimination by the</w:t>
      </w:r>
      <w:r>
        <w:t xml:space="preserve"> </w:t>
      </w:r>
      <w:r>
        <w:rPr>
          <w:b/>
          <w:bCs/>
        </w:rPr>
        <w:t xml:space="preserve">separation</w:t>
      </w:r>
      <w:r>
        <w:t xml:space="preserve"> </w:t>
      </w:r>
      <w:r>
        <w:t xml:space="preserve">(mean same-class score − mean different-class</w:t>
      </w:r>
      <w:r>
        <w:t xml:space="preserve"> </w:t>
      </w:r>
      <w:r>
        <w:t xml:space="preserve">score) and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(worst same-class − best different-class score, which is what a single</w:t>
      </w:r>
      <w:r>
        <w:t xml:space="preserve"> </w:t>
      </w:r>
      <w:r>
        <w:t xml:space="preserve">classification threshold actually sees); both are reported on each method’s own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scale.</w:t>
      </w:r>
      <w:r>
        <w:t xml:space="preserve"> </w:t>
      </w:r>
      <w:r>
        <w:t xml:space="preserve">Every method self-scores exactly 1.00.</w:t>
      </w:r>
    </w:p>
    <w:p>
      <w:pPr>
        <w:pStyle w:val="BodyText"/>
      </w:pPr>
      <w:r>
        <w:rPr>
          <w:i/>
          <w:iCs/>
        </w:rPr>
        <w:t xml:space="preserve">Dense protein</w:t>
      </w:r>
      <w:r>
        <w:rPr>
          <w:i/>
          <w:i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rPr>
          <w:i/>
          <w:iCs/>
        </w:rPr>
        <w:t xml:space="preserve">N.</w:t>
      </w:r>
      <w:r>
        <w:t xml:space="preserve"> </w:t>
      </w:r>
      <w:r>
        <w:t xml:space="preserve">The reference is the apo spectrum of the phosphatase PRL3,</w:t>
      </w:r>
      <w:r>
        <w:t xml:space="preserve"> </w:t>
      </w:r>
      <w:r>
        <w:t xml:space="preserve">compared with six spectra of the same protein along a ligand titration (which should score high)</w:t>
      </w:r>
      <w:r>
        <w:t xml:space="preserve"> </w:t>
      </w:r>
      <w:r>
        <w:t xml:space="preserve">and with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protein (which should score low), inside 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6.5–10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105–130 ppm window. LCC scores the same protein 0.94 (range</w:t>
      </w:r>
      <w:r>
        <w:t xml:space="preserve"> </w:t>
      </w:r>
      <w:r>
        <w:t xml:space="preserve">0.89–0.97) and the different protein 0.18, a margin of 0.71 — three times the bin method’s 0.24,</w:t>
      </w:r>
      <w:r>
        <w:t xml:space="preserve"> </w:t>
      </w:r>
      <w:r>
        <w:t xml:space="preserve">the strongest baseline. Mean-centring earns that gap: replacing it with an un-centred cosine</w:t>
      </w:r>
      <w:r>
        <w:t xml:space="preserve"> </w:t>
      </w:r>
      <w:r>
        <w:t xml:space="preserve">overlap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images drops the separation from 0.75 to 0.59. This gain is not a tuned</w:t>
      </w:r>
      <w:r>
        <w:t xml:space="preserve"> </w:t>
      </w:r>
      <w:r>
        <w:t xml:space="preserve">artefact; it holds across the entire physical blur range and even survives coarsening the grid</w:t>
      </w:r>
      <w:r>
        <w:t xml:space="preserve"> </w:t>
      </w:r>
      <w:r>
        <w:t xml:space="preserve">to the bin method’s own resolution (Supporting Information).</w:t>
      </w:r>
    </w:p>
    <w:p>
      <w:pPr>
        <w:pStyle w:val="BodyText"/>
      </w:pPr>
      <w:r>
        <w:rPr>
          <w:i/>
          <w:iCs/>
        </w:rPr>
        <w:t xml:space="preserve">A second decoy protein and an independent titration.</w:t>
      </w:r>
      <w:r>
        <w:t xml:space="preserve"> </w:t>
      </w:r>
      <w:r>
        <w:t xml:space="preserve">Because that margin is measured against a</w:t>
      </w:r>
      <w:r>
        <w:t xml:space="preserve"> </w:t>
      </w:r>
      <w:r>
        <w:t xml:space="preserve">single decoy protein, we tested whether LCC’s advantage survives a harder, self-contained design:</w:t>
      </w:r>
      <w:r>
        <w:t xml:space="preserve"> </w:t>
      </w:r>
      <w:r>
        <w:t xml:space="preserve">an independent PRL3 apo→olsalazine titration (23 points, from a 500 µM sample) scored against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distinct decoy folds — OAA and the kinase-domain EphB3 — inside the same window (Table 2;</w:t>
      </w:r>
      <w:r>
        <w:t xml:space="preserve"> </w:t>
      </w:r>
      <w:r>
        <w:t xml:space="preserve">Supporting Information). As ligand is added the chemical-shift perturbation grows and LCC decays</w:t>
      </w:r>
      <w:r>
        <w:t xml:space="preserve"> </w:t>
      </w:r>
      <w:r>
        <w:rPr>
          <w:b/>
          <w:bCs/>
        </w:rPr>
        <w:t xml:space="preserve">smoothly</w:t>
      </w:r>
      <w:r>
        <w:t xml:space="preserve"> </w:t>
      </w:r>
      <w:r>
        <w:t xml:space="preserve">from 0.98 to a plateau near 0.82 — its graded shift tolerance acting on a real</w:t>
      </w:r>
      <w:r>
        <w:t xml:space="preserve"> </w:t>
      </w:r>
      <w:r>
        <w:t xml:space="preserve">titration — while both decoys sit far below every titration point (OAA 0.19, EphB3 0.41). LCC keeps</w:t>
      </w:r>
      <w:r>
        <w:t xml:space="preserve"> </w:t>
      </w:r>
      <w:r>
        <w:t xml:space="preserve">the widest separation (0.57) and the widest margin (0.41): both decoy proteins clear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same-protein score by a comfortable gap, whereas the tree and nearest-neighbour margins are a</w:t>
      </w:r>
      <w:r>
        <w:t xml:space="preserve"> </w:t>
      </w:r>
      <w:r>
        <w:t xml:space="preserve">knife-edge (0.12 and 0.02, a single noisy titration point from crossing). The un-centred cosine</w:t>
      </w:r>
      <w:r>
        <w:t xml:space="preserve"> </w:t>
      </w:r>
      <w:r>
        <w:t xml:space="preserve">trails (0.46 / 0.35), so mean-centring still earns the gap against a genuine negative distribution. This test is harder than the single-decoy benchmark on both axes —</w:t>
      </w:r>
      <w:r>
        <w:t xml:space="preserve"> </w:t>
      </w:r>
      <w:r>
        <w:t xml:space="preserve">a longer titration with larger shifts and a second, tougher decoy — yet the ordering is unchanged,</w:t>
      </w:r>
      <w:r>
        <w:t xml:space="preserve"> </w:t>
      </w:r>
      <w:r>
        <w:t xml:space="preserve">so LCC’s dense-regime margin is not an artefact of one negative spectrum.</w:t>
      </w:r>
    </w:p>
    <w:p>
      <w:pPr>
        <w:pStyle w:val="BodyText"/>
      </w:pPr>
      <w:r>
        <w:rPr>
          <w:i/>
          <w:iCs/>
        </w:rPr>
        <w:t xml:space="preserve">Sparse small-molecule</w:t>
      </w:r>
      <w:r>
        <w:rPr>
          <w:i/>
          <w:i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rPr>
          <w:i/>
          <w:iCs/>
        </w:rPr>
        <w:t xml:space="preserve">C.</w:t>
      </w:r>
      <w:r>
        <w:t xml:space="preserve"> </w:t>
      </w:r>
      <w:r>
        <w:t xml:space="preserve">To probe the opposite regime — and to replace the single</w:t>
      </w:r>
      <w:r>
        <w:t xml:space="preserve"> </w:t>
      </w:r>
      <w:r>
        <w:t xml:space="preserve">negative spectrum above with a large negative set — we used public HSQC peak lists from the</w:t>
      </w:r>
      <w:r>
        <w:t xml:space="preserve"> </w:t>
      </w:r>
      <w:r>
        <w:t xml:space="preserve">simpleNMR example set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33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for five compounds each recorded twice (one nominal sixth pair was</w:t>
      </w:r>
      <w:r>
        <w:t xml:space="preserve"> </w:t>
      </w:r>
      <w:r>
        <w:t xml:space="preserve">excluded on inspection as a byte-identical duplicate; Supporting Information), and asked each</w:t>
      </w:r>
      <w:r>
        <w:t xml:space="preserve"> </w:t>
      </w:r>
      <w:r>
        <w:t xml:space="preserve">method to score the 5 same-compound pairs above the 40 different-compound pairs, inside 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0–10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0–165 ppm window. LCC again leads (mean same 0.78, mean different</w:t>
      </w:r>
      <w:r>
        <w:t xml:space="preserve"> </w:t>
      </w:r>
      <w:r>
        <w:t xml:space="preserve">0.003, separation 0.78). The bin method is far stronger here (0.65) than on the dense</w:t>
      </w:r>
      <w:r>
        <w:t xml:space="preserve"> </w:t>
      </w:r>
      <w:r>
        <w:t xml:space="preserve">fingerprint (0.29): with few, well-separated peaks its hard bins rarely straddle a peak. The</w:t>
      </w:r>
      <w:r>
        <w:t xml:space="preserve"> </w:t>
      </w:r>
      <w:r>
        <w:t xml:space="preserve">tree and nearest-neighbour methods, however,</w:t>
      </w:r>
      <w:r>
        <w:t xml:space="preserve"> </w:t>
      </w:r>
      <w:r>
        <w:rPr>
          <w:b/>
          <w:bCs/>
        </w:rPr>
        <w:t xml:space="preserve">leave the two classes barely separable in this</w:t>
      </w:r>
      <w:r>
        <w:rPr>
          <w:b/>
          <w:bCs/>
        </w:rPr>
        <w:t xml:space="preserve"> </w:t>
      </w:r>
      <w:r>
        <w:rPr>
          <w:b/>
          <w:bCs/>
        </w:rPr>
        <w:t xml:space="preserve">regime too</w:t>
      </w:r>
      <w:r>
        <w:t xml:space="preserve"> </w:t>
      </w:r>
      <w:r>
        <w:t xml:space="preserve">(margins 0.09 and 0.04, despite separations of 0.41 and 0.10): over a wide window a</w:t>
      </w:r>
      <w:r>
        <w:t xml:space="preserve"> </w:t>
      </w:r>
      <w:r>
        <w:t xml:space="preserve">different molecule still supplies a near neighbour for every peak. Their shift tolerance is</w:t>
      </w:r>
      <w:r>
        <w:t xml:space="preserve"> </w:t>
      </w:r>
      <w:r>
        <w:t xml:space="preserve">real — per pair, it keeps two solvent-shifted recordings of the same compound high (0.83–1.00,</w:t>
      </w:r>
      <w:r>
        <w:t xml:space="preserve"> </w:t>
      </w:r>
      <w:r>
        <w:t xml:space="preserve">where the position-sensitive LCC and bin methods drop to 0.30–0.60) — but it tolerates</w:t>
      </w:r>
      <w:r>
        <w:t xml:space="preserve"> </w:t>
      </w:r>
      <w:r>
        <w:rPr>
          <w:i/>
          <w:iCs/>
        </w:rPr>
        <w:t xml:space="preserve">everything</w:t>
      </w:r>
      <w:r>
        <w:t xml:space="preserve">, so it never becomes discrimination. LCC recovers that same tolerance</w:t>
      </w:r>
      <w:r>
        <w:t xml:space="preserve"> </w:t>
      </w:r>
      <w:r>
        <w:t xml:space="preserve">controllably, through its blur width, without surrendering the between-compound contrast</w:t>
      </w:r>
      <w:r>
        <w:t xml:space="preserve"> </w:t>
      </w:r>
      <w:r>
        <w:t xml:space="preserve">(Supporting Information). Notably, in this sparse regime the un-centred cosine matches LCC exactly</w:t>
      </w:r>
      <w:r>
        <w:t xml:space="preserve"> </w:t>
      </w:r>
      <w:r>
        <w:t xml:space="preserve">(separation 0.78): where crosspeaks rarely overlap there is no coincidental non-co-located</w:t>
      </w:r>
      <w:r>
        <w:t xml:space="preserve"> </w:t>
      </w:r>
      <w:r>
        <w:t xml:space="preserve">intensity for mean-centring to penalize, so its benefit is specific to the dense fingerprint.</w:t>
      </w:r>
    </w:p>
    <w:p>
      <w:pPr>
        <w:pStyle w:val="BodyText"/>
      </w:pPr>
      <w:r>
        <w:rPr>
          <w:i/>
          <w:iCs/>
        </w:rPr>
        <w:t xml:space="preserve">Statistical strength and a retrieval test.</w:t>
      </w:r>
      <w:r>
        <w:t xml:space="preserve"> </w:t>
      </w:r>
      <w:r>
        <w:t xml:space="preserve">Two additions probe how much of this the small</w:t>
      </w:r>
      <w:r>
        <w:t xml:space="preserve"> </w:t>
      </w:r>
      <w:r>
        <w:t xml:space="preserve">samples actually support (Figure 3). First, bootstrapping the sparse-regime separation (resampling</w:t>
      </w:r>
      <w:r>
        <w:t xml:space="preserve"> </w:t>
      </w:r>
      <w:r>
        <w:t xml:space="preserve">the 5 same- and 40 different-compound pairs,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draws) gives LCC 0.78 (95% CI 0.55–0.98),</w:t>
      </w:r>
      <w:r>
        <w:t xml:space="preserve"> </w:t>
      </w:r>
      <w:r>
        <w:rPr>
          <w:b/>
          <w:bCs/>
        </w:rPr>
        <w:t xml:space="preserve">overlapping</w:t>
      </w:r>
      <w:r>
        <w:t xml:space="preserve"> </w:t>
      </w:r>
      <w:r>
        <w:t xml:space="preserve">the bin method’s 0.65 (0.42–0.84) but cleanly above the saturating tree (0.41,</w:t>
      </w:r>
      <w:r>
        <w:t xml:space="preserve"> </w:t>
      </w:r>
      <w:r>
        <w:t xml:space="preserve">0.34–0.49) and nearest-neighbour (0.10, 0.09–0.11) measures (Figure 3a): on this five-compound set</w:t>
      </w:r>
      <w:r>
        <w:t xml:space="preserve"> </w:t>
      </w:r>
      <w:r>
        <w:t xml:space="preserve">LCC’s edge over the bin method is within noise, while its advantage over the two shift-tolerant</w:t>
      </w:r>
      <w:r>
        <w:t xml:space="preserve"> </w:t>
      </w:r>
      <w:r>
        <w:t xml:space="preserve">methods is significant. Mean-centring is what separates LCC from the un-centred cosine, and only</w:t>
      </w:r>
      <w:r>
        <w:t xml:space="preserve"> </w:t>
      </w:r>
      <w:r>
        <w:t xml:space="preserve">where peaks crowd: the ablation gains</w:t>
      </w:r>
      <w:r>
        <w:t xml:space="preserve"> </w:t>
      </w:r>
      <m:oMath>
        <m:r>
          <m:rPr>
            <m:sty m:val="p"/>
          </m:rPr>
          <m:t>+</m:t>
        </m:r>
        <m:r>
          <m:t>0.16</m:t>
        </m:r>
      </m:oMath>
      <w:r>
        <w:t xml:space="preserve"> </w:t>
      </w:r>
      <w:r>
        <w:t xml:space="preserve">on the dense fingerprint but nothing on the sparse set</w:t>
      </w:r>
      <w:r>
        <w:t xml:space="preserve"> </w:t>
      </w:r>
      <w:r>
        <w:t xml:space="preserve">(Figure 3b). Second, cast as a library search — rank the other nine spectra for each of the ten and</w:t>
      </w:r>
      <w:r>
        <w:t xml:space="preserve"> </w:t>
      </w:r>
      <w:r>
        <w:t xml:space="preserve">ask whether the true same-compound partner ranks first —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method scores top-1 = 1.00 (mean</w:t>
      </w:r>
      <w:r>
        <w:t xml:space="preserve"> </w:t>
      </w:r>
      <w:r>
        <w:t xml:space="preserve">reciprocal rank 1.00): on a small, clean library the correct partner is always the single closest,</w:t>
      </w:r>
      <w:r>
        <w:t xml:space="preserve"> </w:t>
      </w:r>
      <w:r>
        <w:t xml:space="preserve">even for the saturating methods, so retrieval becomes discriminating only under a rejection</w:t>
      </w:r>
      <w:r>
        <w:t xml:space="preserve"> </w:t>
      </w:r>
      <w:r>
        <w:t xml:space="preserve">threshold or at library scale — which is exactly what the separation and margin measure. The</w:t>
      </w:r>
      <w:r>
        <w:t xml:space="preserve"> </w:t>
      </w:r>
      <w:r>
        <w:t xml:space="preserve">dense-protein margin (0.71) remains LCC’s strongest single number, but rather than rest it on one</w:t>
      </w:r>
      <w:r>
        <w:t xml:space="preserve"> </w:t>
      </w:r>
      <w:r>
        <w:t xml:space="preserve">decoy we add an expanded dense test with a second decoy protein (EphB3) and an independent PRL3</w:t>
      </w:r>
      <w:r>
        <w:t xml:space="preserve"> </w:t>
      </w:r>
      <w:r>
        <w:t xml:space="preserve">titration (Table 2), on which LCC keeps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decoys below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same-protein point; the sparse</w:t>
      </w:r>
      <w:r>
        <w:t xml:space="preserve"> </w:t>
      </w:r>
      <w:r>
        <w:t xml:space="preserve">regime and this retrieval test further broaden the evidence with a larger, public,</w:t>
      </w:r>
      <w:r>
        <w:t xml:space="preserve"> </w:t>
      </w:r>
      <w:r>
        <w:t xml:space="preserve">fully-reproducible negative set.</w:t>
      </w:r>
    </w:p>
    <w:p>
      <w:pPr>
        <w:pStyle w:val="BodyText"/>
      </w:pPr>
      <w:r>
        <w:t xml:space="preserve">Across both regimes LCC is thus the only measure that beats the saturating tree and</w:t>
      </w:r>
      <w:r>
        <w:t xml:space="preserve"> </w:t>
      </w:r>
      <w:r>
        <w:t xml:space="preserve">nearest-neighbour methods while retaining their shift tolerance, and it matches or exceeds the bin</w:t>
      </w:r>
      <w:r>
        <w:t xml:space="preserve"> </w:t>
      </w:r>
      <w:r>
        <w:t xml:space="preserve">method — decisively on the dense amide fingerprint (margin 0.71 vs 0.24), comparably on the sparse</w:t>
      </w:r>
      <w:r>
        <w:t xml:space="preserve"> </w:t>
      </w:r>
      <w:r>
        <w:t xml:space="preserve">set (within the bootstrap CI) (Table 1). Its two knobs, the per-axis blur widths, are both</w:t>
      </w:r>
      <w:r>
        <w:t xml:space="preserve"> </w:t>
      </w:r>
      <w:r>
        <w:t xml:space="preserve">physical: the linewidth sets the floor and the expected shift perturbation sets how much drift is</w:t>
      </w:r>
      <w:r>
        <w:t xml:space="preserve"> </w:t>
      </w:r>
      <w:r>
        <w:t xml:space="preserve">tolerated. Two caveats bound the claim honestly. First, LCC</w:t>
      </w:r>
      <w:r>
        <w:t xml:space="preserve"> </w:t>
      </w:r>
      <w:r>
        <w:t xml:space="preserve">measures position-and-intensity coincidence, not molecular identity, so a close structural</w:t>
      </w:r>
      <w:r>
        <w:t xml:space="preserve"> </w:t>
      </w:r>
      <w:r>
        <w:t xml:space="preserve">analogue will score intermediate — the correct behaviour for a</w:t>
      </w:r>
      <w:r>
        <w:t xml:space="preserve"> </w:t>
      </w:r>
      <w:r>
        <w:rPr>
          <w:i/>
          <w:iCs/>
        </w:rPr>
        <w:t xml:space="preserve">similarity</w:t>
      </w:r>
      <w:r>
        <w:t xml:space="preserve">, but a caveat for</w:t>
      </w:r>
      <w:r>
        <w:t xml:space="preserve"> </w:t>
      </w:r>
      <w:r>
        <w:t xml:space="preserve">hard classification. Second, the three reference methods are our own representative reimplementations</w:t>
      </w:r>
      <w:r>
        <w:t xml:space="preserve"> </w:t>
      </w:r>
      <w:r>
        <w:t xml:space="preserve">compared inside one common window, and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spectra are rendered from peak lists;</w:t>
      </w:r>
      <w:r>
        <w:t xml:space="preserve"> </w:t>
      </w:r>
      <w:r>
        <w:t xml:space="preserve">accordingly the robust</w:t>
      </w:r>
      <w:r>
        <w:t xml:space="preserve"> </w:t>
      </w:r>
      <w:r>
        <w:rPr>
          <w:b/>
          <w:bCs/>
        </w:rPr>
        <w:t xml:space="preserve">ranking</w:t>
      </w:r>
      <w:r>
        <w:t xml:space="preserve">, not the exact numerical values, is the result, and this is</w:t>
      </w:r>
      <w:r>
        <w:t xml:space="preserve"> </w:t>
      </w:r>
      <w:r>
        <w:t xml:space="preserve">not a verdict on the original methods as their authors deployed them with per-spectrum windows.</w:t>
      </w:r>
    </w:p>
    <w:p>
      <w:pPr>
        <w:pStyle w:val="BodyText"/>
      </w:pPr>
      <w:r>
        <w:t xml:space="preserve">In summary, a single, physically-motivated construction — render onto a shared grid, blur by the</w:t>
      </w:r>
      <w:r>
        <w:t xml:space="preserve"> </w:t>
      </w:r>
      <w:r>
        <w:t xml:space="preserve">NMR linewidth, and take the mean-centred zero-lag correlation — reconciles shift tolerance with</w:t>
      </w:r>
      <w:r>
        <w:t xml:space="preserve"> </w:t>
      </w:r>
      <w:r>
        <w:t xml:space="preserve">discrimination, the two requirements that the incumbent measures satisfy only one at a time. Both</w:t>
      </w:r>
      <w:r>
        <w:t xml:space="preserve"> </w:t>
      </w:r>
      <w:r>
        <w:t xml:space="preserve">of LCC’s knobs are spectroscopic quantities rather than fitting parameters (its self-similarity is</w:t>
      </w:r>
      <w:r>
        <w:t xml:space="preserve"> </w:t>
      </w:r>
      <w:r>
        <w:t xml:space="preserve">exact, as for every method tested), and it needs no peak picking, no alignment search, and no</w:t>
      </w:r>
      <w:r>
        <w:t xml:space="preserve"> </w:t>
      </w:r>
      <w:r>
        <w:t xml:space="preserve">external solver. We are candid about scope: this is a</w:t>
      </w:r>
      <w:r>
        <w:t xml:space="preserve"> </w:t>
      </w:r>
      <w:r>
        <w:rPr>
          <w:b/>
          <w:bCs/>
        </w:rPr>
        <w:t xml:space="preserve">methodological</w:t>
      </w:r>
      <w:r>
        <w:t xml:space="preserve"> </w:t>
      </w:r>
      <w:r>
        <w:t xml:space="preserve">contribution — a robust,</w:t>
      </w:r>
      <w:r>
        <w:t xml:space="preserve"> </w:t>
      </w:r>
      <w:r>
        <w:t xml:space="preserve">reproducible similarity primitive, not a new chemical discovery — and although its most decisive</w:t>
      </w:r>
      <w:r>
        <w:t xml:space="preserve"> </w:t>
      </w:r>
      <w:r>
        <w:t xml:space="preserve">number, the dense-protein margin, was first measured against one decoy, we now show it holds against</w:t>
      </w:r>
      <w:r>
        <w:t xml:space="preserve"> </w:t>
      </w:r>
      <w:r>
        <w:t xml:space="preserve">two decoy proteins on an independent titration (Table 2) and add the larger public sparse benchmark</w:t>
      </w:r>
      <w:r>
        <w:t xml:space="preserve"> </w:t>
      </w:r>
      <w:r>
        <w:t xml:space="preserve">and the retrieval test. Within those bounds LCC is directly useful wherever a</w:t>
      </w:r>
      <w:r>
        <w:t xml:space="preserve"> </w:t>
      </w:r>
      <w:r>
        <w:t xml:space="preserve">robust 2D-HSQC similarity is the bottleneck: automated titration tracking and CSP read-out, library</w:t>
      </w:r>
      <w:r>
        <w:t xml:space="preserve"> </w:t>
      </w:r>
      <w:r>
        <w:t xml:space="preserve">and dereplication searches, quality control of repeated measurements, and the higher-order-structure</w:t>
      </w:r>
      <w:r>
        <w:t xml:space="preserve"> </w:t>
      </w:r>
      <w:r>
        <w:t xml:space="preserve">comparability assessment of protein biotherapeutics and biosimilars, where 2D-NMR fingerprint</w:t>
      </w:r>
      <w:r>
        <w:t xml:space="preserve"> </w:t>
      </w:r>
      <w:r>
        <w:t xml:space="preserve">comparison is already an established readout.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[</m:t>
            </m:r>
            <m:r>
              <m:t>15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]</m:t>
            </m:r>
          </m:sup>
        </m:sSup>
      </m:oMath>
      <w:r>
        <w:t xml:space="preserve"> </w:t>
      </w:r>
      <w:r>
        <w:t xml:space="preserve">The natural next steps are a prospective,</w:t>
      </w:r>
      <w:r>
        <w:t xml:space="preserve"> </w:t>
      </w:r>
      <w:r>
        <w:t xml:space="preserve">at-scale dereplication study against a community library and a formulation/biosimilar HOS</w:t>
      </w:r>
      <w:r>
        <w:t xml:space="preserve"> </w:t>
      </w:r>
      <w:r>
        <w:t xml:space="preserve">comparison, for both of which LCC supplies the scoring primitive. The full derivation, all three benchmark protocols, every numerical table with</w:t>
      </w:r>
      <w:r>
        <w:t xml:space="preserve"> </w:t>
      </w:r>
      <w:r>
        <w:t xml:space="preserve">confidence intervals, and the 26-test suite are provided as Supporting Information; the software is</w:t>
      </w:r>
      <w:r>
        <w:t xml:space="preserve"> </w:t>
      </w:r>
      <w:r>
        <w:t xml:space="preserve">freely available under the MIT license.</w:t>
      </w:r>
    </w:p>
    <w:bookmarkStart w:id="18" w:name="figures"/>
    <w:p>
      <w:pPr>
        <w:pStyle w:val="Heading2"/>
      </w:pPr>
      <w:r>
        <w:t xml:space="preserve">Figures</w:t>
      </w:r>
    </w:p>
    <w:p>
      <w:pPr>
        <w:pStyle w:val="CaptionedFigure"/>
      </w:pPr>
      <w:r>
        <w:drawing>
          <wp:inline>
            <wp:extent cx="5334000" cy="2314815"/>
            <wp:effectExtent b="0" l="0" r="0" t="0"/>
            <wp:docPr descr="Figure 1. The Lineshape Correlation Coefficient. (a) The three-step construction: area-weighted rendering of both spectra onto one shared grid, a separable Gaussian blur of physical width \sigma = \sqrt{\ell^2 + d^2} per axis, and the mean-centred zero-lag normalized cross-correlation of the two images (red/blue = positive/negative contribution to the score). (b) Graded shift tolerance: two copies of an isolated peak displaced by \Delta correlate as \exp(-\Delta^2/4\sigma^2), smooth and monotone in the drift, so a physical titration drift (shaded) costs little while a random relocation costs almost everything." title="" id="10" name="Picture"/>
            <a:graphic>
              <a:graphicData uri="http://schemas.openxmlformats.org/drawingml/2006/picture">
                <pic:pic>
                  <pic:nvPicPr>
                    <pic:cNvPr descr="../results/lcc_schemat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Lineshape Correlation Coefficient. (a) The three-step construction:</w:t>
      </w:r>
      <w:r>
        <w:t xml:space="preserve"> </w:t>
      </w:r>
      <w:r>
        <w:t xml:space="preserve">area-weighted rendering of both spectra onto one shared grid, a separable Gaussian blur of</w:t>
      </w:r>
      <w:r>
        <w:t xml:space="preserve"> </w:t>
      </w:r>
      <w:r>
        <w:t xml:space="preserve">physical width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ℓ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per axis, and the mean-centred zero-lag normalized</w:t>
      </w:r>
      <w:r>
        <w:t xml:space="preserve"> </w:t>
      </w:r>
      <w:r>
        <w:t xml:space="preserve">cross-correlation of the two images (red/blue = positive/negative contribution to the score).</w:t>
      </w:r>
      <w:r>
        <w:t xml:space="preserve"> </w:t>
      </w:r>
      <w:r>
        <w:t xml:space="preserve">(b) Graded shift tolerance: two copies of an isolated peak displaced by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correlate as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smooth and monotone in the drift, so a physical titration drift</w:t>
      </w:r>
      <w:r>
        <w:t xml:space="preserve"> </w:t>
      </w:r>
      <w:r>
        <w:t xml:space="preserve">(shaded) costs little while a random relocation costs almost</w:t>
      </w:r>
      <w:r>
        <w:t xml:space="preserve"> </w:t>
      </w:r>
      <w:r>
        <w:t xml:space="preserve">everything.</w:t>
      </w:r>
    </w:p>
    <w:p>
      <w:pPr>
        <w:pStyle w:val="CaptionedFigure"/>
      </w:pPr>
      <w:r>
        <w:drawing>
          <wp:inline>
            <wp:extent cx="5334000" cy="2729023"/>
            <wp:effectExtent b="0" l="0" r="0" t="0"/>
            <wp:docPr descr="Figure 2. Same/different separation (mean same-class − mean different-class similarity) for every method on the two benchmarks: dense protein ^1H–^{15}N (left of each pair) and sparse small-molecule ^1H–^{13}C (right). LCC leads in both regimes; the tree and nearest-neighbour methods saturate in both. The un-centred cosine (an ablation of LCC without mean-centring) matches LCC on the sparse regime but falls from 0.75 to 0.59 on the dense fingerprint, isolating mean-centring as the step that rescues discrimination when peaks crowd." title="" id="13" name="Picture"/>
            <a:graphic>
              <a:graphicData uri="http://schemas.openxmlformats.org/drawingml/2006/picture">
                <pic:pic>
                  <pic:nvPicPr>
                    <pic:cNvPr descr="../results/comparison_al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Same/different separation (mean same-class − mean different-class similarity) for</w:t>
      </w:r>
      <w:r>
        <w:t xml:space="preserve"> </w:t>
      </w:r>
      <w:r>
        <w:t xml:space="preserve">every method on the two benchmarks: dense protein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(left of each pair) and sparse</w:t>
      </w:r>
      <w:r>
        <w:t xml:space="preserve"> </w:t>
      </w:r>
      <w:r>
        <w:t xml:space="preserve">small-molecule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(right). LCC leads in both regimes; the tree and nearest-neighbour</w:t>
      </w:r>
      <w:r>
        <w:t xml:space="preserve"> </w:t>
      </w:r>
      <w:r>
        <w:t xml:space="preserve">methods saturate in both. The un-centred cosine (an ablation of LCC without mean-centring) matches</w:t>
      </w:r>
      <w:r>
        <w:t xml:space="preserve"> </w:t>
      </w:r>
      <w:r>
        <w:t xml:space="preserve">LCC on the sparse regime but falls from 0.75 to 0.59 on the dense fingerprint, isolating</w:t>
      </w:r>
      <w:r>
        <w:t xml:space="preserve"> </w:t>
      </w:r>
      <w:r>
        <w:t xml:space="preserve">mean-centring as the step that rescues discrimination when peaks</w:t>
      </w:r>
      <w:r>
        <w:t xml:space="preserve"> </w:t>
      </w:r>
      <w:r>
        <w:t xml:space="preserve">crowd.</w:t>
      </w:r>
    </w:p>
    <w:p>
      <w:pPr>
        <w:pStyle w:val="CaptionedFigure"/>
      </w:pPr>
      <w:r>
        <w:drawing>
          <wp:inline>
            <wp:extent cx="5334000" cy="2184640"/>
            <wp:effectExtent b="0" l="0" r="0" t="0"/>
            <wp:docPr descr="Figure 3. Statistical strength and the mean-centring ablation. (a) Sparse ^1H–^{13}C separation with a bootstrap 95% CI (10^4 resamples of the 5 same- and 40 different-compound pairs): LCC (blue) and the bin method (orange) have overlapping intervals — their difference is within noise at five compounds — while both sit cleanly above the saturating quad-tree and nearest-neighbour measures (grey), and the un-centred cosine (light blue, the LCC ablation) coincides with LCC. (b) Mean-centring ablation by regime: replacing the mean-centred correlation with the un-centred cosine costs 0.16 of separation on the dense protein fingerprint (0.75 → 0.59) but nothing on the sparse set (0.78 → 0.78) — mean-centring rescues discrimination only where peaks crowd." title="" id="16" name="Picture"/>
            <a:graphic>
              <a:graphicData uri="http://schemas.openxmlformats.org/drawingml/2006/picture">
                <pic:pic>
                  <pic:nvPicPr>
                    <pic:cNvPr descr="../results/fig3_stats_ablati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Statistical strength and the mean-centring ablation.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Sparse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separation with a bootstrap 95% CI (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resamples of the 5 same- and 40</w:t>
      </w:r>
      <w:r>
        <w:t xml:space="preserve"> </w:t>
      </w:r>
      <w:r>
        <w:t xml:space="preserve">different-compound pairs): LCC (blue) and the bin method (orange) have</w:t>
      </w:r>
      <w:r>
        <w:t xml:space="preserve"> </w:t>
      </w:r>
      <w:r>
        <w:rPr>
          <w:b/>
          <w:bCs/>
        </w:rPr>
        <w:t xml:space="preserve">overlapping</w:t>
      </w:r>
      <w:r>
        <w:t xml:space="preserve"> </w:t>
      </w:r>
      <w:r>
        <w:t xml:space="preserve">intervals —</w:t>
      </w:r>
      <w:r>
        <w:t xml:space="preserve"> </w:t>
      </w:r>
      <w:r>
        <w:t xml:space="preserve">their difference is within noise at five compounds — while both sit cleanly above the saturating</w:t>
      </w:r>
      <w:r>
        <w:t xml:space="preserve"> </w:t>
      </w:r>
      <w:r>
        <w:t xml:space="preserve">quad-tree and nearest-neighbour measures (grey), and the un-centred cosine (light blue, the LCC</w:t>
      </w:r>
      <w:r>
        <w:t xml:space="preserve"> </w:t>
      </w:r>
      <w:r>
        <w:t xml:space="preserve">ablation) coincides with LCC.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Mean-centring ablation by regime: replacing the mean-centred</w:t>
      </w:r>
      <w:r>
        <w:t xml:space="preserve"> </w:t>
      </w:r>
      <w:r>
        <w:t xml:space="preserve">correlation with the un-centred cosine costs 0.16 of separation on the dense protein fingerprint</w:t>
      </w:r>
      <w:r>
        <w:t xml:space="preserve"> </w:t>
      </w:r>
      <w:r>
        <w:t xml:space="preserve">(0.75 → 0.59) but nothing on the sparse set (0.78 → 0.78) — mean-centring rescues discrimination</w:t>
      </w:r>
      <w:r>
        <w:t xml:space="preserve"> </w:t>
      </w:r>
      <w:r>
        <w:t xml:space="preserve">only where peaks crowd.</w:t>
      </w:r>
    </w:p>
    <w:bookmarkEnd w:id="18"/>
    <w:bookmarkStart w:id="19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Separation and worst-case margin for all methods on both regimes, computed from</w:t>
      </w:r>
      <w:r>
        <w:t xml:space="preserve"> </w:t>
      </w:r>
      <w:r>
        <w:t xml:space="preserve">unrounded scores. Higher is better; every method self-scores 1.00.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H–</w:t>
            </w:r>
            <m:oMath>
              <m:sSup>
                <m:e>
                  <m:r>
                    <m:t>​</m:t>
                  </m:r>
                </m:e>
                <m:sup>
                  <m:r>
                    <m:t>15</m:t>
                  </m:r>
                </m:sup>
              </m:sSup>
            </m:oMath>
            <w:r>
              <w:t xml:space="preserve">N sep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H–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sep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(Bodis, 2009)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+ 45° rotation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Quad-tree (Castillo, 2013)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 neighbour (Pierens, 2012)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Cosine, un-centred (LCC ablation)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LCC (this work)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0.37</w:t>
            </w:r>
          </w:p>
        </w:tc>
      </w:tr>
    </w:tbl>
    <w:p>
      <w:pPr>
        <w:pStyle w:val="BodyText"/>
      </w:pPr>
      <w:r>
        <w:t xml:space="preserve">The un-centred cosine is LCC without mean-centring, on the same rendered/blurred images; it is an</w:t>
      </w:r>
      <w:r>
        <w:t xml:space="preserve"> </w:t>
      </w:r>
      <w:r>
        <w:t xml:space="preserve">ablation, not an independent method. Its dense-protein margin was not recomputed here (the</w:t>
      </w:r>
      <w:r>
        <w:t xml:space="preserve"> </w:t>
      </w:r>
      <w:r>
        <w:t xml:space="preserve">ablation reports separation only).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benchmark uses 5 same-compound pairs and 40</w:t>
      </w:r>
      <w:r>
        <w:t xml:space="preserve"> </w:t>
      </w:r>
      <w:r>
        <w:t xml:space="preserve">different-compound pairs; a nominal sixth pair (olivetol) was excluded as a byte-identical</w:t>
      </w:r>
      <w:r>
        <w:t xml:space="preserve"> </w:t>
      </w:r>
      <w:r>
        <w:t xml:space="preserve">duplicate. Bootstrap 95% CIs on the sparse separation (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resamples): LCC 0.55–0.98, bin</w:t>
      </w:r>
      <w:r>
        <w:t xml:space="preserve"> </w:t>
      </w:r>
      <w:r>
        <w:t xml:space="preserve">0.42–0.84 (overlapping LCC), tree 0.34–0.49, NN 0.09–0.11 (both below LCC). Cast as a library</w:t>
      </w:r>
      <w:r>
        <w:t xml:space="preserve"> </w:t>
      </w:r>
      <w:r>
        <w:t xml:space="preserve">search over the 10 spectra, all six methods retrieve the correct same-compound partner at rank 1</w:t>
      </w:r>
      <w:r>
        <w:t xml:space="preserve"> </w:t>
      </w:r>
      <w:r>
        <w:t xml:space="preserve">(top-1 = 1.00, MRR = 1.00) — retrieval on a small clean library does not separate the methods; the</w:t>
      </w:r>
      <w:r>
        <w:t xml:space="preserve"> </w:t>
      </w:r>
      <w:r>
        <w:t xml:space="preserve">thresholded separation/margin does.</w:t>
      </w:r>
    </w:p>
    <w:bookmarkEnd w:id="19"/>
    <w:bookmarkStart w:id="20" w:name="table-2"/>
    <w:p>
      <w:pPr>
        <w:pStyle w:val="Heading2"/>
      </w:pPr>
      <w:r>
        <w:t xml:space="preserve">Table 2</w:t>
      </w:r>
    </w:p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Expanded dense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benchmark addressing the single-decoy limitation: a PRL3</w:t>
      </w:r>
      <w:r>
        <w:t xml:space="preserve"> </w:t>
      </w:r>
      <w:r>
        <w:t xml:space="preserve">apo–olsalazine titration (23 same-protein points, exps 4–48) scored against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decoy proteins</w:t>
      </w:r>
      <w:r>
        <w:t xml:space="preserve"> </w:t>
      </w:r>
      <w:r>
        <w:t xml:space="preserve">(OAA, EphB3) in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6.5–10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105–130 ppm window. Separation = mean same − mean</w:t>
      </w:r>
      <w:r>
        <w:t xml:space="preserve"> </w:t>
      </w:r>
      <w:r>
        <w:t xml:space="preserve">decoy; margin = worst same − worst decoy. Higher is better; every method self-scores 1.00.</w:t>
      </w:r>
      <w:r>
        <w:t xml:space="preserve"> </w:t>
      </w:r>
      <w:r>
        <w:t xml:space="preserve">Reproducible with</w:t>
      </w:r>
      <w:r>
        <w:t xml:space="preserve"> </w:t>
      </w:r>
      <w:r>
        <w:rPr>
          <w:rStyle w:val="VerbatimChar"/>
        </w:rPr>
        <w:t xml:space="preserve">python3 bench_nhsqc.py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 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EphB3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separation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LCC (this work)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Cosine, un-centred (LCC ablation)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(Bodis, 2009)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+ 45° rotation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Quad-tree (Castillo, 2013)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 neighbour (Pierens, 2012)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</w:tr>
    </w:tbl>
    <w:p>
      <w:pPr>
        <w:pStyle w:val="BodyText"/>
      </w:pPr>
      <w:r>
        <w:t xml:space="preserve">Both decoy proteins score below every one of the 23 titration points for LCC (worst same 0.82 &gt;</w:t>
      </w:r>
      <w:r>
        <w:t xml:space="preserve"> </w:t>
      </w:r>
      <w:r>
        <w:t xml:space="preserve">worst decoy 0.41), so the margin is positive across two distinct folds — the negative side is now a</w:t>
      </w:r>
      <w:r>
        <w:t xml:space="preserve"> </w:t>
      </w:r>
      <w:r>
        <w:t xml:space="preserve">distribution, not a single spectrum. The numbers are lower than the single-decoy benchmark (Table 1)</w:t>
      </w:r>
      <w:r>
        <w:t xml:space="preserve"> </w:t>
      </w:r>
      <w:r>
        <w:t xml:space="preserve">because this test is harder on both axes: the olsalazine titration reaches larger shifts (min same</w:t>
      </w:r>
      <w:r>
        <w:t xml:space="preserve"> </w:t>
      </w:r>
      <w:r>
        <w:t xml:space="preserve">0.82 vs 0.89) and EphB3 is a tougher decoy than OAA (0.41 vs 0.19); LCC’s ordering is nevertheless</w:t>
      </w:r>
      <w:r>
        <w:t xml:space="preserve"> </w:t>
      </w:r>
      <w:r>
        <w:t xml:space="preserve">unchanged.</w:t>
      </w:r>
    </w:p>
    <w:bookmarkEnd w:id="20"/>
    <w:bookmarkStart w:id="21" w:name="supporting-information"/>
    <w:p>
      <w:pPr>
        <w:pStyle w:val="Heading2"/>
      </w:pPr>
      <w:r>
        <w:t xml:space="preserve">Supporting Information</w:t>
      </w:r>
    </w:p>
    <w:p>
      <w:pPr>
        <w:pStyle w:val="FirstParagraph"/>
      </w:pPr>
      <w:r>
        <w:t xml:space="preserve">The Supporting Information (full mathematical derivation with proofs, both benchmark protocols,</w:t>
      </w:r>
      <w:r>
        <w:t xml:space="preserve"> </w:t>
      </w:r>
      <w:r>
        <w:t xml:space="preserve">all per-comparison and per-pair numerical tables, robustness sweeps, parameter reference and</w:t>
      </w:r>
      <w:r>
        <w:t xml:space="preserve"> </w:t>
      </w:r>
      <w:r>
        <w:t xml:space="preserve">test-suite description) is available and referenced throughout the text.</w:t>
      </w:r>
    </w:p>
    <w:bookmarkEnd w:id="21"/>
    <w:bookmarkStart w:id="2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developers of the simpleNMR project for the public HSQC peak-list example</w:t>
      </w:r>
      <w:r>
        <w:t xml:space="preserve"> </w:t>
      </w:r>
      <w:r>
        <w:t xml:space="preserve">set used in the sparse-regime benchmark.</w:t>
      </w:r>
    </w:p>
    <w:bookmarkEnd w:id="22"/>
    <w:bookmarkStart w:id="23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23"/>
    <w:bookmarkStart w:id="24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software (LCC, the three reference methods, the un-centred-cosine ablation, all three</w:t>
      </w:r>
      <w:r>
        <w:t xml:space="preserve"> </w:t>
      </w:r>
      <w:r>
        <w:t xml:space="preserve">benchmark harnesses, the tabulated scores and the 26-test suite) is freely available under the MIT</w:t>
      </w:r>
      <w:r>
        <w:t xml:space="preserve"> </w:t>
      </w:r>
      <w:r>
        <w:t xml:space="preserve">license at https://github.com/deepnmr/spectra_similarity_tool. The</w:t>
      </w:r>
      <w:r>
        <w:t xml:space="preserve"> </w:t>
      </w:r>
      <w:r>
        <w:rPr>
          <w:b/>
          <w:bCs/>
        </w:rPr>
        <w:t xml:space="preserve">sparse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H–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rPr>
          <w:b/>
          <w:bCs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 and the dereplication/retrieval experiment are fully reproducible from public data</w:t>
      </w:r>
      <w:r>
        <w:t xml:space="preserve">:</w:t>
      </w:r>
      <w:r>
        <w:t xml:space="preserve"> </w:t>
      </w:r>
      <w:r>
        <w:t xml:space="preserve">the harnesses download the simpleNMR peak lists (https://github.com/EricHughesABC/simpleNMR)</w:t>
      </w:r>
      <w:r>
        <w:t xml:space="preserve"> </w:t>
      </w:r>
      <w:r>
        <w:t xml:space="preserve">automatically and contain no hard-coded paths. The dense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t xml:space="preserve">N benchmark uses PRL3 and OAA</w:t>
      </w:r>
      <w:r>
        <w:t xml:space="preserve"> </w:t>
      </w:r>
      <w:r>
        <w:t xml:space="preserve">Bruker spectra available from the author on reasonable request (the harness reads their location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--prl3/--oaa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$PRL3_DIR/$OAA_DIR</w:t>
      </w:r>
      <w:r>
        <w:t xml:space="preserve">); a public deposition of the processed spectra is in</w:t>
      </w:r>
      <w:r>
        <w:t xml:space="preserve"> </w:t>
      </w:r>
      <w:r>
        <w:t xml:space="preserve">preparation so that the dense benchmark also becomes independently reproducible. The expanded</w:t>
      </w:r>
      <w:r>
        <w:t xml:space="preserve"> </w:t>
      </w:r>
      <w:r>
        <w:t xml:space="preserve">dense benchmark of Table 2 (PRL3–olsalazine titration and the OAA and EphB3 decoy spectra) is</w:t>
      </w:r>
      <w:r>
        <w:t xml:space="preserve"> </w:t>
      </w:r>
      <w:r>
        <w:t xml:space="preserve">computed by</w:t>
      </w:r>
      <w:r>
        <w:t xml:space="preserve"> </w:t>
      </w:r>
      <w:r>
        <w:rPr>
          <w:rStyle w:val="VerbatimChar"/>
        </w:rPr>
        <w:t xml:space="preserve">bench_nhsqc.py</w:t>
      </w:r>
      <w:r>
        <w:t xml:space="preserve"> </w:t>
      </w:r>
      <w:r>
        <w:t xml:space="preserve">from the same processed Bruker data and is included in that deposition.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S. B. Shuker, P. J. Hajduk, R. P. Meadows, S. W. Fesik,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274</w:t>
      </w:r>
      <w:r>
        <w:t xml:space="preserve">, 1531–1534.</w:t>
      </w:r>
    </w:p>
    <w:p>
      <w:pPr>
        <w:pStyle w:val="BodyText"/>
      </w:pPr>
      <w:r>
        <w:t xml:space="preserve">[2] M. Pellecchia, I. Bertini, D. Cowburn, C. Dalvit, E. Giralt, W. Jahnke, T. L. James,</w:t>
      </w:r>
      <w:r>
        <w:t xml:space="preserve"> </w:t>
      </w:r>
      <w:r>
        <w:t xml:space="preserve">S. W. Homans, H. Kessler, C. Luchinat, B. Meyer, H. Oschkinat, J. Peng, H. Schwalbe, G. Siegal,</w:t>
      </w:r>
      <w:r>
        <w:t xml:space="preserve"> </w:t>
      </w:r>
      <w:r>
        <w:rPr>
          <w:i/>
          <w:iCs/>
        </w:rPr>
        <w:t xml:space="preserve">Nat. Rev. Drug Discov.</w:t>
      </w:r>
      <w:r>
        <w:t xml:space="preserve"> </w:t>
      </w:r>
      <w:r>
        <w:rPr>
          <w:b/>
          <w:bCs/>
        </w:rPr>
        <w:t xml:space="preserve">2008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738–745.</w:t>
      </w:r>
    </w:p>
    <w:p>
      <w:pPr>
        <w:pStyle w:val="BodyText"/>
      </w:pPr>
      <w:r>
        <w:t xml:space="preserve">[3] D. A. Erlanson, S. W. Fesik, R. E. Hubbard, W. Jahnke, H. Jhoti,</w:t>
      </w:r>
      <w:r>
        <w:t xml:space="preserve"> </w:t>
      </w:r>
      <w:r>
        <w:rPr>
          <w:i/>
          <w:iCs/>
        </w:rPr>
        <w:t xml:space="preserve">Nat. Rev. Drug Discov.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, 605–619.</w:t>
      </w:r>
    </w:p>
    <w:p>
      <w:pPr>
        <w:pStyle w:val="BodyText"/>
      </w:pPr>
      <w:r>
        <w:t xml:space="preserve">[4] M. P. Williamson,</w:t>
      </w:r>
      <w:r>
        <w:t xml:space="preserve"> </w:t>
      </w:r>
      <w:r>
        <w:rPr>
          <w:i/>
          <w:iCs/>
        </w:rPr>
        <w:t xml:space="preserve">Prog. Nucl. Magn. Reson. Spectrosc.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73</w:t>
      </w:r>
      <w:r>
        <w:t xml:space="preserve">, 1–16.</w:t>
      </w:r>
    </w:p>
    <w:p>
      <w:pPr>
        <w:pStyle w:val="BodyText"/>
      </w:pPr>
      <w:r>
        <w:t xml:space="preserve">[5] S. L. Robinette, R. Brüschweiler, F. C. Schroeder, A. S. Edison,</w:t>
      </w:r>
      <w:r>
        <w:t xml:space="preserve"> </w:t>
      </w:r>
      <w:r>
        <w:rPr>
          <w:i/>
          <w:iCs/>
        </w:rPr>
        <w:t xml:space="preserve">Acc. Chem. Res.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, 288–297.</w:t>
      </w:r>
    </w:p>
    <w:p>
      <w:pPr>
        <w:pStyle w:val="BodyText"/>
      </w:pPr>
      <w:r>
        <w:t xml:space="preserve">[6] K. Bingol, R. Brüschweiler,</w:t>
      </w:r>
      <w:r>
        <w:t xml:space="preserve"> </w:t>
      </w:r>
      <w:r>
        <w:rPr>
          <w:i/>
          <w:iCs/>
        </w:rPr>
        <w:t xml:space="preserve">Anal. Chem.</w:t>
      </w:r>
      <w:r>
        <w:t xml:space="preserve"> </w:t>
      </w:r>
      <w:r>
        <w:rPr>
          <w:b/>
          <w:bCs/>
        </w:rPr>
        <w:t xml:space="preserve">2014</w:t>
      </w:r>
      <w:r>
        <w:t xml:space="preserve">,</w:t>
      </w:r>
      <w:r>
        <w:t xml:space="preserve"> </w:t>
      </w:r>
      <w:r>
        <w:rPr>
          <w:i/>
          <w:iCs/>
        </w:rPr>
        <w:t xml:space="preserve">86</w:t>
      </w:r>
      <w:r>
        <w:t xml:space="preserve">, 47–57.</w:t>
      </w:r>
    </w:p>
    <w:p>
      <w:pPr>
        <w:pStyle w:val="BodyText"/>
      </w:pPr>
      <w:r>
        <w:t xml:space="preserve">[7] B. Worley, R. Powers,</w:t>
      </w:r>
      <w:r>
        <w:t xml:space="preserve"> </w:t>
      </w:r>
      <w:r>
        <w:rPr>
          <w:i/>
          <w:iCs/>
        </w:rPr>
        <w:t xml:space="preserve">Curr. Metabolomics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 92–107.</w:t>
      </w:r>
    </w:p>
    <w:p>
      <w:pPr>
        <w:pStyle w:val="BodyText"/>
      </w:pPr>
      <w:r>
        <w:t xml:space="preserve">[8] E. L. Ulrich, H. Akutsu, J. F. Doreleijers, Y. Harano, Y. E. Ioannidis, J. Lin, M. Livny,</w:t>
      </w:r>
      <w:r>
        <w:t xml:space="preserve"> </w:t>
      </w:r>
      <w:r>
        <w:t xml:space="preserve">S. Mading, D. Maziuk, Z. Miller, E. Nakatani, C. F. Schulte, D. E. Tolmie, R. K. Wenger, H. Yao,</w:t>
      </w:r>
      <w:r>
        <w:t xml:space="preserve"> </w:t>
      </w:r>
      <w:r>
        <w:t xml:space="preserve">J. L. Markley,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rPr>
          <w:b/>
          <w:bCs/>
        </w:rPr>
        <w:t xml:space="preserve">2008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, D402–D408.</w:t>
      </w:r>
    </w:p>
    <w:p>
      <w:pPr>
        <w:pStyle w:val="BodyText"/>
      </w:pPr>
      <w:r>
        <w:t xml:space="preserve">[9] C. Steinbeck, S. Kuhn,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 </w:t>
      </w:r>
      <w:r>
        <w:rPr>
          <w:b/>
          <w:bCs/>
        </w:rPr>
        <w:t xml:space="preserve">2004</w:t>
      </w:r>
      <w:r>
        <w:t xml:space="preserve">,</w:t>
      </w:r>
      <w:r>
        <w:t xml:space="preserve"> </w:t>
      </w:r>
      <w:r>
        <w:rPr>
          <w:i/>
          <w:iCs/>
        </w:rPr>
        <w:t xml:space="preserve">65</w:t>
      </w:r>
      <w:r>
        <w:t xml:space="preserve">, 2711–2717.</w:t>
      </w:r>
    </w:p>
    <w:p>
      <w:pPr>
        <w:pStyle w:val="BodyText"/>
      </w:pPr>
      <w:r>
        <w:t xml:space="preserve">[10] D. S. Wishart, A. Guo, E. Oler, F. Wang, A. Anjum, H. Peters, R. Dizon, Z. Sayeeda, S. Tian,</w:t>
      </w:r>
      <w:r>
        <w:t xml:space="preserve"> </w:t>
      </w:r>
      <w:r>
        <w:t xml:space="preserve">B. L. Lee, M. Berjanskii, R. Mah, M. Yamamoto, J. Jovel, C. Torres-Calzada, M. Hiebert-Giesbrecht,</w:t>
      </w:r>
      <w:r>
        <w:t xml:space="preserve"> </w:t>
      </w:r>
      <w:r>
        <w:t xml:space="preserve">V. W. Lui, D. Varshavi, D. Varshavi, D. Allen, D. Arndt, N. Khetarpal, A. Sivakumaran, K. Harford,</w:t>
      </w:r>
      <w:r>
        <w:t xml:space="preserve"> </w:t>
      </w:r>
      <w:r>
        <w:t xml:space="preserve">S. Sanford, K. Yee, X. Cao, Z. Budinski, J. Liigand, L. Zhang, J. Zheng, R. Mandal, N. Karu,</w:t>
      </w:r>
      <w:r>
        <w:t xml:space="preserve"> </w:t>
      </w:r>
      <w:r>
        <w:t xml:space="preserve">M. Dambrova, H. B. Schiöth, R. Greiner, V. Gautam,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, D622–D631.</w:t>
      </w:r>
    </w:p>
    <w:p>
      <w:pPr>
        <w:pStyle w:val="BodyText"/>
      </w:pPr>
      <w:r>
        <w:t xml:space="preserve">[11] S. A. Berkowitz, J. R. Engen, J. R. Mazzeo, G. B. Jones,</w:t>
      </w:r>
      <w:r>
        <w:t xml:space="preserve"> </w:t>
      </w:r>
      <w:r>
        <w:rPr>
          <w:i/>
          <w:iCs/>
        </w:rPr>
        <w:t xml:space="preserve">Nat. Rev. Drug Discov.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527–540.</w:t>
      </w:r>
    </w:p>
    <w:p>
      <w:pPr>
        <w:pStyle w:val="BodyText"/>
      </w:pPr>
      <w:r>
        <w:t xml:space="preserve">[12] J. P. Gabrielson, W. F. Weiss IV,</w:t>
      </w:r>
      <w:r>
        <w:t xml:space="preserve"> </w:t>
      </w:r>
      <w:r>
        <w:rPr>
          <w:i/>
          <w:iCs/>
        </w:rPr>
        <w:t xml:space="preserve">J. Pharm. Sci.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, 1240–1245.</w:t>
      </w:r>
    </w:p>
    <w:p>
      <w:pPr>
        <w:pStyle w:val="BodyText"/>
      </w:pPr>
      <w:r>
        <w:t xml:space="preserve">[13] L. W. Arbogast, R. G. Brinson, J. P. Marino,</w:t>
      </w:r>
      <w:r>
        <w:t xml:space="preserve"> </w:t>
      </w:r>
      <w:r>
        <w:rPr>
          <w:i/>
          <w:iCs/>
        </w:rPr>
        <w:t xml:space="preserve">Anal. Chem.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87</w:t>
      </w:r>
      <w:r>
        <w:t xml:space="preserve">, 3556–3561.</w:t>
      </w:r>
    </w:p>
    <w:p>
      <w:pPr>
        <w:pStyle w:val="BodyText"/>
      </w:pPr>
      <w:r>
        <w:t xml:space="preserve">[14] H. Ghasriani, D. J. Hodgson, R. G. Brinson, I. McEwen, L. F. Buhse, S. Kozlowski, J. P. Marino,</w:t>
      </w:r>
      <w:r>
        <w:t xml:space="preserve"> </w:t>
      </w:r>
      <w:r>
        <w:t xml:space="preserve">Y. Aubin, D. A. Keire,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, 139–141.</w:t>
      </w:r>
    </w:p>
    <w:p>
      <w:pPr>
        <w:pStyle w:val="BodyText"/>
      </w:pPr>
      <w:r>
        <w:t xml:space="preserve">[15] L. W. Arbogast, F. Delaglio, J. E. Schiel, J. P. Marino,</w:t>
      </w:r>
      <w:r>
        <w:t xml:space="preserve"> </w:t>
      </w:r>
      <w:r>
        <w:rPr>
          <w:i/>
          <w:iCs/>
        </w:rPr>
        <w:t xml:space="preserve">Anal. Chem.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89</w:t>
      </w:r>
      <w:r>
        <w:t xml:space="preserve">,</w:t>
      </w:r>
      <w:r>
        <w:t xml:space="preserve"> </w:t>
      </w:r>
      <w:r>
        <w:t xml:space="preserve">11839–11845.</w:t>
      </w:r>
    </w:p>
    <w:p>
      <w:pPr>
        <w:pStyle w:val="BodyText"/>
      </w:pPr>
      <w:r>
        <w:t xml:space="preserve">[16] R. G. Brinson, J. P. Marino, F. Delaglio, L. W. Arbogast, et al.,</w:t>
      </w:r>
      <w:r>
        <w:t xml:space="preserve"> </w:t>
      </w:r>
      <w:r>
        <w:rPr>
          <w:i/>
          <w:iCs/>
        </w:rPr>
        <w:t xml:space="preserve">mAbs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94–105.</w:t>
      </w:r>
    </w:p>
    <w:p>
      <w:pPr>
        <w:pStyle w:val="BodyText"/>
      </w:pPr>
      <w:r>
        <w:t xml:space="preserve">[17] L. Bodis, A. Ross, E. Pretsch,</w:t>
      </w:r>
      <w:r>
        <w:t xml:space="preserve"> </w:t>
      </w:r>
      <w:r>
        <w:rPr>
          <w:i/>
          <w:iCs/>
        </w:rPr>
        <w:t xml:space="preserve">Chemometr. Intell. Lab. Syst.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85</w:t>
      </w:r>
      <w:r>
        <w:t xml:space="preserve">, 1–8.</w:t>
      </w:r>
    </w:p>
    <w:p>
      <w:pPr>
        <w:pStyle w:val="BodyText"/>
      </w:pPr>
      <w:r>
        <w:t xml:space="preserve">[18] L. Bodis, A. Ross, J. Bodis, E. Pretsch,</w:t>
      </w:r>
      <w:r>
        <w:t xml:space="preserve"> </w:t>
      </w:r>
      <w:r>
        <w:rPr>
          <w:i/>
          <w:iCs/>
        </w:rPr>
        <w:t xml:space="preserve">Talanta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79</w:t>
      </w:r>
      <w:r>
        <w:t xml:space="preserve">, 1379–1386.</w:t>
      </w:r>
    </w:p>
    <w:p>
      <w:pPr>
        <w:pStyle w:val="BodyText"/>
      </w:pPr>
      <w:r>
        <w:t xml:space="preserve">[19] A. Craig, O. Cloarec, E. Holmes, J. K. Nicholson, J. C. Lindon,</w:t>
      </w:r>
      <w:r>
        <w:t xml:space="preserve"> </w:t>
      </w:r>
      <w:r>
        <w:rPr>
          <w:i/>
          <w:iCs/>
        </w:rPr>
        <w:t xml:space="preserve">Anal. Chem.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78</w:t>
      </w:r>
      <w:r>
        <w:t xml:space="preserve">, 2262–2267.</w:t>
      </w:r>
    </w:p>
    <w:p>
      <w:pPr>
        <w:pStyle w:val="BodyText"/>
      </w:pPr>
      <w:r>
        <w:t xml:space="preserve">[20] F. Dieterle, A. Ross, G. Schlotterbeck, H. Senn,</w:t>
      </w:r>
      <w:r>
        <w:t xml:space="preserve"> </w:t>
      </w:r>
      <w:r>
        <w:rPr>
          <w:i/>
          <w:iCs/>
        </w:rPr>
        <w:t xml:space="preserve">Anal. Chem.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78</w:t>
      </w:r>
      <w:r>
        <w:t xml:space="preserve">, 4281–4290.</w:t>
      </w:r>
    </w:p>
    <w:p>
      <w:pPr>
        <w:pStyle w:val="BodyText"/>
      </w:pPr>
      <w:r>
        <w:t xml:space="preserve">[21] A. M. Castillo, L. Uribe, L. Patiny, J. Wist,</w:t>
      </w:r>
      <w:r>
        <w:t xml:space="preserve"> </w:t>
      </w:r>
      <w:r>
        <w:rPr>
          <w:i/>
          <w:iCs/>
        </w:rPr>
        <w:t xml:space="preserve">Chemometr. Intell. Lab. Syst.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127</w:t>
      </w:r>
      <w:r>
        <w:t xml:space="preserve">, 1–6.</w:t>
      </w:r>
    </w:p>
    <w:p>
      <w:pPr>
        <w:pStyle w:val="BodyText"/>
      </w:pPr>
      <w:r>
        <w:t xml:space="preserve">[22] G. K. Pierens, S. Brossi, Z. Yang, D. C. Reutens, V. Vegh,</w:t>
      </w:r>
      <w:r>
        <w:t xml:space="preserve"> </w:t>
      </w:r>
      <w:r>
        <w:rPr>
          <w:i/>
          <w:iCs/>
        </w:rPr>
        <w:t xml:space="preserve">J. Cheminform.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, 25.</w:t>
      </w:r>
    </w:p>
    <w:p>
      <w:pPr>
        <w:pStyle w:val="BodyText"/>
      </w:pPr>
      <w:r>
        <w:t xml:space="preserve">[23] F. Delaglio, S. Grzesiek, G. W. Vuister, G. Zhu, J. Pfeifer, A. Bax,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 </w:t>
      </w:r>
      <w:r>
        <w:rPr>
          <w:b/>
          <w:bCs/>
        </w:rPr>
        <w:t xml:space="preserve">1995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 277–293.</w:t>
      </w:r>
    </w:p>
    <w:p>
      <w:pPr>
        <w:pStyle w:val="BodyText"/>
      </w:pPr>
      <w:r>
        <w:t xml:space="preserve">[24] W. F. Vranken, W. Boucher, T. J. Stevens, R. H. Fogh, A. Pajon, M. Llinas, E. L. Ulrich,</w:t>
      </w:r>
      <w:r>
        <w:t xml:space="preserve"> </w:t>
      </w:r>
      <w:r>
        <w:t xml:space="preserve">J. L. Markley, J. Ionides, E. D. Laue,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rPr>
          <w:b/>
          <w:bCs/>
        </w:rPr>
        <w:t xml:space="preserve">2005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, 687–696.</w:t>
      </w:r>
    </w:p>
    <w:p>
      <w:pPr>
        <w:pStyle w:val="BodyText"/>
      </w:pPr>
      <w:r>
        <w:t xml:space="preserve">[25] S. P. Skinner, R. H. Fogh, W. Boucher, T. J. Ragan, L. G. Mureddu, G. W. Vuister,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66</w:t>
      </w:r>
      <w:r>
        <w:t xml:space="preserve">, 111–124.</w:t>
      </w:r>
    </w:p>
    <w:p>
      <w:pPr>
        <w:pStyle w:val="BodyText"/>
      </w:pPr>
      <w:r>
        <w:t xml:space="preserve">[26] C. Ludwig, U. L. Günther,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366.</w:t>
      </w:r>
    </w:p>
    <w:p>
      <w:pPr>
        <w:pStyle w:val="BodyText"/>
      </w:pPr>
      <w:r>
        <w:t xml:space="preserve">[27] J. J. Helmus, C. P. Jaroniec,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55</w:t>
      </w:r>
      <w:r>
        <w:t xml:space="preserve">, 355–367.</w:t>
      </w:r>
    </w:p>
    <w:p>
      <w:pPr>
        <w:pStyle w:val="BodyText"/>
      </w:pPr>
      <w:r>
        <w:t xml:space="preserve">[28] S. E. Stein, D. R. Scott,</w:t>
      </w:r>
      <w:r>
        <w:t xml:space="preserve"> </w:t>
      </w:r>
      <w:r>
        <w:rPr>
          <w:i/>
          <w:iCs/>
        </w:rPr>
        <w:t xml:space="preserve">J. Am. Soc. Mass Spectrom.</w:t>
      </w:r>
      <w:r>
        <w:t xml:space="preserve"> </w:t>
      </w:r>
      <w:r>
        <w:rPr>
          <w:b/>
          <w:bCs/>
        </w:rPr>
        <w:t xml:space="preserve">1994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859–866.</w:t>
      </w:r>
    </w:p>
    <w:p>
      <w:pPr>
        <w:pStyle w:val="BodyText"/>
      </w:pPr>
      <w:r>
        <w:t xml:space="preserve">[29] K. X. Wan, I. Vidavsky, M. L. Gross,</w:t>
      </w:r>
      <w:r>
        <w:t xml:space="preserve"> </w:t>
      </w:r>
      <w:r>
        <w:rPr>
          <w:i/>
          <w:iCs/>
        </w:rPr>
        <w:t xml:space="preserve">J. Am. Soc. Mass Spectrom.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, 85–88.</w:t>
      </w:r>
    </w:p>
    <w:p>
      <w:pPr>
        <w:pStyle w:val="BodyText"/>
      </w:pPr>
      <w:r>
        <w:t xml:space="preserve">[30] F. Savorani, G. Tomasi, S. B. Engelsen,</w:t>
      </w:r>
      <w:r>
        <w:t xml:space="preserve"> </w:t>
      </w:r>
      <w:r>
        <w:rPr>
          <w:i/>
          <w:iCs/>
        </w:rPr>
        <w:t xml:space="preserve">J. Magn. Reson.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202</w:t>
      </w:r>
      <w:r>
        <w:t xml:space="preserve">, 190–202.</w:t>
      </w:r>
    </w:p>
    <w:p>
      <w:pPr>
        <w:pStyle w:val="BodyText"/>
      </w:pPr>
      <w:r>
        <w:t xml:space="preserve">[31] C. R. Harris, K. J. Millman, S. J. van der Walt, R. Gommers, P. Virtanen, D. Cournapeau,</w:t>
      </w:r>
      <w:r>
        <w:t xml:space="preserve"> </w:t>
      </w:r>
      <w:r>
        <w:t xml:space="preserve">E. Wieser, J. Taylor, S. Berg, N. J. Smith, R. Kern, M. Picus, S. Hoyer, M. H. van Kerkwijk,</w:t>
      </w:r>
      <w:r>
        <w:t xml:space="preserve"> </w:t>
      </w:r>
      <w:r>
        <w:t xml:space="preserve">M. Brett, A. Haldane, J. F. del Río, M. Wiebe, P. Peterson, P. Gérard-Marchant, K. Sheppard,</w:t>
      </w:r>
      <w:r>
        <w:t xml:space="preserve"> </w:t>
      </w:r>
      <w:r>
        <w:t xml:space="preserve">T. Reddy, W. Weckesser, H. Abbasi, C. Gohlke, T. E. Oliphant,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585</w:t>
      </w:r>
      <w:r>
        <w:t xml:space="preserve">, 357–362.</w:t>
      </w:r>
    </w:p>
    <w:p>
      <w:pPr>
        <w:pStyle w:val="BodyText"/>
      </w:pPr>
      <w:r>
        <w:t xml:space="preserve">[32] J. D. Hunter,</w:t>
      </w:r>
      <w:r>
        <w:t xml:space="preserve"> </w:t>
      </w:r>
      <w:r>
        <w:rPr>
          <w:i/>
          <w:iCs/>
        </w:rPr>
        <w:t xml:space="preserve">Comput. Sci. Eng.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90–95.</w:t>
      </w:r>
    </w:p>
    <w:p>
      <w:pPr>
        <w:pStyle w:val="BodyText"/>
      </w:pPr>
      <w:r>
        <w:t xml:space="preserve">[33] E. Hughes, A. M. Kenwright,</w:t>
      </w:r>
      <w:r>
        <w:t xml:space="preserve"> </w:t>
      </w:r>
      <w:r>
        <w:rPr>
          <w:i/>
          <w:iCs/>
        </w:rPr>
        <w:t xml:space="preserve">Magn. Reson. Chem.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62</w:t>
      </w:r>
      <w:r>
        <w:t xml:space="preserve">, 556–565.</w:t>
      </w:r>
    </w:p>
    <w:p>
      <w:r>
        <w:pict>
          <v:rect style="width:0;height:1.5pt" o:hralign="center" o:hrstd="t" o:hr="t"/>
        </w:pict>
      </w:r>
    </w:p>
    <w:bookmarkEnd w:id="25"/>
    <w:bookmarkStart w:id="26" w:name="table-of-contents-entry"/>
    <w:p>
      <w:pPr>
        <w:pStyle w:val="Heading2"/>
      </w:pPr>
      <w:r>
        <w:t xml:space="preserve">Table of Contents Entry</w:t>
      </w:r>
    </w:p>
    <w:p>
      <w:pPr>
        <w:pStyle w:val="FirstParagraph"/>
      </w:pPr>
      <w:r>
        <w:rPr>
          <w:b/>
          <w:bCs/>
        </w:rPr>
        <w:t xml:space="preserve">Tolerant yet discriminating.</w:t>
      </w:r>
      <w:r>
        <w:t xml:space="preserve"> </w:t>
      </w:r>
      <w:r>
        <w:t xml:space="preserve">Comparing two 2D-HSQC spectra demands tolerance of small</w:t>
      </w:r>
      <w:r>
        <w:t xml:space="preserve"> </w:t>
      </w:r>
      <w:r>
        <w:t xml:space="preserve">chemical-shift drifts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penalization of genuinely relocated intensity — requirements the</w:t>
      </w:r>
      <w:r>
        <w:t xml:space="preserve"> </w:t>
      </w:r>
      <w:r>
        <w:t xml:space="preserve">incumbent binning, tree and nearest-neighbour measures satisfy only one at a time. The Lineshape</w:t>
      </w:r>
      <w:r>
        <w:t xml:space="preserve"> </w:t>
      </w:r>
      <w:r>
        <w:t xml:space="preserve">Correlation Coefficient renders both spectra onto one grid, blurs them by the physical NMR</w:t>
      </w:r>
      <w:r>
        <w:t xml:space="preserve"> </w:t>
      </w:r>
      <w:r>
        <w:t xml:space="preserve">linewidth, and takes the mean-centred zero-lag correlation, giving the widest same/different</w:t>
      </w:r>
      <w:r>
        <w:t xml:space="preserve"> </w:t>
      </w:r>
      <w:r>
        <w:t xml:space="preserve">separation across both dense protein and sparse small-molecule regimes.</w:t>
      </w:r>
    </w:p>
    <w:p>
      <w:pPr>
        <w:pStyle w:val="BodyText"/>
      </w:pPr>
      <w:r>
        <w:rPr>
          <w:i/>
          <w:iCs/>
        </w:rPr>
        <w:t xml:space="preserve">Suggested TOC graphic: the separation bar chart (Figure 2) with the three-step LCC schematic</w:t>
      </w:r>
      <w:r>
        <w:rPr>
          <w:i/>
          <w:iCs/>
        </w:rPr>
        <w:t xml:space="preserve"> </w:t>
      </w:r>
      <w:r>
        <w:rPr>
          <w:i/>
          <w:iCs/>
        </w:rPr>
        <w:t xml:space="preserve">inset.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Lineshape Correlation Coefficient for Robust Similarity of Two-Dimensional HSQC NMR Spectra</dc:title>
  <dc:creator>Donghan Lee</dc:creator>
  <cp:keywords/>
  <dcterms:created xsi:type="dcterms:W3CDTF">2026-07-09T12:03:26Z</dcterms:created>
  <dcterms:modified xsi:type="dcterms:W3CDTF">2026-07-09T12:03:26Z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/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header-includes">
    <vt:lpwstr/>
  </property>
  <property fmtid="{D5CDD505-2E9C-101B-9397-08002B2CF9AE}" pid="7" name="linkcolor">
    <vt:lpwstr>RoyalBlue</vt:lpwstr>
  </property>
  <property fmtid="{D5CDD505-2E9C-101B-9397-08002B2CF9AE}" pid="8" name="urlcolor">
    <vt:lpwstr>RoyalBlue</vt:lpwstr>
  </property>
</Properties>
</file>