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LCC: a lineshape-correlation coefficient for 2D HSQC spectral similarity</w:t>
      </w:r>
    </w:p>
    <w:p>
      <w:pPr>
        <w:pStyle w:val="Author"/>
      </w:pPr>
      <w:r>
        <w:t xml:space="preserve">Donghan Lee</w:t>
      </w:r>
    </w:p>
    <w:p>
      <w:pPr>
        <w:pStyle w:val="FirstParagraph"/>
      </w:pPr>
      <w:r>
        <w:t xml:space="preserve">Korea Basic Science Institute (KBSI), Ochang, Republic of Korea. Correspondence:</w:t>
      </w:r>
      <w:r>
        <w:t xml:space="preserve"> </w:t>
      </w:r>
      <w:r>
        <w:t xml:space="preserve">kbsi.bionmr@gmail.com</w:t>
      </w:r>
    </w:p>
    <w:p>
      <w:pPr>
        <w:pStyle w:val="BodyText"/>
      </w:pPr>
      <w:r>
        <w:rPr>
          <w:b/>
          <w:bCs/>
        </w:rPr>
        <w:t xml:space="preserve">Subject area:</w:t>
      </w:r>
      <w:r>
        <w:t xml:space="preserve"> </w:t>
      </w:r>
      <w:r>
        <w:t xml:space="preserve">Structural bioinformatics / NMR spectroscopy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Motivation:</w:t>
      </w:r>
      <w:r>
        <w:t xml:space="preserve"> </w:t>
      </w:r>
      <w:r>
        <w:t xml:space="preserve">Quantitative comparison of two-dimensional HSQC spectra underlies ligand</w:t>
      </w:r>
      <w:r>
        <w:t xml:space="preserve"> </w:t>
      </w:r>
      <w:r>
        <w:t xml:space="preserve">screening and molecular fingerprinting, yet the established similarity measures each fail in</w:t>
      </w:r>
      <w:r>
        <w:t xml:space="preserve"> </w:t>
      </w:r>
      <w:r>
        <w:t xml:space="preserve">one of two opposite ways. On a dense protein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amide fingerprint, bin-histogram</w:t>
      </w:r>
      <w:r>
        <w:t xml:space="preserve"> </w:t>
      </w:r>
      <w:r>
        <w:t xml:space="preserve">methods lose margin under the small peak drifts a titration induces, while tree and</w:t>
      </w:r>
      <w:r>
        <w:t xml:space="preserve"> </w:t>
      </w:r>
      <w:r>
        <w:t xml:space="preserve">nearest-neighbour methods saturate because in a crowded fingerprint every peak finds a</w:t>
      </w:r>
      <w:r>
        <w:t xml:space="preserve"> </w:t>
      </w:r>
      <w:r>
        <w:t xml:space="preserve">coincidental near neighbour. A measure is needed that tolerates small physical drifts yet</w:t>
      </w:r>
      <w:r>
        <w:t xml:space="preserve"> </w:t>
      </w:r>
      <w:r>
        <w:t xml:space="preserve">still penalizes genuinely relocated intensity.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We introduce the Lineshape Correlation Coefficient (LCC), which renders each</w:t>
      </w:r>
      <w:r>
        <w:t xml:space="preserve"> </w:t>
      </w:r>
      <w:r>
        <w:t xml:space="preserve">spectrum onto a shared grid, blurs it by the physical linewidth plus the expected shift drift,</w:t>
      </w:r>
      <w:r>
        <w:t xml:space="preserve"> </w:t>
      </w:r>
      <w:r>
        <w:t xml:space="preserve">and scores the two images by their mean-centred normalized cross-correlation at zero lag. The</w:t>
      </w:r>
      <w:r>
        <w:t xml:space="preserve"> </w:t>
      </w:r>
      <w:r>
        <w:t xml:space="preserve">Gaussian render gives graded shift tolerance while mean-centring penalizes intensity that is</w:t>
      </w:r>
      <w:r>
        <w:t xml:space="preserve"> </w:t>
      </w:r>
      <w:r>
        <w:t xml:space="preserve">not co-located. On two independent benchmarks — a dense protein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titration</w:t>
      </w:r>
      <w:r>
        <w:t xml:space="preserve"> </w:t>
      </w:r>
      <w:r>
        <w:t xml:space="preserve">(same protein vs a different protein) and a sparse 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set (six</w:t>
      </w:r>
      <w:r>
        <w:t xml:space="preserve"> </w:t>
      </w:r>
      <w:r>
        <w:t xml:space="preserve">compounds each recorded twice, 6 same-compound vs 60 different-compound pairs) — LCC gives the</w:t>
      </w:r>
      <w:r>
        <w:t xml:space="preserve"> </w:t>
      </w:r>
      <w:r>
        <w:t xml:space="preserve">widest same/different separation of all methods tested (0.75 and 0.81); the tree and</w:t>
      </w:r>
      <w:r>
        <w:t xml:space="preserve"> </w:t>
      </w:r>
      <w:r>
        <w:t xml:space="preserve">nearest-neighbour methods leave the two classes overlapping (margin</w:t>
      </w:r>
      <w:r>
        <w:t xml:space="preserve"> </w:t>
      </w:r>
      <m:oMath>
        <m:r>
          <m:rPr>
            <m:sty m:val="p"/>
          </m:rPr>
          <m:t>≤</m:t>
        </m:r>
        <m:r>
          <m:t>0.04</m:t>
        </m:r>
      </m:oMath>
      <w:r>
        <w:t xml:space="preserve">) in both regimes, and</w:t>
      </w:r>
      <w:r>
        <w:t xml:space="preserve"> </w:t>
      </w:r>
      <w:r>
        <w:t xml:space="preserve">the bin method trails (separation 0.29 and 0.69). Removing the mean-centring drops the protein</w:t>
      </w:r>
      <w:r>
        <w:t xml:space="preserve"> </w:t>
      </w:r>
      <w:r>
        <w:t xml:space="preserve">separation from 0.75 to 0.59,</w:t>
      </w:r>
      <w:r>
        <w:t xml:space="preserve"> </w:t>
      </w:r>
      <w:r>
        <w:t xml:space="preserve">confirming it as the discriminating step.</w:t>
      </w:r>
    </w:p>
    <w:p>
      <w:pPr>
        <w:pStyle w:val="BodyText"/>
      </w:pPr>
      <w:r>
        <w:rPr>
          <w:b/>
          <w:bCs/>
        </w:rPr>
        <w:t xml:space="preserve">Availability and implementation:</w:t>
      </w:r>
      <w:r>
        <w:t xml:space="preserve"> </w:t>
      </w:r>
      <w:r>
        <w:t xml:space="preserve">Freely available under the MIT license at</w:t>
      </w:r>
      <w:r>
        <w:t xml:space="preserve"> </w:t>
      </w:r>
      <w:r>
        <w:t xml:space="preserve">https://github.com/deepnmr/spectra_similarity_tool; implemented in Python 3 (NumPy; Matplotlib</w:t>
      </w:r>
      <w:r>
        <w:t xml:space="preserve"> </w:t>
      </w:r>
      <w:r>
        <w:t xml:space="preserve">optional for figures); platform independent. The repository includes the three reference</w:t>
      </w:r>
      <w:r>
        <w:t xml:space="preserve"> </w:t>
      </w:r>
      <w:r>
        <w:t xml:space="preserve">methods, both benchmark harnesses and a test suite.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kbsi.bionmr@gmail.com</w:t>
      </w:r>
    </w:p>
    <w:bookmarkEnd w:id="9"/>
    <w:bookmarkStart w:id="1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A recurring task in NMR is to score how similar two 2D HSQC spectra are: tracking 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amide fingerprint across a ligand titration, mapping a chemical shift</w:t>
      </w:r>
      <w:r>
        <w:t xml:space="preserve"> </w:t>
      </w:r>
      <w:r>
        <w:t xml:space="preserve">perturbation on binding (Shuker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1996; Pellecchia</w:t>
      </w:r>
      <w:r>
        <w:t xml:space="preserve"> </w:t>
      </w:r>
      <w:r>
        <w:rPr>
          <w:i/>
          <w:iCs/>
        </w:rPr>
        <w:t xml:space="preserve">et al.</w:t>
      </w:r>
      <w:r>
        <w:t xml:space="preserve">, 2008; Williamson, 2013),</w:t>
      </w:r>
      <w:r>
        <w:t xml:space="preserve"> </w:t>
      </w:r>
      <w:r>
        <w:t xml:space="preserve">or matching a 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spectrum against a library (Ulrich</w:t>
      </w:r>
      <w:r>
        <w:t xml:space="preserve"> </w:t>
      </w:r>
      <w:r>
        <w:rPr>
          <w:i/>
          <w:iCs/>
        </w:rPr>
        <w:t xml:space="preserve">et al.</w:t>
      </w:r>
      <w:r>
        <w:t xml:space="preserve">, 2008).</w:t>
      </w:r>
      <w:r>
        <w:t xml:space="preserve"> </w:t>
      </w:r>
      <w:r>
        <w:t xml:space="preserve">Three families of measure are in use. The bin method of Bodis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integrates each spectrum</w:t>
      </w:r>
      <w:r>
        <w:t xml:space="preserve"> </w:t>
      </w:r>
      <w:r>
        <w:t xml:space="preserve">over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grid at a range of resolutions and reports a weighted Jaccard (Ružička)</w:t>
      </w:r>
      <w:r>
        <w:t xml:space="preserve"> </w:t>
      </w:r>
      <w:r>
        <w:t xml:space="preserve">index (Bodis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2007, 2009). The tree method of Castillo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encodes a spectrum as a</w:t>
      </w:r>
      <w:r>
        <w:t xml:space="preserve"> </w:t>
      </w:r>
      <w:r>
        <w:t xml:space="preserve">recursive centre-of-mass quad-tree and compares the trees node-by-node with a shift-tolerant</w:t>
      </w:r>
      <w:r>
        <w:t xml:space="preserve"> </w:t>
      </w:r>
      <w:r>
        <w:t xml:space="preserve">node score (Castillo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2013). The peak method of Pierens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picks peaks and</w:t>
      </w:r>
      <w:r>
        <w:t xml:space="preserve"> </w:t>
      </w:r>
      <w:r>
        <w:t xml:space="preserve">matches each to its nearest neighbour in the other spectrum (Pierens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2012).</w:t>
      </w:r>
    </w:p>
    <w:p>
      <w:pPr>
        <w:pStyle w:val="BodyText"/>
      </w:pPr>
      <w:r>
        <w:t xml:space="preserve">These fail in two opposite ways. Bin histograms are shift-</w:t>
      </w:r>
      <w:r>
        <w:rPr>
          <w:b/>
          <w:bCs/>
        </w:rPr>
        <w:t xml:space="preserve">brittle</w:t>
      </w:r>
      <w:r>
        <w:t xml:space="preserve">: a peak straddling a bin</w:t>
      </w:r>
      <w:r>
        <w:t xml:space="preserve"> </w:t>
      </w:r>
      <w:r>
        <w:t xml:space="preserve">edge splits its intensity across neighbouring bins, so a small drift erodes the score. The tree</w:t>
      </w:r>
      <w:r>
        <w:t xml:space="preserve"> </w:t>
      </w:r>
      <w:r>
        <w:t xml:space="preserve">and nearest-neighbour measures are shift-</w:t>
      </w:r>
      <w:r>
        <w:rPr>
          <w:b/>
          <w:bCs/>
        </w:rPr>
        <w:t xml:space="preserve">blind</w:t>
      </w:r>
      <w:r>
        <w:t xml:space="preserve">: when many peaks share a region every peak</w:t>
      </w:r>
      <w:r>
        <w:t xml:space="preserve"> </w:t>
      </w:r>
      <w:r>
        <w:t xml:space="preserve">has some near neighbour and every spectrum a similar mass-centre structure, so both saturate and</w:t>
      </w:r>
      <w:r>
        <w:t xml:space="preserve"> </w:t>
      </w:r>
      <w:r>
        <w:t xml:space="preserve">retain little contrast. A measure for real HSQC comparison must tolerate small physical drifts</w:t>
      </w:r>
      <w:r>
        <w:t xml:space="preserve"> </w:t>
      </w:r>
      <w:r>
        <w:t xml:space="preserve">yet still penalize genuinely relocated intensity.</w:t>
      </w:r>
    </w:p>
    <w:bookmarkEnd w:id="10"/>
    <w:bookmarkStart w:id="11" w:name="implementation"/>
    <w:p>
      <w:pPr>
        <w:pStyle w:val="Heading2"/>
      </w:pPr>
      <w:r>
        <w:t xml:space="preserve">2 Implementation</w:t>
      </w:r>
    </w:p>
    <w:p>
      <w:pPr>
        <w:pStyle w:val="FirstParagraph"/>
      </w:pPr>
      <w:r>
        <w:t xml:space="preserve">LCC keeps the physically meaningful ingredients of the three methods — area-weighted integration</w:t>
      </w:r>
      <w:r>
        <w:t xml:space="preserve"> </w:t>
      </w:r>
      <w:r>
        <w:t xml:space="preserve">and unit normalization (Bodis), a physical shift tolerance (Castillo), a lineshape picture of the</w:t>
      </w:r>
      <w:r>
        <w:t xml:space="preserve"> </w:t>
      </w:r>
      <w:r>
        <w:t xml:space="preserve">spectrum (Pierens) — and adds a mean-centred correlation as the discriminating step. Given two</w:t>
      </w:r>
      <w:r>
        <w:t xml:space="preserve"> </w:t>
      </w:r>
      <w:r>
        <w:t xml:space="preserve">spectra (processed Bruker data from any standard pipeline — Delaglio</w:t>
      </w:r>
      <w:r>
        <w:t xml:space="preserve"> </w:t>
      </w:r>
      <w:r>
        <w:rPr>
          <w:i/>
          <w:iCs/>
        </w:rPr>
        <w:t xml:space="preserve">et al.</w:t>
      </w:r>
      <w:r>
        <w:t xml:space="preserve">, 1995; Vranken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, 2005; Skinner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2016 — or peak lists) compared inside a common window, it proceeds</w:t>
      </w:r>
      <w:r>
        <w:t xml:space="preserve"> </w:t>
      </w:r>
      <w:r>
        <w:t xml:space="preserve">in three steps.</w:t>
      </w:r>
    </w:p>
    <w:p>
      <w:pPr>
        <w:pStyle w:val="BodyText"/>
      </w:pPr>
      <w:r>
        <w:rPr>
          <w:b/>
          <w:bCs/>
        </w:rPr>
        <w:t xml:space="preserve">Render.</w:t>
      </w:r>
      <w:r>
        <w:t xml:space="preserve"> </w:t>
      </w:r>
      <w:r>
        <w:t xml:space="preserve">Negative intensities are clipped, each point is weighted by its local integration</w:t>
      </w:r>
      <w:r>
        <w:t xml:space="preserve"> </w:t>
      </w:r>
      <w:r>
        <w:t xml:space="preserve">area, and both spectra are histogrammed onto a</w:t>
      </w:r>
      <w:r>
        <w:t xml:space="preserve"> </w:t>
      </w:r>
      <w:r>
        <w:rPr>
          <w:b/>
          <w:bCs/>
        </w:rPr>
        <w:t xml:space="preserve">single shared grid</w:t>
      </w:r>
      <w:r>
        <w:t xml:space="preserve"> </w:t>
      </w:r>
      <w:r>
        <w:t xml:space="preserve">so they are directly</w:t>
      </w:r>
      <w:r>
        <w:t xml:space="preserve"> </w:t>
      </w:r>
      <w:r>
        <w:t xml:space="preserve">comparable irrespective of their native digital resolution.</w:t>
      </w:r>
    </w:p>
    <w:p>
      <w:pPr>
        <w:pStyle w:val="BodyText"/>
      </w:pPr>
      <w:r>
        <w:rPr>
          <w:b/>
          <w:bCs/>
        </w:rPr>
        <w:t xml:space="preserve">Blur.</w:t>
      </w:r>
      <w:r>
        <w:t xml:space="preserve"> </w:t>
      </w:r>
      <w:r>
        <w:t xml:space="preserve">Each image is convolved with a separable Gaussian whose width per axis is the physical</w:t>
      </w:r>
      <w:r>
        <w:t xml:space="preserve"> </w:t>
      </w:r>
      <w:r>
        <w:t xml:space="preserve">linewidth combined with the expected drift,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ℓ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This replaces the bin</w:t>
      </w:r>
      <w:r>
        <w:t xml:space="preserve"> </w:t>
      </w:r>
      <w:r>
        <w:t xml:space="preserve">method’s hard edges with a continuous response: for an isolated peak on a large grid (where</w:t>
      </w:r>
      <w:r>
        <w:t xml:space="preserve"> </w:t>
      </w:r>
      <w:r>
        <w:t xml:space="preserve">mean-centring is negligible) two copies displaced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correlate as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smooth and monotone in the drift, so a</w:t>
      </w:r>
      <w:r>
        <w:t xml:space="preserve"> </w:t>
      </w:r>
      <w:r>
        <w:t xml:space="preserve">physical shift costs little and a random relocation costs a lot.</w:t>
      </w:r>
    </w:p>
    <w:p>
      <w:pPr>
        <w:pStyle w:val="BodyText"/>
      </w:pPr>
      <w:r>
        <w:rPr>
          <w:b/>
          <w:bCs/>
        </w:rPr>
        <w:t xml:space="preserve">Score.</w:t>
      </w:r>
      <w:r>
        <w:t xml:space="preserve"> </w:t>
      </w:r>
      <w:r>
        <w:t xml:space="preserve">Each image is mean-centred and the similarity is the zero-lag normalized</w:t>
      </w:r>
      <w:r>
        <w:t xml:space="preserve"> </w:t>
      </w:r>
      <w:r>
        <w:t xml:space="preserve">cross-correlation (the Pearson coefficient) of the two centred images, clamped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Mean-centring is the discriminating step: a cell where one spectrum has a peak and the other is</w:t>
      </w:r>
      <w:r>
        <w:t xml:space="preserve"> </w:t>
      </w:r>
      <w:r>
        <w:t xml:space="preserve">empty contributes a negative product and lowers the score, so intensity that is not co-located is</w:t>
      </w:r>
      <w:r>
        <w:t xml:space="preserve"> </w:t>
      </w:r>
      <w:r>
        <w:t xml:space="preserve">actively penalized rather than, as in the nearest-neighbour distance, ignored. No shift search is</w:t>
      </w:r>
      <w:r>
        <w:t xml:space="preserve"> </w:t>
      </w:r>
      <w:r>
        <w:t xml:space="preserve">performed — aligning the images would let a different spectrum slide into registration and</w:t>
      </w:r>
      <w:r>
        <w:t xml:space="preserve"> </w:t>
      </w:r>
      <w:r>
        <w:t xml:space="preserve">re-saturate, the failure mode of the tree and nearest-neighbour methods.</w:t>
      </w:r>
    </w:p>
    <w:p>
      <w:pPr>
        <w:pStyle w:val="BodyText"/>
      </w:pPr>
      <w:r>
        <w:t xml:space="preserve">Self-similarity is exactly one (as it is for all methods tested); the score is symmetric exactly,</w:t>
      </w:r>
      <w:r>
        <w:t xml:space="preserve"> </w:t>
      </w:r>
      <w:r>
        <w:t xml:space="preserve">and monotone in the drift of an isolated peak (verified in the unit tests). The implementation is</w:t>
      </w:r>
      <w:r>
        <w:t xml:space="preserve"> </w:t>
      </w:r>
      <w:r>
        <w:t xml:space="preserve">pure NumPy (Harris</w:t>
      </w:r>
      <w:r>
        <w:t xml:space="preserve"> </w:t>
      </w:r>
      <w:r>
        <w:rPr>
          <w:i/>
          <w:iCs/>
        </w:rPr>
        <w:t xml:space="preserve">et al.</w:t>
      </w:r>
      <w:r>
        <w:t xml:space="preserve">, 2020), reads processed Bruker data directly (cf. Helmus and Jaroniec,</w:t>
      </w:r>
      <w:r>
        <w:t xml:space="preserve"> </w:t>
      </w:r>
      <w:r>
        <w:t xml:space="preserve">2013), needs no peak picking and no external solver, and runs in about 6 ms per spectrum pair on a</w:t>
      </w:r>
      <w:r>
        <w:t xml:space="preserve"> </w:t>
      </w:r>
      <m:oMath>
        <m:r>
          <m:t>250</m:t>
        </m:r>
        <m:r>
          <m:rPr>
            <m:sty m:val="p"/>
          </m:rPr>
          <m:t>×</m:t>
        </m:r>
        <m:r>
          <m:t>350</m:t>
        </m:r>
      </m:oMath>
      <w:r>
        <w:t xml:space="preserve"> </w:t>
      </w:r>
      <w:r>
        <w:t xml:space="preserve">grid (Apple Silicon, single core); a 19-test suite (all passing) checks</w:t>
      </w:r>
      <w:r>
        <w:t xml:space="preserve"> </w:t>
      </w:r>
      <w:r>
        <w:t xml:space="preserve">self-similarity, related-beats-unrelated ordering and monotonicity in drift. Figures use</w:t>
      </w:r>
      <w:r>
        <w:t xml:space="preserve"> </w:t>
      </w:r>
      <w:r>
        <w:t xml:space="preserve">Matplotlib (Hunter, 2007). A full derivation with proofs is provided as Supplementary Material.</w:t>
      </w:r>
    </w:p>
    <w:bookmarkEnd w:id="11"/>
    <w:bookmarkStart w:id="15" w:name="results"/>
    <w:p>
      <w:pPr>
        <w:pStyle w:val="Heading2"/>
      </w:pPr>
      <w:r>
        <w:t xml:space="preserve">3 Results</w:t>
      </w:r>
    </w:p>
    <w:p>
      <w:pPr>
        <w:pStyle w:val="FirstParagraph"/>
      </w:pPr>
      <w:r>
        <w:t xml:space="preserve">We benchmarked LCC against the three reference methods on</w:t>
      </w:r>
      <w:r>
        <w:t xml:space="preserve"> </w:t>
      </w:r>
      <w:r>
        <w:rPr>
          <w:b/>
          <w:bCs/>
        </w:rPr>
        <w:t xml:space="preserve">two independent, opposite regimes</w:t>
      </w:r>
      <w:r>
        <w:t xml:space="preserve">.</w:t>
      </w:r>
      <w:r>
        <w:t xml:space="preserve"> </w:t>
      </w:r>
      <w:r>
        <w:t xml:space="preserve">Discrimination is summarized by the</w:t>
      </w:r>
      <w: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(mean same-class score − mean different-class</w:t>
      </w:r>
      <w:r>
        <w:t xml:space="preserve"> </w:t>
      </w:r>
      <w:r>
        <w:t xml:space="preserve">score) and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(worst same-class − best different-class score, what a classification</w:t>
      </w:r>
      <w:r>
        <w:t xml:space="preserve"> </w:t>
      </w:r>
      <w:r>
        <w:t xml:space="preserve">threshold sees); both are on each method’s own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 (Table 1; Fig. 1). All methods</w:t>
      </w:r>
      <w:r>
        <w:t xml:space="preserve"> </w:t>
      </w:r>
      <w:r>
        <w:t xml:space="preserve">self-score exactly 1.</w:t>
      </w:r>
    </w:p>
    <w:p>
      <w:pPr>
        <w:pStyle w:val="BodyText"/>
      </w:pPr>
      <w:r>
        <w:rPr>
          <w:b/>
          <w:bCs/>
        </w:rPr>
        <w:t xml:space="preserve">Dense protein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rPr>
          <w:b/>
          <w:bCs/>
        </w:rPr>
        <w:t xml:space="preserve">N.</w:t>
      </w:r>
      <w:r>
        <w:t xml:space="preserve"> </w:t>
      </w:r>
      <w:r>
        <w:t xml:space="preserve">The reference is the apo spectrum of the phosphatase PRL3,</w:t>
      </w:r>
      <w:r>
        <w:t xml:space="preserve"> </w:t>
      </w:r>
      <w:r>
        <w:t xml:space="preserve">compared with six spectra of the same protein along a ligand titration (should score high) and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protein (should score low), inside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6.5–10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 </m:t>
            </m:r>
          </m:e>
          <m:sup>
            <m:r>
              <m:t>15</m:t>
            </m:r>
          </m:sup>
        </m:sSup>
      </m:oMath>
      <w:r>
        <w:t xml:space="preserve">N 105–130 ppm.</w:t>
      </w:r>
      <w:r>
        <w:t xml:space="preserve"> </w:t>
      </w:r>
      <w:r>
        <w:t xml:space="preserve">LCC scores the same protein 0.94 (range 0.89–0.97) and the different protein 0.18, a margin of</w:t>
      </w:r>
      <w:r>
        <w:t xml:space="preserve"> </w:t>
      </w:r>
      <w:r>
        <w:t xml:space="preserve">0.71 — three times the bin method’s 0.24, the strongest baseline. Mean-centring earns that gap:</w:t>
      </w:r>
      <w:r>
        <w:t xml:space="preserve"> </w:t>
      </w:r>
      <w:r>
        <w:t xml:space="preserve">an un-centred cosine correlation on the same images drops the separation from 0.75 to 0.59. The</w:t>
      </w:r>
      <w:r>
        <w:t xml:space="preserve"> </w:t>
      </w:r>
      <w:r>
        <w:t xml:space="preserve">gain is not a tuned parameter (it holds across the physical blur range; Supplementary).</w:t>
      </w:r>
    </w:p>
    <w:p>
      <w:pPr>
        <w:pStyle w:val="BodyText"/>
      </w:pPr>
      <w:r>
        <w:rPr>
          <w:b/>
          <w:bCs/>
        </w:rPr>
        <w:t xml:space="preserve">Sparse small-molecule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rPr>
          <w:b/>
          <w:bCs/>
        </w:rPr>
        <w:t xml:space="preserve">C.</w:t>
      </w:r>
      <w:r>
        <w:t xml:space="preserve"> </w:t>
      </w:r>
      <w:r>
        <w:t xml:space="preserve">To test the opposite regime — and to replace the single</w:t>
      </w:r>
      <w:r>
        <w:t xml:space="preserve"> </w:t>
      </w:r>
      <w:r>
        <w:t xml:space="preserve">negative spectrum above with a large negative set — we used public HSQC peak lists (simpleNMR;</w:t>
      </w:r>
      <w:r>
        <w:t xml:space="preserve"> </w:t>
      </w:r>
      <w:r>
        <w:t xml:space="preserve">Data availability) for six compounds each recorded twice, and asked each method to score the 6</w:t>
      </w:r>
      <w:r>
        <w:t xml:space="preserve"> </w:t>
      </w:r>
      <w:r>
        <w:t xml:space="preserve">same-compound pairs above the 60 different-compound pairs, inside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0–10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 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0–165 ppm. LCC again leads (mean same 0.82, mean different 0.003, separation 0.81). The bin method</w:t>
      </w:r>
      <w:r>
        <w:t xml:space="preserve"> </w:t>
      </w:r>
      <w:r>
        <w:t xml:space="preserve">is far stronger here (0.69) than on the dense fingerprint (0.29) — with few, well-separated peaks</w:t>
      </w:r>
      <w:r>
        <w:t xml:space="preserve"> </w:t>
      </w:r>
      <w:r>
        <w:t xml:space="preserve">its hard bins rarely straddle a peak — while the tree and nearest-neighbour methods</w:t>
      </w:r>
      <w:r>
        <w:t xml:space="preserve"> </w:t>
      </w:r>
      <w:r>
        <w:rPr>
          <w:b/>
          <w:bCs/>
        </w:rPr>
        <w:t xml:space="preserve">leave the two</w:t>
      </w:r>
      <w:r>
        <w:rPr>
          <w:b/>
          <w:bCs/>
        </w:rPr>
        <w:t xml:space="preserve"> </w:t>
      </w:r>
      <w:r>
        <w:rPr>
          <w:b/>
          <w:bCs/>
        </w:rPr>
        <w:t xml:space="preserve">classes barely separable in this regime too</w:t>
      </w:r>
      <w:r>
        <w:t xml:space="preserve"> </w:t>
      </w:r>
      <w:r>
        <w:t xml:space="preserve">(margins 0.00 and 0.04, despite separations of 0.39</w:t>
      </w:r>
      <w:r>
        <w:t xml:space="preserve"> </w:t>
      </w:r>
      <w:r>
        <w:t xml:space="preserve">and 0.10): over a wide window a different molecule still has a near neighbour for every peak. Their</w:t>
      </w:r>
      <w:r>
        <w:t xml:space="preserve"> </w:t>
      </w:r>
      <w:r>
        <w:t xml:space="preserve">shift tolerance is genuine (per-pair, it keeps two solvent-shifted same-compound recordings high,</w:t>
      </w:r>
      <w:r>
        <w:t xml:space="preserve"> </w:t>
      </w:r>
      <w:r>
        <w:t xml:space="preserve">0.83–1.00, where the position-sensitive LCC and bin methods drop to 0.30–0.60) but it tolerates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, so it does not become discrimination; LCC recovers that tolerance controllably</w:t>
      </w:r>
      <w:r>
        <w:t xml:space="preserve"> </w:t>
      </w:r>
      <w:r>
        <w:t xml:space="preserve">through its blur width.</w:t>
      </w:r>
    </w:p>
    <w:p>
      <w:pPr>
        <w:pStyle w:val="TableCaption"/>
      </w:pPr>
      <w:r>
        <w:t xml:space="preserve">Separation and worst-case margin for all methods on both regimes, computed from unrounded</w:t>
      </w:r>
      <w:r>
        <w:t xml:space="preserve"> </w:t>
      </w:r>
      <w:r>
        <w:t xml:space="preserve">scores. Every method self-scores 1.00.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paration and worst-case margin for all methods on both regimes, computed from unrounded scores. Every method self-scores 1.00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H-</w:t>
            </w:r>
            <m:oMath>
              <m:sSup>
                <m:e>
                  <m:r>
                    <m:t>​</m:t>
                  </m:r>
                </m:e>
                <m:sup>
                  <m:r>
                    <m:t>15</m:t>
                  </m:r>
                </m:sup>
              </m:sSup>
            </m:oMath>
            <w:r>
              <w:t xml:space="preserve">N sep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H-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sep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(Bodis, 2009)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+ 45° rotation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Quad-tree (Castillo, 2013)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neighbour (Pierens, 2012)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LCC (this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0.37</w:t>
            </w:r>
          </w:p>
        </w:tc>
      </w:tr>
    </w:tbl>
    <w:p>
      <w:pPr>
        <w:pStyle w:val="BodyText"/>
      </w:pPr>
      <w:r>
        <w:rPr>
          <w:b/>
          <w:bCs/>
        </w:rPr>
        <w:t xml:space="preserve">LCC leads in both regimes</w:t>
      </w:r>
      <w:r>
        <w:t xml:space="preserve"> </w:t>
      </w:r>
      <w:r>
        <w:t xml:space="preserve">— the only method that keeps same-class similarity high while</w:t>
      </w:r>
      <w:r>
        <w:t xml:space="preserve"> </w:t>
      </w:r>
      <w:r>
        <w:t xml:space="preserve">pushing different-class similarity down, whether the fingerprint is a dense protein amide region</w:t>
      </w:r>
      <w:r>
        <w:t xml:space="preserve"> </w:t>
      </w:r>
      <w:r>
        <w:t xml:space="preserve">or a handful of scattered small-molecule crosspeaks. Its two knobs are the per-axis blur widths,</w:t>
      </w:r>
      <w:r>
        <w:t xml:space="preserve"> </w:t>
      </w:r>
      <w:r>
        <w:t xml:space="preserve">both physical: the linewidth sets the floor and the expected shift perturbation sets how much</w:t>
      </w:r>
      <w:r>
        <w:t xml:space="preserve"> </w:t>
      </w:r>
      <w:r>
        <w:t xml:space="preserve">drift is tolerated. LCC measures position-and-intensity coincidence, not molecular identity, so a</w:t>
      </w:r>
      <w:r>
        <w:t xml:space="preserve"> </w:t>
      </w:r>
      <w:r>
        <w:t xml:space="preserve">close analogue will score intermediate — correct for a similarity, a caveat for hard</w:t>
      </w:r>
      <w:r>
        <w:t xml:space="preserve"> </w:t>
      </w:r>
      <w:r>
        <w:t xml:space="preserve">classification. The three reference methods are our own reimplementations, and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spectra are rendered from peak lists inside one common window, so the</w:t>
      </w:r>
      <w:r>
        <w:t xml:space="preserve"> </w:t>
      </w:r>
      <w:r>
        <w:rPr>
          <w:i/>
          <w:iCs/>
        </w:rPr>
        <w:t xml:space="preserve">ranking</w:t>
      </w:r>
      <w:r>
        <w:t xml:space="preserve">, not the exact</w:t>
      </w:r>
      <w:r>
        <w:t xml:space="preserve"> </w:t>
      </w:r>
      <w:r>
        <w:t xml:space="preserve">values, is the result.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1. Same/different separation (mean same-class − mean different-class similarity) for all five methods on the two benchmarks: dense protein ^1H-^{15}N (blue) and sparse small-molecule ^1H-^{13}C (orange). LCC is the only method with a large separation in both regimes; the tree and nearest-neighbour methods saturate in both." title="" id="13" name="Picture"/>
            <a:graphic>
              <a:graphicData uri="http://schemas.openxmlformats.org/drawingml/2006/picture">
                <pic:pic>
                  <pic:nvPicPr>
                    <pic:cNvPr descr="../results/comparison_al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Same/different separation (mean same-class − mean different-class similarity) for</w:t>
      </w:r>
      <w:r>
        <w:t xml:space="preserve"> </w:t>
      </w:r>
      <w:r>
        <w:t xml:space="preserve">all five methods on the two benchmarks: dense protein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(blue) and sparse</w:t>
      </w:r>
      <w:r>
        <w:t xml:space="preserve"> </w:t>
      </w:r>
      <w:r>
        <w:t xml:space="preserve">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(orange). LCC is the only method with a large separation in both</w:t>
      </w:r>
      <w:r>
        <w:t xml:space="preserve"> </w:t>
      </w:r>
      <w:r>
        <w:t xml:space="preserve">regimes; the tree and nearest-neighbour methods saturate in both.</w:t>
      </w:r>
    </w:p>
    <w:bookmarkEnd w:id="15"/>
    <w:bookmarkStart w:id="16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dense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benchmark uses PRL3 and OAA Bruker spectra available from the author on</w:t>
      </w:r>
      <w:r>
        <w:t xml:space="preserve"> </w:t>
      </w:r>
      <w:r>
        <w:t xml:space="preserve">reasonable request. The sparse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benchmark uses public HSQC peak lists from the</w:t>
      </w:r>
      <w:r>
        <w:t xml:space="preserve"> </w:t>
      </w:r>
      <w:r>
        <w:t xml:space="preserve">simpleNMR example set (https://github.com/EricHughesABC/simpleNMR), downloaded automatically by</w:t>
      </w:r>
      <w:r>
        <w:t xml:space="preserve"> </w:t>
      </w:r>
      <w:r>
        <w:rPr>
          <w:rStyle w:val="VerbatimChar"/>
        </w:rPr>
        <w:t xml:space="preserve">bench_13c.py</w:t>
      </w:r>
      <w:r>
        <w:t xml:space="preserve">. Both harnesses (</w:t>
      </w:r>
      <w:r>
        <w:rPr>
          <w:rStyle w:val="VerbatimChar"/>
        </w:rPr>
        <w:t xml:space="preserve">bench.py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bench_13c.py</w:t>
      </w:r>
      <w:r>
        <w:t xml:space="preserve">) and the tabulated scores are in the</w:t>
      </w:r>
      <w:r>
        <w:t xml:space="preserve"> </w:t>
      </w:r>
      <w:r>
        <w:t xml:space="preserve">repository.</w:t>
      </w:r>
    </w:p>
    <w:bookmarkEnd w:id="16"/>
    <w:bookmarkStart w:id="17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 declared.</w:t>
      </w:r>
    </w:p>
    <w:bookmarkEnd w:id="17"/>
    <w:bookmarkStart w:id="18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None declared.</w: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Bodis,L.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A novel spectra similarity measure.</w:t>
      </w:r>
      <w:r>
        <w:t xml:space="preserve"> </w:t>
      </w:r>
      <w:r>
        <w:rPr>
          <w:i/>
          <w:iCs/>
        </w:rPr>
        <w:t xml:space="preserve">Chemometr. Intell. Lab. Syst.</w:t>
      </w:r>
      <w:r>
        <w:t xml:space="preserve">,</w:t>
      </w:r>
      <w:r>
        <w:t xml:space="preserve"> </w:t>
      </w:r>
      <w:r>
        <w:rPr>
          <w:b/>
          <w:bCs/>
        </w:rPr>
        <w:t xml:space="preserve">85</w:t>
      </w:r>
      <w:r>
        <w:t xml:space="preserve">, 1–8.</w:t>
      </w:r>
    </w:p>
    <w:p>
      <w:pPr>
        <w:pStyle w:val="BodyText"/>
      </w:pPr>
      <w:r>
        <w:t xml:space="preserve">Bodis,L.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(2009) Automatic compatibility tests of HSQC NMR spectra with proposed</w:t>
      </w:r>
      <w:r>
        <w:t xml:space="preserve"> </w:t>
      </w:r>
      <w:r>
        <w:t xml:space="preserve">structures of chemical compounds.</w:t>
      </w:r>
      <w:r>
        <w:t xml:space="preserve"> </w:t>
      </w:r>
      <w:r>
        <w:rPr>
          <w:i/>
          <w:iCs/>
        </w:rPr>
        <w:t xml:space="preserve">Talanta</w:t>
      </w:r>
      <w:r>
        <w:t xml:space="preserve">,</w:t>
      </w:r>
      <w:r>
        <w:t xml:space="preserve"> </w:t>
      </w:r>
      <w:r>
        <w:rPr>
          <w:b/>
          <w:bCs/>
        </w:rPr>
        <w:t xml:space="preserve">79</w:t>
      </w:r>
      <w:r>
        <w:t xml:space="preserve">, 1379–1386.</w:t>
      </w:r>
    </w:p>
    <w:p>
      <w:pPr>
        <w:pStyle w:val="BodyText"/>
      </w:pPr>
      <w:r>
        <w:t xml:space="preserve">Castillo,A.M.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(2013) Fast and shift-insensitive similarity comparisons of NMR using a</w:t>
      </w:r>
      <w:r>
        <w:t xml:space="preserve"> </w:t>
      </w:r>
      <w:r>
        <w:t xml:space="preserve">tree-representation of spectra.</w:t>
      </w:r>
      <w:r>
        <w:t xml:space="preserve"> </w:t>
      </w:r>
      <w:r>
        <w:rPr>
          <w:i/>
          <w:iCs/>
        </w:rPr>
        <w:t xml:space="preserve">Chemometr. Intell. Lab. Syst.</w:t>
      </w:r>
      <w:r>
        <w:t xml:space="preserve">,</w:t>
      </w:r>
      <w:r>
        <w:t xml:space="preserve"> </w:t>
      </w:r>
      <w:r>
        <w:rPr>
          <w:b/>
          <w:bCs/>
        </w:rPr>
        <w:t xml:space="preserve">127</w:t>
      </w:r>
      <w:r>
        <w:t xml:space="preserve">, 1–6.</w:t>
      </w:r>
    </w:p>
    <w:p>
      <w:pPr>
        <w:pStyle w:val="BodyText"/>
      </w:pPr>
      <w:r>
        <w:t xml:space="preserve">Delaglio,F.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(1995) NMRPipe: a multidimensional spectral processing system based on</w:t>
      </w:r>
      <w:r>
        <w:t xml:space="preserve"> </w:t>
      </w:r>
      <w:r>
        <w:t xml:space="preserve">UNIX pipes.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,</w:t>
      </w:r>
      <w:r>
        <w:t xml:space="preserve"> </w:t>
      </w:r>
      <w:r>
        <w:rPr>
          <w:b/>
          <w:bCs/>
        </w:rPr>
        <w:t xml:space="preserve">6</w:t>
      </w:r>
      <w:r>
        <w:t xml:space="preserve">, 277–293.</w:t>
      </w:r>
    </w:p>
    <w:p>
      <w:pPr>
        <w:pStyle w:val="BodyText"/>
      </w:pPr>
      <w:r>
        <w:t xml:space="preserve">Harris,C.R.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(2020)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b/>
          <w:bCs/>
        </w:rPr>
        <w:t xml:space="preserve">585</w:t>
      </w:r>
      <w:r>
        <w:t xml:space="preserve">, 357–362.</w:t>
      </w:r>
    </w:p>
    <w:p>
      <w:pPr>
        <w:pStyle w:val="BodyText"/>
      </w:pPr>
      <w:r>
        <w:t xml:space="preserve">Helmus,J.J. and Jaroniec,C.P. (2013) Nmrglue: an open source Python package for the analysis of</w:t>
      </w:r>
      <w:r>
        <w:t xml:space="preserve"> </w:t>
      </w:r>
      <w:r>
        <w:t xml:space="preserve">multidimensional NMR data.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,</w:t>
      </w:r>
      <w:r>
        <w:t xml:space="preserve"> </w:t>
      </w:r>
      <w:r>
        <w:rPr>
          <w:b/>
          <w:bCs/>
        </w:rPr>
        <w:t xml:space="preserve">55</w:t>
      </w:r>
      <w:r>
        <w:t xml:space="preserve">, 355–367.</w:t>
      </w:r>
    </w:p>
    <w:p>
      <w:pPr>
        <w:pStyle w:val="BodyText"/>
      </w:pPr>
      <w:r>
        <w:t xml:space="preserve">Hunter,J.D. (2007) Matplotlib: a 2D graphics environment.</w:t>
      </w:r>
      <w:r>
        <w:t xml:space="preserve"> </w:t>
      </w:r>
      <w:r>
        <w:rPr>
          <w:i/>
          <w:iCs/>
        </w:rPr>
        <w:t xml:space="preserve">Comput. Sci. Eng.</w:t>
      </w:r>
      <w:r>
        <w:t xml:space="preserve">,</w:t>
      </w:r>
      <w:r>
        <w:t xml:space="preserve"> </w:t>
      </w:r>
      <w:r>
        <w:rPr>
          <w:b/>
          <w:bCs/>
        </w:rPr>
        <w:t xml:space="preserve">9</w:t>
      </w:r>
      <w:r>
        <w:t xml:space="preserve">, 90–95.</w:t>
      </w:r>
    </w:p>
    <w:p>
      <w:pPr>
        <w:pStyle w:val="BodyText"/>
      </w:pPr>
      <w:r>
        <w:t xml:space="preserve">Pellecchia,M.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(2008) Perspectives on NMR in drug discovery: a technique comes of age.</w:t>
      </w:r>
      <w:r>
        <w:t xml:space="preserve"> </w:t>
      </w:r>
      <w:r>
        <w:rPr>
          <w:i/>
          <w:iCs/>
        </w:rPr>
        <w:t xml:space="preserve">Nat. Rev. Drug Discov.</w:t>
      </w:r>
      <w:r>
        <w:t xml:space="preserve">,</w:t>
      </w:r>
      <w:r>
        <w:t xml:space="preserve"> </w:t>
      </w:r>
      <w:r>
        <w:rPr>
          <w:b/>
          <w:bCs/>
        </w:rPr>
        <w:t xml:space="preserve">7</w:t>
      </w:r>
      <w:r>
        <w:t xml:space="preserve">, 738–745.</w:t>
      </w:r>
    </w:p>
    <w:p>
      <w:pPr>
        <w:pStyle w:val="BodyText"/>
      </w:pPr>
      <w:r>
        <w:t xml:space="preserve">Pierens,G.K.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(2012) HSQC spectral based similarity matching of compounds using nearest</w:t>
      </w:r>
      <w:r>
        <w:t xml:space="preserve"> </w:t>
      </w:r>
      <w:r>
        <w:t xml:space="preserve">neighbours and a fast discrete genetic algorithm.</w:t>
      </w:r>
      <w:r>
        <w:t xml:space="preserve"> </w:t>
      </w:r>
      <w:r>
        <w:rPr>
          <w:i/>
          <w:iCs/>
        </w:rPr>
        <w:t xml:space="preserve">J. Cheminform.</w:t>
      </w:r>
      <w:r>
        <w:t xml:space="preserve">,</w:t>
      </w:r>
      <w:r>
        <w:t xml:space="preserve"> </w:t>
      </w:r>
      <w:r>
        <w:rPr>
          <w:b/>
          <w:bCs/>
        </w:rPr>
        <w:t xml:space="preserve">4</w:t>
      </w:r>
      <w:r>
        <w:t xml:space="preserve">, 25.</w:t>
      </w:r>
    </w:p>
    <w:p>
      <w:pPr>
        <w:pStyle w:val="BodyText"/>
      </w:pPr>
      <w:r>
        <w:t xml:space="preserve">Shuker,S.B.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 Discovering high-affinity ligands for proteins: SAR by NMR.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b/>
          <w:bCs/>
        </w:rPr>
        <w:t xml:space="preserve">274</w:t>
      </w:r>
      <w:r>
        <w:t xml:space="preserve">, 1531–1534.</w:t>
      </w:r>
    </w:p>
    <w:p>
      <w:pPr>
        <w:pStyle w:val="BodyText"/>
      </w:pPr>
      <w:r>
        <w:t xml:space="preserve">Skinner,S.P.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(2016) CcpNmr AnalysisAssign: a flexible platform for integrated NMR</w:t>
      </w:r>
      <w:r>
        <w:t xml:space="preserve"> </w:t>
      </w:r>
      <w:r>
        <w:t xml:space="preserve">analysis.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,</w:t>
      </w:r>
      <w:r>
        <w:t xml:space="preserve"> </w:t>
      </w:r>
      <w:r>
        <w:rPr>
          <w:b/>
          <w:bCs/>
        </w:rPr>
        <w:t xml:space="preserve">66</w:t>
      </w:r>
      <w:r>
        <w:t xml:space="preserve">, 111–124.</w:t>
      </w:r>
    </w:p>
    <w:p>
      <w:pPr>
        <w:pStyle w:val="BodyText"/>
      </w:pPr>
      <w:r>
        <w:t xml:space="preserve">Ulrich,E.L.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(2008) BioMagResBank.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,</w:t>
      </w:r>
      <w:r>
        <w:t xml:space="preserve"> </w:t>
      </w:r>
      <w:r>
        <w:rPr>
          <w:b/>
          <w:bCs/>
        </w:rPr>
        <w:t xml:space="preserve">36</w:t>
      </w:r>
      <w:r>
        <w:t xml:space="preserve">, D402–D408.</w:t>
      </w:r>
    </w:p>
    <w:p>
      <w:pPr>
        <w:pStyle w:val="BodyText"/>
      </w:pPr>
      <w:r>
        <w:t xml:space="preserve">Vranken,W.F.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(2005) The CCPN data model for NMR spectroscopy: development of a software</w:t>
      </w:r>
      <w:r>
        <w:t xml:space="preserve"> </w:t>
      </w:r>
      <w:r>
        <w:t xml:space="preserve">pipeline.</w:t>
      </w:r>
      <w:r>
        <w:t xml:space="preserve"> </w:t>
      </w:r>
      <w:r>
        <w:rPr>
          <w:i/>
          <w:iCs/>
        </w:rPr>
        <w:t xml:space="preserve">Proteins</w:t>
      </w:r>
      <w:r>
        <w:t xml:space="preserve">,</w:t>
      </w:r>
      <w:r>
        <w:t xml:space="preserve"> </w:t>
      </w:r>
      <w:r>
        <w:rPr>
          <w:b/>
          <w:bCs/>
        </w:rPr>
        <w:t xml:space="preserve">59</w:t>
      </w:r>
      <w:r>
        <w:t xml:space="preserve">, 687–696.</w:t>
      </w:r>
    </w:p>
    <w:p>
      <w:pPr>
        <w:pStyle w:val="BodyText"/>
      </w:pPr>
      <w:r>
        <w:t xml:space="preserve">Williamson,M.P. (2013) Using chemical shift perturbation to characterise ligand binding.</w:t>
      </w:r>
      <w:r>
        <w:t xml:space="preserve"> </w:t>
      </w:r>
      <w:r>
        <w:rPr>
          <w:i/>
          <w:iCs/>
        </w:rPr>
        <w:t xml:space="preserve">Prog. Nucl. Magn. Reson. Spectrosc.</w:t>
      </w:r>
      <w:r>
        <w:t xml:space="preserve">,</w:t>
      </w:r>
      <w:r>
        <w:t xml:space="preserve"> </w:t>
      </w:r>
      <w:r>
        <w:rPr>
          <w:b/>
          <w:bCs/>
        </w:rPr>
        <w:t xml:space="preserve">73</w:t>
      </w:r>
      <w:r>
        <w:t xml:space="preserve">, 1–16.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LCC: a lineshape-correlation coefficient for 2D HSQC spectral similarity</dc:title>
  <dc:creator>Donghan Lee</dc:creator>
  <cp:keywords/>
  <dcterms:created xsi:type="dcterms:W3CDTF">2026-07-09T06:38:09Z</dcterms:created>
  <dcterms:modified xsi:type="dcterms:W3CDTF">2026-07-09T06:38:09Z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/>
  </property>
  <property fmtid="{D5CDD505-2E9C-101B-9397-08002B2CF9AE}" pid="4" name="geometry">
    <vt:lpwstr>margin=1in</vt:lpwstr>
  </property>
</Properties>
</file>