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LCC: a lineshape-correlation coefficient for discriminating dense protein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HSQC fingerprints</w:t>
      </w:r>
    </w:p>
    <w:p>
      <w:pPr>
        <w:pStyle w:val="Author"/>
      </w:pPr>
      <w:r>
        <w:t xml:space="preserve">Donghan Lee</w:t>
      </w:r>
    </w:p>
    <w:p>
      <w:pPr>
        <w:pStyle w:val="FirstParagraph"/>
      </w:pPr>
      <w:r>
        <w:t xml:space="preserve">Korea Basic Science Institute (KBSI), Ochang, Republic of Korea. Correspondence:</w:t>
      </w:r>
      <w:r>
        <w:t xml:space="preserve"> </w:t>
      </w:r>
      <w:r>
        <w:t xml:space="preserve">kbsi.bionmr@gmail.com</w:t>
      </w:r>
    </w:p>
    <w:p>
      <w:pPr>
        <w:pStyle w:val="BodyText"/>
      </w:pPr>
      <w:r>
        <w:rPr>
          <w:b/>
          <w:bCs/>
        </w:rPr>
        <w:t xml:space="preserve">Subject area:</w:t>
      </w:r>
      <w:r>
        <w:t xml:space="preserve"> </w:t>
      </w:r>
      <w:r>
        <w:t xml:space="preserve">Structural bioinformatics / NMR spectroscopy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Motivation:</w:t>
      </w:r>
      <w:r>
        <w:t xml:space="preserve"> </w:t>
      </w:r>
      <w:r>
        <w:t xml:space="preserve">Quantitative comparison of two-dimensional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HSQC spectra</w:t>
      </w:r>
      <w:r>
        <w:t xml:space="preserve"> </w:t>
      </w:r>
      <w:r>
        <w:t xml:space="preserve">underlies ligand screening and protein fingerprinting, yet the established similarity</w:t>
      </w:r>
      <w:r>
        <w:t xml:space="preserve"> </w:t>
      </w:r>
      <w:r>
        <w:t xml:space="preserve">measures were designed for sparse small-molecule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spectra. On the dense</w:t>
      </w:r>
      <w:r>
        <w:t xml:space="preserve"> </w:t>
      </w:r>
      <w:r>
        <w:t xml:space="preserve">amide fingerprint of a protein they fail in two opposite ways: bin-histogram methods</w:t>
      </w:r>
      <w:r>
        <w:t xml:space="preserve"> </w:t>
      </w:r>
      <w:r>
        <w:t xml:space="preserve">lose margin under the small peak drifts that a titration induces, while tree and</w:t>
      </w:r>
      <w:r>
        <w:t xml:space="preserve"> </w:t>
      </w:r>
      <w:r>
        <w:t xml:space="preserve">nearest-neighbour methods saturate high (different-protein score 0.87–0.96) because in</w:t>
      </w:r>
      <w:r>
        <w:t xml:space="preserve"> </w:t>
      </w:r>
      <w:r>
        <w:t xml:space="preserve">a crowded fingerprint every peak finds a coincidental near neighbour, leaving almost no</w:t>
      </w:r>
      <w:r>
        <w:t xml:space="preserve"> </w:t>
      </w:r>
      <w:r>
        <w:t xml:space="preserve">contrast between the same protein and a different one.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We introduce the Lineshape Correlation Coefficient (LCC), which renders</w:t>
      </w:r>
      <w:r>
        <w:t xml:space="preserve"> </w:t>
      </w:r>
      <w:r>
        <w:t xml:space="preserve">each spectrum onto a shared grid, blurs it by the physical linewidth plus the expected</w:t>
      </w:r>
      <w:r>
        <w:t xml:space="preserve"> </w:t>
      </w:r>
      <w:r>
        <w:t xml:space="preserve">shift drift, and scores the two images by their mean-centred normalized cross-correlation</w:t>
      </w:r>
      <w:r>
        <w:t xml:space="preserve"> </w:t>
      </w:r>
      <w:r>
        <w:t xml:space="preserve">at zero lag. The Gaussian render supplies graded shift tolerance while mean-centring</w:t>
      </w:r>
      <w:r>
        <w:t xml:space="preserve"> </w:t>
      </w:r>
      <w:r>
        <w:t xml:space="preserve">penalizes intensity that is not co-located, so a titrated ligand series stays high while a</w:t>
      </w:r>
      <w:r>
        <w:t xml:space="preserve"> </w:t>
      </w:r>
      <w:r>
        <w:t xml:space="preserve">different protein decorrelates; removing the mean-centring drops the separation from 0.75</w:t>
      </w:r>
      <w:r>
        <w:t xml:space="preserve"> </w:t>
      </w:r>
      <w:r>
        <w:t xml:space="preserve">to 0.59, confirming it as the discriminating step. On a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HSQC benchmark of</w:t>
      </w:r>
      <w:r>
        <w:t xml:space="preserve"> </w:t>
      </w:r>
      <w:r>
        <w:t xml:space="preserve">six same-protein titration points and one different-protein spectrum, LCC widens the</w:t>
      </w:r>
      <w:r>
        <w:t xml:space="preserve"> </w:t>
      </w:r>
      <w:r>
        <w:t xml:space="preserve">worst-case margin between the two classes to 0.71 (versus 0.24 for the best prior method);</w:t>
      </w:r>
      <w:r>
        <w:t xml:space="preserve"> </w:t>
      </w:r>
      <w:r>
        <w:t xml:space="preserve">the between-protein contrast rests on a single negative spectrum and should be read as</w:t>
      </w:r>
      <w:r>
        <w:t xml:space="preserve"> </w:t>
      </w:r>
      <w:r>
        <w:t xml:space="preserve">indicative pending a larger negative set.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Freely available under the MIT license at</w:t>
      </w:r>
      <w:r>
        <w:t xml:space="preserve"> </w:t>
      </w:r>
      <w:r>
        <w:t xml:space="preserve">https://github.com/deepnmr/spectra_similarity_tool; implemented in Python 3 (NumPy;</w:t>
      </w:r>
      <w:r>
        <w:t xml:space="preserve"> </w:t>
      </w:r>
      <w:r>
        <w:t xml:space="preserve">Matplotlib optional for figures); platform independent. The repository includes the three</w:t>
      </w:r>
      <w:r>
        <w:t xml:space="preserve"> </w:t>
      </w:r>
      <w:r>
        <w:t xml:space="preserve">reference methods, a benchmark harness and a test suite.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kbsi.bionmr@gmail.com</w: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 recurring task in biomolecular NMR is to score how similar two 2D HSQC spectra are:</w:t>
      </w:r>
      <w:r>
        <w:t xml:space="preserve"> </w:t>
      </w:r>
      <w:r>
        <w:t xml:space="preserve">tracking a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amide fingerprint across a ligand titration, mapping a chemical</w:t>
      </w:r>
      <w:r>
        <w:t xml:space="preserve"> </w:t>
      </w:r>
      <w:r>
        <w:t xml:space="preserve">shift perturbation on binding (Shuker</w:t>
      </w:r>
      <w:r>
        <w:t xml:space="preserve"> </w:t>
      </w:r>
      <w:r>
        <w:rPr>
          <w:i/>
          <w:iCs/>
        </w:rPr>
        <w:t xml:space="preserve">et al.</w:t>
      </w:r>
      <w:r>
        <w:t xml:space="preserve">, 1996; Williamson, 2013), or matching a</w:t>
      </w:r>
      <w:r>
        <w:t xml:space="preserve"> </w:t>
      </w:r>
      <w:r>
        <w:t xml:space="preserve">spectrum against a library. Three families of measure are in use. The bin method of Bodis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integrates each spectrum over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grid at a range of resolutions and</w:t>
      </w:r>
      <w:r>
        <w:t xml:space="preserve"> </w:t>
      </w:r>
      <w:r>
        <w:t xml:space="preserve">reports a weighted Jaccard (Ružička) index (Bodis</w:t>
      </w:r>
      <w:r>
        <w:t xml:space="preserve"> </w:t>
      </w:r>
      <w:r>
        <w:rPr>
          <w:i/>
          <w:iCs/>
        </w:rPr>
        <w:t xml:space="preserve">et al.</w:t>
      </w:r>
      <w:r>
        <w:t xml:space="preserve">, 2007, 2009). The tree method of</w:t>
      </w:r>
      <w:r>
        <w:t xml:space="preserve"> </w:t>
      </w:r>
      <w:r>
        <w:t xml:space="preserve">Castillo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encodes a spectrum as a recursive centre-of-mass quad-tree and compares</w:t>
      </w:r>
      <w:r>
        <w:t xml:space="preserve"> </w:t>
      </w:r>
      <w:r>
        <w:t xml:space="preserve">the trees node-by-node with a shift-tolerant node score (Castillo</w:t>
      </w:r>
      <w:r>
        <w:t xml:space="preserve"> </w:t>
      </w:r>
      <w:r>
        <w:rPr>
          <w:i/>
          <w:iCs/>
        </w:rPr>
        <w:t xml:space="preserve">et al.</w:t>
      </w:r>
      <w:r>
        <w:t xml:space="preserve">, 2013). The peak</w:t>
      </w:r>
      <w:r>
        <w:t xml:space="preserve"> </w:t>
      </w:r>
      <w:r>
        <w:t xml:space="preserve">method of Pierens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picks peaks and matches each to its nearest neighbour in the</w:t>
      </w:r>
      <w:r>
        <w:t xml:space="preserve"> </w:t>
      </w:r>
      <w:r>
        <w:t xml:space="preserve">other spectrum (Pierens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2012).</w:t>
      </w:r>
    </w:p>
    <w:p>
      <w:pPr>
        <w:pStyle w:val="BodyText"/>
      </w:pPr>
      <w:r>
        <w:t xml:space="preserve">All three were developed for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small-molecule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HSQC spectra. The</w:t>
      </w:r>
      <w:r>
        <w:t xml:space="preserve"> </w:t>
      </w:r>
      <w:r>
        <w:t xml:space="preserve">amide fingerprint of a folded protein is the opposite regime: on the order of a hundred</w:t>
      </w:r>
      <w:r>
        <w:t xml:space="preserve"> </w:t>
      </w:r>
      <w:r>
        <w:t xml:space="preserve">crosspeaks (roughly one per residue) crowded into a single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region. Here the</w:t>
      </w:r>
      <w:r>
        <w:t xml:space="preserve"> </w:t>
      </w:r>
      <w:r>
        <w:t xml:space="preserve">measures fail in two opposite ways. Bin histograms are shift-</w:t>
      </w:r>
      <w:r>
        <w:rPr>
          <w:b/>
          <w:bCs/>
        </w:rPr>
        <w:t xml:space="preserve">brittle</w:t>
      </w:r>
      <w:r>
        <w:t xml:space="preserve">: a peak straddling</w:t>
      </w:r>
      <w:r>
        <w:t xml:space="preserve"> </w:t>
      </w:r>
      <w:r>
        <w:t xml:space="preserve">a bin edge splits its intensity across neighbouring bins, so the small drifts a titration</w:t>
      </w:r>
      <w:r>
        <w:t xml:space="preserve"> </w:t>
      </w:r>
      <w:r>
        <w:t xml:space="preserve">induces move mass between bins and erode the score. The tree and nearest-neighbour measures</w:t>
      </w:r>
      <w:r>
        <w:t xml:space="preserve"> </w:t>
      </w:r>
      <w:r>
        <w:t xml:space="preserve">are shift-</w:t>
      </w:r>
      <w:r>
        <w:rPr>
          <w:b/>
          <w:bCs/>
        </w:rPr>
        <w:t xml:space="preserve">blind</w:t>
      </w:r>
      <w:r>
        <w:t xml:space="preserve">: in a crowded fingerprint every peak has some near neighbour and every</w:t>
      </w:r>
      <w:r>
        <w:t xml:space="preserve"> </w:t>
      </w:r>
      <w:r>
        <w:t xml:space="preserve">spectrum has a similar mass-centre structure, so both saturate high and retain almost no</w:t>
      </w:r>
      <w:r>
        <w:t xml:space="preserve"> </w:t>
      </w:r>
      <w:r>
        <w:t xml:space="preserve">contrast (separation 0.03–0.04 below). A measure for this regime must tolerate small physical</w:t>
      </w:r>
      <w:r>
        <w:t xml:space="preserve"> </w:t>
      </w:r>
      <w:r>
        <w:t xml:space="preserve">drifts yet still penalize genuinely relocated intensity.</w:t>
      </w:r>
    </w:p>
    <w:bookmarkEnd w:id="10"/>
    <w:bookmarkStart w:id="11" w:name="implementation"/>
    <w:p>
      <w:pPr>
        <w:pStyle w:val="Heading2"/>
      </w:pPr>
      <w:r>
        <w:t xml:space="preserve">2 Implementation</w:t>
      </w:r>
    </w:p>
    <w:p>
      <w:pPr>
        <w:pStyle w:val="FirstParagraph"/>
      </w:pPr>
      <w:r>
        <w:t xml:space="preserve">LCC keeps the physically meaningful ingredients of the three methods — area-weighted</w:t>
      </w:r>
      <w:r>
        <w:t xml:space="preserve"> </w:t>
      </w:r>
      <w:r>
        <w:t xml:space="preserve">integration and unit normalization (Bodis), a physical shift tolerance (Castillo), a</w:t>
      </w:r>
      <w:r>
        <w:t xml:space="preserve"> </w:t>
      </w:r>
      <w:r>
        <w:t xml:space="preserve">lineshape picture of the spectrum (Pierens) — and adds a mean-centred correlation as the</w:t>
      </w:r>
      <w:r>
        <w:t xml:space="preserve"> </w:t>
      </w:r>
      <w:r>
        <w:t xml:space="preserve">discriminating step. Given two processed Bruker spectra compared inside a common window it</w:t>
      </w:r>
      <w:r>
        <w:t xml:space="preserve"> </w:t>
      </w:r>
      <w:r>
        <w:t xml:space="preserve">proceeds in three steps.</w:t>
      </w:r>
    </w:p>
    <w:p>
      <w:pPr>
        <w:pStyle w:val="BodyText"/>
      </w:pPr>
      <w:r>
        <w:rPr>
          <w:b/>
          <w:bCs/>
        </w:rPr>
        <w:t xml:space="preserve">Render.</w:t>
      </w:r>
      <w:r>
        <w:t xml:space="preserve"> </w:t>
      </w:r>
      <w:r>
        <w:t xml:space="preserve">Negative intensities are clipped, each point is weighted by its local integration</w:t>
      </w:r>
      <w:r>
        <w:t xml:space="preserve"> </w:t>
      </w:r>
      <w:r>
        <w:t xml:space="preserve">area, and both spectra are histogrammed onto a</w:t>
      </w:r>
      <w:r>
        <w:t xml:space="preserve"> </w:t>
      </w:r>
      <w:r>
        <w:rPr>
          <w:b/>
          <w:bCs/>
        </w:rPr>
        <w:t xml:space="preserve">single shared grid</w:t>
      </w:r>
      <w:r>
        <w:t xml:space="preserve"> </w:t>
      </w:r>
      <w:r>
        <w:t xml:space="preserve">so they are directly</w:t>
      </w:r>
      <w:r>
        <w:t xml:space="preserve"> </w:t>
      </w:r>
      <w:r>
        <w:t xml:space="preserve">comparable irrespective of their native digital resolution.</w:t>
      </w:r>
    </w:p>
    <w:p>
      <w:pPr>
        <w:pStyle w:val="BodyText"/>
      </w:pPr>
      <w:r>
        <w:rPr>
          <w:b/>
          <w:bCs/>
        </w:rPr>
        <w:t xml:space="preserve">Blur.</w:t>
      </w:r>
      <w:r>
        <w:t xml:space="preserve"> </w:t>
      </w:r>
      <w:r>
        <w:t xml:space="preserve">Each image is convolved with a separable Gaussian whose width per axis is the</w:t>
      </w:r>
      <w:r>
        <w:t xml:space="preserve"> </w:t>
      </w:r>
      <w:r>
        <w:t xml:space="preserve">physical linewidth combined with the expected drift,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ℓ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(defaults</w:t>
      </w:r>
      <w:r>
        <w:t xml:space="preserve"> </w:t>
      </w:r>
      <m:oMath>
        <m:sSub>
          <m:e>
            <m:r>
              <m:t>σ</m:t>
            </m:r>
          </m:e>
          <m:sub>
            <m:sSup>
              <m:e>
                <m:r>
                  <m:t>​</m:t>
                </m:r>
              </m:e>
              <m:sup>
                <m:r>
                  <m:t>1</m:t>
                </m:r>
              </m:sup>
            </m:sSup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0.03</m:t>
        </m:r>
      </m:oMath>
      <w:r>
        <w:t xml:space="preserve">,</w:t>
      </w:r>
      <w:r>
        <w:t xml:space="preserve"> </w:t>
      </w:r>
      <m:oMath>
        <m:sSub>
          <m:e>
            <m:r>
              <m:t>σ</m:t>
            </m:r>
          </m:e>
          <m:sub>
            <m:sSup>
              <m:e>
                <m:r>
                  <m:t>​</m:t>
                </m:r>
              </m:e>
              <m:sup>
                <m:r>
                  <m:t>15</m:t>
                </m:r>
              </m:sup>
            </m:sSup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ppm). This replaces the bin</w:t>
      </w:r>
      <w:r>
        <w:t xml:space="preserve"> </w:t>
      </w:r>
      <w:r>
        <w:t xml:space="preserve">method’s hard edges with a continuous response: for an isolated peak on a large grid (where</w:t>
      </w:r>
      <w:r>
        <w:t xml:space="preserve"> </w:t>
      </w:r>
      <w:r>
        <w:t xml:space="preserve">mean-centring is negligible) two copies displaced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Δ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correlate as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Sup>
          <m:e>
            <m:r>
              <m:rPr>
                <m:sty m:val="p"/>
              </m:rPr>
              <m:t>Δ</m:t>
            </m:r>
          </m:e>
          <m:sub>
            <m:r>
              <m:t>H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4</m:t>
        </m:r>
        <m:sSubSup>
          <m:e>
            <m:r>
              <m:t>σ</m:t>
            </m:r>
          </m:e>
          <m:sub>
            <m:r>
              <m:t>H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rPr>
                <m:sty m:val="p"/>
              </m:rPr>
              <m:t>Δ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4</m:t>
        </m:r>
        <m:sSubSup>
          <m:e>
            <m:r>
              <m:t>σ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smooth and monotone in the drift, so</w:t>
      </w:r>
      <w:r>
        <w:t xml:space="preserve"> </w:t>
      </w:r>
      <w:r>
        <w:t xml:space="preserve">a physical titration shift costs little and a random relocation costs a lot.</w:t>
      </w:r>
    </w:p>
    <w:p>
      <w:pPr>
        <w:pStyle w:val="BodyText"/>
      </w:pPr>
      <w:r>
        <w:rPr>
          <w:b/>
          <w:bCs/>
        </w:rPr>
        <w:t xml:space="preserve">Score.</w:t>
      </w:r>
      <w:r>
        <w:t xml:space="preserve"> </w:t>
      </w:r>
      <w:r>
        <w:t xml:space="preserve">Each image is mean-centred and the similarity is the zero-lag normalized</w:t>
      </w:r>
      <w:r>
        <w:t xml:space="preserve"> </w:t>
      </w:r>
      <w:r>
        <w:t xml:space="preserve">cross-correlation (the Pearson coefficient) of the two centred images, clamped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Mean-centring is the discriminating step: a cell where one spectrum has a peak and the other</w:t>
      </w:r>
      <w:r>
        <w:t xml:space="preserve"> </w:t>
      </w:r>
      <w:r>
        <w:t xml:space="preserve">is empty contributes a negative product and lowers the score, so intensity that is not</w:t>
      </w:r>
      <w:r>
        <w:t xml:space="preserve"> </w:t>
      </w:r>
      <w:r>
        <w:t xml:space="preserve">co-located is actively penalized rather than, as in the nearest-neighbour distance, ignored.</w:t>
      </w:r>
      <w:r>
        <w:t xml:space="preserve"> </w:t>
      </w:r>
      <w:r>
        <w:t xml:space="preserve">No shift search is performed — aligning the images would let a different protein slide into</w:t>
      </w:r>
      <w:r>
        <w:t xml:space="preserve"> </w:t>
      </w:r>
      <w:r>
        <w:t xml:space="preserve">registration and re-saturate, the very failure mode of the tree and nearest-neighbour methods.</w:t>
      </w:r>
    </w:p>
    <w:p>
      <w:pPr>
        <w:pStyle w:val="BodyText"/>
      </w:pPr>
      <w:r>
        <w:t xml:space="preserve">Self-similarity is exactly one (as it is for all methods tested); the score is symmetric</w:t>
      </w:r>
      <w:r>
        <w:t xml:space="preserve"> </w:t>
      </w:r>
      <w:r>
        <w:t xml:space="preserve">exactly, and monotone in the drift of an isolated peak (verified in the unit tests). The</w:t>
      </w:r>
      <w:r>
        <w:t xml:space="preserve"> </w:t>
      </w:r>
      <w:r>
        <w:t xml:space="preserve">implementation is pure NumPy, needs no peak picking and no external solver, and runs in about</w:t>
      </w:r>
      <w:r>
        <w:t xml:space="preserve"> </w:t>
      </w:r>
      <w:r>
        <w:t xml:space="preserve">6 ms per spectrum pair on a</w:t>
      </w:r>
      <w:r>
        <w:t xml:space="preserve"> </w:t>
      </w:r>
      <m:oMath>
        <m:r>
          <m:t>250</m:t>
        </m:r>
        <m:r>
          <m:rPr>
            <m:sty m:val="p"/>
          </m:rPr>
          <m:t>×</m:t>
        </m:r>
        <m:r>
          <m:t>350</m:t>
        </m:r>
      </m:oMath>
      <w:r>
        <w:t xml:space="preserve"> </w:t>
      </w:r>
      <w:r>
        <w:t xml:space="preserve">grid (Apple Silicon, single core); a 17-test</w:t>
      </w:r>
      <w:r>
        <w:t xml:space="preserve"> </w:t>
      </w:r>
      <w:r>
        <w:t xml:space="preserve">suite (all passing) checks self-similarity, related-beats-unrelated ordering and</w:t>
      </w:r>
      <w:r>
        <w:t xml:space="preserve"> </w:t>
      </w:r>
      <w:r>
        <w:t xml:space="preserve">monotonicity in drift. A full derivation with proofs is provided as Supplementary Material.</w:t>
      </w:r>
    </w:p>
    <w:bookmarkEnd w:id="11"/>
    <w:bookmarkStart w:id="15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We benchmarked LCC against the three reference methods on a protein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HSQC data</w:t>
      </w:r>
      <w:r>
        <w:t xml:space="preserve"> </w:t>
      </w:r>
      <w:r>
        <w:t xml:space="preserve">set. The reference is the apo spectrum of the phosphatase PRL3, compared with six spectra of</w:t>
      </w:r>
      <w:r>
        <w:t xml:space="preserve"> </w:t>
      </w:r>
      <w:r>
        <w:t xml:space="preserve">the same protein along a ligand titration (which should score high) and with the spectrum of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protein (which should score low). Because the six positives are titration</w:t>
      </w:r>
      <w:r>
        <w:t xml:space="preserve"> </w:t>
      </w:r>
      <w:r>
        <w:t xml:space="preserve">points of one protein–ligand system they form a correlated series, not independent replicates,</w:t>
      </w:r>
      <w:r>
        <w:t xml:space="preserve"> </w:t>
      </w:r>
      <w:r>
        <w:t xml:space="preserve">and the negative class is a single spectrum; the numbers below are therefore descriptive of</w:t>
      </w:r>
      <w:r>
        <w:t xml:space="preserve"> </w:t>
      </w:r>
      <w:r>
        <w:t xml:space="preserve">this set rather than population estimates. All spectra were compared inside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6.5–10 ppm</w:t>
      </w:r>
      <w:r>
        <w:t xml:space="preserve"> </w:t>
      </w:r>
      <m:oMath>
        <m:r>
          <m:rPr>
            <m:sty m:val="p"/>
          </m:rPr>
          <m:t>×</m:t>
        </m:r>
        <m:sSup>
          <m:e>
            <m:r>
              <m:t> </m:t>
            </m:r>
          </m:e>
          <m:sup>
            <m:r>
              <m:t>15</m:t>
            </m:r>
          </m:sup>
        </m:sSup>
      </m:oMath>
      <w:r>
        <w:t xml:space="preserve">N 105–130 ppm. We summarize discrimination by the separation (mean same-protein</w:t>
      </w:r>
      <w:r>
        <w:t xml:space="preserve"> </w:t>
      </w:r>
      <w:r>
        <w:t xml:space="preserve">score minus different-protein score) and, because it is what a classification threshold sees,</w:t>
      </w:r>
      <w:r>
        <w:t xml:space="preserve"> </w:t>
      </w:r>
      <w:r>
        <w:t xml:space="preserve">by the worst-case margin (minimum same-protein score minus different-protein score); both are</w:t>
      </w:r>
      <w:r>
        <w:t xml:space="preserve"> </w:t>
      </w:r>
      <w:r>
        <w:t xml:space="preserve">on each method’s own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score scale (Table 1; Fig. 1).</w:t>
      </w:r>
    </w:p>
    <w:p>
      <w:pPr>
        <w:pStyle w:val="TableCaption"/>
      </w:pPr>
      <w:r>
        <w:t xml:space="preserve">Similarity of the reference PRL3 spectrum to the same protein (mean over six titration</w:t>
      </w:r>
      <w:r>
        <w:t xml:space="preserve"> </w:t>
      </w:r>
      <w:r>
        <w:t xml:space="preserve">points) and to a different protein. Separation and margin are computed from unrounded scores.</w:t>
      </w:r>
      <w:r>
        <w:t xml:space="preserve"> </w:t>
      </w:r>
      <w:r>
        <w:t xml:space="preserve">All methods self-score 1.00.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ilarity of the reference PRL3 spectrum to the same protein (mean over six titration points) and to a different protein. Separation and margin are computed from unrounded scores. All methods self-score 1.00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mean same</w:t>
            </w:r>
          </w:p>
        </w:tc>
        <w:tc>
          <w:tcPr/>
          <w:p>
            <w:pPr>
              <w:pStyle w:val="Compact"/>
            </w:pPr>
            <w:r>
              <w:t xml:space="preserve">different</w:t>
            </w:r>
          </w:p>
        </w:tc>
        <w:tc>
          <w:tcPr/>
          <w:p>
            <w:pPr>
              <w:pStyle w:val="Compact"/>
            </w:pPr>
            <w:r>
              <w:t xml:space="preserve">separation</w:t>
            </w:r>
          </w:p>
        </w:tc>
        <w:tc>
          <w:tcPr/>
          <w:p>
            <w:pPr>
              <w:pStyle w:val="Compac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 (Bodis, 2009)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 + 45° rotation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Quad-tree (Castillo, 2013)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−0.01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Nearest neighbour (Pierens, 2012)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LCC (this work)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0.71</w:t>
            </w:r>
          </w:p>
        </w:tc>
      </w:tr>
    </w:tbl>
    <w:p>
      <w:pPr>
        <w:pStyle w:val="BodyText"/>
      </w:pPr>
      <w:r>
        <w:t xml:space="preserve">The six same-protein scores span 0.89–0.97 (mean 0.94) and the different protein scores 0.18,</w:t>
      </w:r>
      <w:r>
        <w:t xml:space="preserve"> </w:t>
      </w:r>
      <w:r>
        <w:t xml:space="preserve">so LCC opens a worst-case margin of 0.71 — three times the 0.24 of the bin method, the</w:t>
      </w:r>
      <w:r>
        <w:t xml:space="preserve"> </w:t>
      </w:r>
      <w:r>
        <w:t xml:space="preserve">strongest prior baseline, and well clear of the tree and nearest-neighbour methods, which</w:t>
      </w:r>
      <w:r>
        <w:t xml:space="preserve"> </w:t>
      </w:r>
      <w:r>
        <w:t xml:space="preserve">saturate as expected for this regime. Both LCC and the bin method separate this particular</w:t>
      </w:r>
      <w:r>
        <w:t xml:space="preserve"> </w:t>
      </w:r>
      <w:r>
        <w:t xml:space="preserve">seven-spectrum set with a single threshold; the practical difference is the width of the gap,</w:t>
      </w:r>
      <w:r>
        <w:t xml:space="preserve"> </w:t>
      </w:r>
      <w:r>
        <w:t xml:space="preserve">which governs robustness to an unseen spectrum. The mean-centring is what earns that gap:</w:t>
      </w:r>
      <w:r>
        <w:t xml:space="preserve"> </w:t>
      </w:r>
      <w:r>
        <w:t xml:space="preserve">replacing it with an un-centred cosine correlation on the same images drops the separation</w:t>
      </w:r>
      <w:r>
        <w:t xml:space="preserve"> </w:t>
      </w:r>
      <w:r>
        <w:t xml:space="preserve">from 0.75 to 0.59 and the margin from 0.71 to 0.55. The gain is also not an artefact of one</w:t>
      </w:r>
      <w:r>
        <w:t xml:space="preserve"> </w:t>
      </w:r>
      <w:r>
        <w:t xml:space="preserve">tuned parameter — LCC beats the bin method across the whole physical blur range (separation</w:t>
      </w:r>
      <w:r>
        <w:t xml:space="preserve"> </w:t>
      </w:r>
      <w:r>
        <w:t xml:space="preserve">0.71–0.77 for</w:t>
      </w:r>
      <w:r>
        <w:t xml:space="preserve"> </w:t>
      </w:r>
      <m:oMath>
        <m:sSub>
          <m:e>
            <m:r>
              <m:t>σ</m:t>
            </m:r>
          </m:e>
          <m:sub>
            <m:sSup>
              <m:e>
                <m:r>
                  <m:t>​</m:t>
                </m:r>
              </m:e>
              <m:sup>
                <m:r>
                  <m:t>1</m:t>
                </m:r>
              </m:sup>
            </m:sSup>
            <m:r>
              <m:rPr>
                <m:sty m:val="p"/>
              </m:rPr>
              <m:t>H</m:t>
            </m:r>
          </m:sub>
        </m:sSub>
      </m:oMath>
      <w:r>
        <w:t xml:space="preserve"> </w:t>
      </w:r>
      <w:r>
        <w:t xml:space="preserve">0.02–0.04 and</w:t>
      </w:r>
      <w:r>
        <w:t xml:space="preserve"> </w:t>
      </w:r>
      <m:oMath>
        <m:sSub>
          <m:e>
            <m:r>
              <m:t>σ</m:t>
            </m:r>
          </m:e>
          <m:sub>
            <m:sSup>
              <m:e>
                <m:r>
                  <m:t>​</m:t>
                </m:r>
              </m:e>
              <m:sup>
                <m:r>
                  <m:t>15</m:t>
                </m:r>
              </m:sup>
            </m:sSup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0.20–0.40 ppm)</w:t>
      </w:r>
      <w:r>
        <w:t xml:space="preserve"> </w:t>
      </w:r>
      <w:r>
        <w:t xml:space="preserve">and still wins (0.36) when coarsened to the bin method’s own resolution.</w:t>
      </w:r>
    </w:p>
    <w:p>
      <w:pPr>
        <w:pStyle w:val="BodyText"/>
      </w:pPr>
      <w:r>
        <w:t xml:space="preserve">The two knobs are the per-axis blur widths, both physical: the NMR linewidth sets the floor</w:t>
      </w:r>
      <w:r>
        <w:t xml:space="preserve"> </w:t>
      </w:r>
      <w:r>
        <w:t xml:space="preserve">and the expected chemical shift perturbation sets how much drift is tolerated; widening</w:t>
      </w:r>
      <w:r>
        <w:t xml:space="preserve"> </w:t>
      </w:r>
      <m:oMath>
        <m:sSub>
          <m:e>
            <m:r>
              <m:t>σ</m:t>
            </m:r>
          </m:e>
          <m:sub>
            <m:sSup>
              <m:e>
                <m:r>
                  <m:t>​</m:t>
                </m:r>
              </m:e>
              <m:sup>
                <m:r>
                  <m:t>15</m:t>
                </m:r>
              </m:sup>
            </m:sSup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trades separation for robustness when strong binding-site shifts are</w:t>
      </w:r>
      <w:r>
        <w:t xml:space="preserve"> </w:t>
      </w:r>
      <w:r>
        <w:t xml:space="preserve">anticipated. LCC measures position-and-intensity coincidence rather than protein identity, so a</w:t>
      </w:r>
      <w:r>
        <w:t xml:space="preserve"> </w:t>
      </w:r>
      <w:r>
        <w:t xml:space="preserve">homologue sharing the amide envelope will score intermediate — correct behaviour for a</w:t>
      </w:r>
      <w:r>
        <w:t xml:space="preserve"> </w:t>
      </w:r>
      <w:r>
        <w:t xml:space="preserve">similarity but a caveat for classification. LCC is intended for dense protein fingerprints and</w:t>
      </w:r>
      <w:r>
        <w:t xml:space="preserve"> </w:t>
      </w:r>
      <w:r>
        <w:t xml:space="preserve">titration tracking; the tree and nearest-neighbour methods remain preferable for sparse</w:t>
      </w:r>
      <w:r>
        <w:t xml:space="preserve"> </w:t>
      </w:r>
      <w:r>
        <w:t xml:space="preserve">small-molecule spectra where shift insensitivity is the goal.</w:t>
      </w:r>
    </w:p>
    <w:p>
      <w:pPr>
        <w:pStyle w:val="BodyText"/>
      </w:pPr>
      <w:r>
        <w:t xml:space="preserve">Table 1 is regenerated by</w:t>
      </w:r>
      <w:r>
        <w:t xml:space="preserve"> </w:t>
      </w:r>
      <w:r>
        <w:rPr>
          <w:rStyle w:val="VerbatimChar"/>
        </w:rPr>
        <w:t xml:space="preserve">python3.11 bench.py --prl3 &lt;dir&gt; --oaa &lt;dir&gt; --json</w:t>
      </w:r>
      <w:r>
        <w:t xml:space="preserve"> </w:t>
      </w:r>
      <w:r>
        <w:t xml:space="preserve">(NumPy 2.4.6),</w:t>
      </w:r>
      <w:r>
        <w:t xml:space="preserve"> </w:t>
      </w:r>
      <w:r>
        <w:t xml:space="preserve">which reads the processed Bruker spectra and prints the full per-comparison scores; the same</w:t>
      </w:r>
      <w:r>
        <w:t xml:space="preserve"> </w:t>
      </w:r>
      <w:r>
        <w:t xml:space="preserve">table and Fig. 1 are committed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</w:t>
      </w:r>
    </w:p>
    <w:p>
      <w:pPr>
        <w:pStyle w:val="CaptionedFigure"/>
      </w:pPr>
      <w:r>
        <w:drawing>
          <wp:inline>
            <wp:extent cx="5334000" cy="2051538"/>
            <wp:effectExtent b="0" l="0" r="0" t="0"/>
            <wp:docPr descr="Figure 1. Per-comparison LCC similarity of the reference PRL3 ^1H-^{15}N HSQC spectrum. Left: similarity along the six-point ligand titration of the same protein (green, should score high, 0.89–0.97) and to a different protein (OAA, red, 0.18), for all five methods; LCC (purple) is the only measure that keeps the titration high while dropping the different protein far below it. Right: the resulting separation (mean same − different) per method." title="" id="13" name="Picture"/>
            <a:graphic>
              <a:graphicData uri="http://schemas.openxmlformats.org/drawingml/2006/picture">
                <pic:pic>
                  <pic:nvPicPr>
                    <pic:cNvPr descr="../results/lcc_comparis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1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Per-comparison LCC similarity of the reference PRL3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HSQC</w:t>
      </w:r>
      <w:r>
        <w:t xml:space="preserve"> </w:t>
      </w:r>
      <w:r>
        <w:t xml:space="preserve">spectrum. Left: similarity along the six-point ligand titration of the same protein (green,</w:t>
      </w:r>
      <w:r>
        <w:t xml:space="preserve"> </w:t>
      </w:r>
      <w:r>
        <w:t xml:space="preserve">should score high, 0.89–0.97) and to a different protein (OAA, red, 0.18), for all five</w:t>
      </w:r>
      <w:r>
        <w:t xml:space="preserve"> </w:t>
      </w:r>
      <w:r>
        <w:t xml:space="preserve">methods; LCC (purple) is the only measure that keeps the titration high while dropping the</w:t>
      </w:r>
      <w:r>
        <w:t xml:space="preserve"> </w:t>
      </w:r>
      <w:r>
        <w:t xml:space="preserve">different protein far below it. Right: the resulting separation (mean same − different) per</w:t>
      </w:r>
      <w:r>
        <w:t xml:space="preserve"> </w:t>
      </w:r>
      <w:r>
        <w:t xml:space="preserve">method.</w:t>
      </w:r>
    </w:p>
    <w:bookmarkEnd w:id="15"/>
    <w:bookmarkStart w:id="1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processed PRL3 and OAA Bruker spectra used for the benchmark are available from the author</w:t>
      </w:r>
      <w:r>
        <w:t xml:space="preserve"> </w:t>
      </w:r>
      <w:r>
        <w:t xml:space="preserve">on reasonable request. The benchmark harness accepts their locations via</w:t>
      </w:r>
      <w:r>
        <w:t xml:space="preserve"> </w:t>
      </w:r>
      <w:r>
        <w:rPr>
          <w:rStyle w:val="VerbatimChar"/>
        </w:rPr>
        <w:t xml:space="preserve">--prl3</w:t>
      </w:r>
      <w:r>
        <w:t xml:space="preserve">/</w:t>
      </w:r>
      <w:r>
        <w:rPr>
          <w:rStyle w:val="VerbatimChar"/>
        </w:rPr>
        <w:t xml:space="preserve">--oaa</w:t>
      </w:r>
      <w:r>
        <w:t xml:space="preserve">.</w:t>
      </w:r>
    </w:p>
    <w:bookmarkEnd w:id="16"/>
    <w:bookmarkStart w:id="1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Bodis,L.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 A novel spectra similarity measure.</w:t>
      </w:r>
      <w:r>
        <w:t xml:space="preserve"> </w:t>
      </w:r>
      <w:r>
        <w:rPr>
          <w:i/>
          <w:iCs/>
        </w:rPr>
        <w:t xml:space="preserve">Chemometr. Intell. Lab. Syst.</w:t>
      </w:r>
      <w:r>
        <w:t xml:space="preserve">,</w:t>
      </w:r>
      <w:r>
        <w:t xml:space="preserve"> </w:t>
      </w:r>
      <w:r>
        <w:rPr>
          <w:b/>
          <w:bCs/>
        </w:rPr>
        <w:t xml:space="preserve">85</w:t>
      </w:r>
      <w:r>
        <w:t xml:space="preserve">, 1–8.</w:t>
      </w:r>
    </w:p>
    <w:p>
      <w:pPr>
        <w:pStyle w:val="BodyText"/>
      </w:pPr>
      <w:r>
        <w:t xml:space="preserve">Bodis,L.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(2009) Automatic compatibility tests of HSQC NMR spectra with proposed</w:t>
      </w:r>
      <w:r>
        <w:t xml:space="preserve"> </w:t>
      </w:r>
      <w:r>
        <w:t xml:space="preserve">structures of chemical compounds.</w:t>
      </w:r>
      <w:r>
        <w:t xml:space="preserve"> </w:t>
      </w:r>
      <w:r>
        <w:rPr>
          <w:i/>
          <w:iCs/>
        </w:rPr>
        <w:t xml:space="preserve">Talanta</w:t>
      </w:r>
      <w:r>
        <w:t xml:space="preserve">,</w:t>
      </w:r>
      <w:r>
        <w:t xml:space="preserve"> </w:t>
      </w:r>
      <w:r>
        <w:rPr>
          <w:b/>
          <w:bCs/>
        </w:rPr>
        <w:t xml:space="preserve">79</w:t>
      </w:r>
      <w:r>
        <w:t xml:space="preserve">, 1379–1386.</w:t>
      </w:r>
    </w:p>
    <w:p>
      <w:pPr>
        <w:pStyle w:val="BodyText"/>
      </w:pPr>
      <w:r>
        <w:t xml:space="preserve">Castillo,A.M.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 Fast and shift-insensitive similarity comparisons of NMR using a</w:t>
      </w:r>
      <w:r>
        <w:t xml:space="preserve"> </w:t>
      </w:r>
      <w:r>
        <w:t xml:space="preserve">tree-representation of spectra.</w:t>
      </w:r>
      <w:r>
        <w:t xml:space="preserve"> </w:t>
      </w:r>
      <w:r>
        <w:rPr>
          <w:i/>
          <w:iCs/>
        </w:rPr>
        <w:t xml:space="preserve">Chemometr. Intell. Lab. Syst.</w:t>
      </w:r>
      <w:r>
        <w:t xml:space="preserve">,</w:t>
      </w:r>
      <w:r>
        <w:t xml:space="preserve"> </w:t>
      </w:r>
      <w:r>
        <w:rPr>
          <w:b/>
          <w:bCs/>
        </w:rPr>
        <w:t xml:space="preserve">127</w:t>
      </w:r>
      <w:r>
        <w:t xml:space="preserve">, 1–6.</w:t>
      </w:r>
    </w:p>
    <w:p>
      <w:pPr>
        <w:pStyle w:val="BodyText"/>
      </w:pPr>
      <w:r>
        <w:t xml:space="preserve">Harris,C.R.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(2020)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,</w:t>
      </w:r>
      <w:r>
        <w:t xml:space="preserve"> </w:t>
      </w:r>
      <w:r>
        <w:rPr>
          <w:b/>
          <w:bCs/>
        </w:rPr>
        <w:t xml:space="preserve">585</w:t>
      </w:r>
      <w:r>
        <w:t xml:space="preserve">, 357–362.</w:t>
      </w:r>
    </w:p>
    <w:p>
      <w:pPr>
        <w:pStyle w:val="BodyText"/>
      </w:pPr>
      <w:r>
        <w:t xml:space="preserve">Helmus,J.J. and Jaroniec,C.P. (2013) Nmrglue: an open source Python package for the analysis of</w:t>
      </w:r>
      <w:r>
        <w:t xml:space="preserve"> </w:t>
      </w:r>
      <w:r>
        <w:t xml:space="preserve">multidimensional NMR data.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55</w:t>
      </w:r>
      <w:r>
        <w:t xml:space="preserve">, 355–367.</w:t>
      </w:r>
    </w:p>
    <w:p>
      <w:pPr>
        <w:pStyle w:val="BodyText"/>
      </w:pPr>
      <w:r>
        <w:t xml:space="preserve">Pierens,G.K.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(2012) HSQC spectral based similarity matching of compounds using nearest</w:t>
      </w:r>
      <w:r>
        <w:t xml:space="preserve"> </w:t>
      </w:r>
      <w:r>
        <w:t xml:space="preserve">neighbours and a fast discrete genetic algorithm.</w:t>
      </w:r>
      <w:r>
        <w:t xml:space="preserve"> </w:t>
      </w:r>
      <w:r>
        <w:rPr>
          <w:i/>
          <w:iCs/>
        </w:rPr>
        <w:t xml:space="preserve">J. Cheminform.</w:t>
      </w:r>
      <w:r>
        <w:t xml:space="preserve">,</w:t>
      </w:r>
      <w:r>
        <w:t xml:space="preserve"> </w:t>
      </w:r>
      <w:r>
        <w:rPr>
          <w:b/>
          <w:bCs/>
        </w:rPr>
        <w:t xml:space="preserve">4</w:t>
      </w:r>
      <w:r>
        <w:t xml:space="preserve">, 25.</w:t>
      </w:r>
    </w:p>
    <w:p>
      <w:pPr>
        <w:pStyle w:val="BodyText"/>
      </w:pPr>
      <w:r>
        <w:t xml:space="preserve">Shuker,S.B.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(1996) Discovering high-affinity ligands for proteins: SAR by NMR.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rPr>
          <w:b/>
          <w:bCs/>
        </w:rPr>
        <w:t xml:space="preserve">274</w:t>
      </w:r>
      <w:r>
        <w:t xml:space="preserve">, 1531–1534.</w:t>
      </w:r>
    </w:p>
    <w:p>
      <w:pPr>
        <w:pStyle w:val="BodyText"/>
      </w:pPr>
      <w:r>
        <w:t xml:space="preserve">Williamson,M.P. (2013) Using chemical shift perturbation to characterise ligand binding.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1–16.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LCC: a lineshape-correlation coefficient for discriminating dense protein ^{1}H-^{15}N HSQC fingerprints</dc:title>
  <dc:creator>Donghan Lee</dc:creator>
  <cp:keywords/>
  <dcterms:created xsi:type="dcterms:W3CDTF">2026-07-08T14:55:10Z</dcterms:created>
  <dcterms:modified xsi:type="dcterms:W3CDTF">2026-07-08T14:55:10Z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/>
  </property>
  <property fmtid="{D5CDD505-2E9C-101B-9397-08002B2CF9AE}" pid="4" name="geometry">
    <vt:lpwstr>margin=1in</vt:lpwstr>
  </property>
</Properties>
</file>