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E223A" w14:textId="215ACB74" w:rsidR="00410FBC" w:rsidRDefault="00410FBC" w:rsidP="00AE77EE">
      <w:pPr>
        <w:pStyle w:val="Heading1"/>
      </w:pPr>
      <w:bookmarkStart w:id="0" w:name="problem-statement"/>
      <w:r>
        <w:t xml:space="preserve">Specificity Prediction of Plant Acyl-ACP </w:t>
      </w:r>
      <w:r w:rsidRPr="00453F80">
        <w:t>Thioesterases</w:t>
      </w:r>
      <w:r>
        <w:t xml:space="preserve"> </w:t>
      </w:r>
      <w:r w:rsidR="00555F14">
        <w:t>using</w:t>
      </w:r>
      <w:r>
        <w:t xml:space="preserve"> Machine Learning</w:t>
      </w:r>
      <w:bookmarkEnd w:id="0"/>
    </w:p>
    <w:p w14:paraId="7E63E056" w14:textId="691DF6A4" w:rsidR="00410FBC" w:rsidRPr="00DA10F2" w:rsidRDefault="00410FBC" w:rsidP="00AE77EE">
      <w:pPr>
        <w:pStyle w:val="BodyText"/>
        <w:rPr>
          <w:sz w:val="20"/>
          <w:szCs w:val="20"/>
        </w:rPr>
      </w:pPr>
      <w:r w:rsidRPr="00DA10F2">
        <w:rPr>
          <w:sz w:val="20"/>
          <w:szCs w:val="20"/>
        </w:rPr>
        <w:t xml:space="preserve">Deepro Banerjee*, </w:t>
      </w:r>
      <w:proofErr w:type="spellStart"/>
      <w:r w:rsidRPr="00DA10F2">
        <w:rPr>
          <w:sz w:val="20"/>
          <w:szCs w:val="20"/>
        </w:rPr>
        <w:t>Soodabeh</w:t>
      </w:r>
      <w:proofErr w:type="spellEnd"/>
      <w:r w:rsidRPr="00DA10F2">
        <w:rPr>
          <w:sz w:val="20"/>
          <w:szCs w:val="20"/>
        </w:rPr>
        <w:t xml:space="preserve"> </w:t>
      </w:r>
      <w:proofErr w:type="spellStart"/>
      <w:r w:rsidRPr="00DA10F2">
        <w:rPr>
          <w:sz w:val="20"/>
          <w:szCs w:val="20"/>
        </w:rPr>
        <w:t>Ghaffari</w:t>
      </w:r>
      <w:proofErr w:type="spellEnd"/>
      <w:r w:rsidRPr="00DA10F2">
        <w:rPr>
          <w:sz w:val="20"/>
          <w:szCs w:val="20"/>
        </w:rPr>
        <w:t xml:space="preserve">*, Veda </w:t>
      </w:r>
      <w:proofErr w:type="spellStart"/>
      <w:r w:rsidRPr="00DA10F2">
        <w:rPr>
          <w:sz w:val="20"/>
          <w:szCs w:val="20"/>
        </w:rPr>
        <w:t>S</w:t>
      </w:r>
      <w:r w:rsidR="006C530B" w:rsidRPr="00DA10F2">
        <w:rPr>
          <w:sz w:val="20"/>
          <w:szCs w:val="20"/>
        </w:rPr>
        <w:t>heersh</w:t>
      </w:r>
      <w:proofErr w:type="spellEnd"/>
      <w:r w:rsidRPr="00DA10F2">
        <w:rPr>
          <w:sz w:val="20"/>
          <w:szCs w:val="20"/>
        </w:rPr>
        <w:t xml:space="preserve"> </w:t>
      </w:r>
      <w:proofErr w:type="spellStart"/>
      <w:r w:rsidRPr="00DA10F2">
        <w:rPr>
          <w:sz w:val="20"/>
          <w:szCs w:val="20"/>
        </w:rPr>
        <w:t>Boorla</w:t>
      </w:r>
      <w:proofErr w:type="spellEnd"/>
      <w:r w:rsidRPr="00DA10F2">
        <w:rPr>
          <w:sz w:val="20"/>
          <w:szCs w:val="20"/>
        </w:rPr>
        <w:t xml:space="preserve">*, Michael </w:t>
      </w:r>
      <w:proofErr w:type="spellStart"/>
      <w:r w:rsidRPr="00DA10F2">
        <w:rPr>
          <w:sz w:val="20"/>
          <w:szCs w:val="20"/>
        </w:rPr>
        <w:t>Jindra</w:t>
      </w:r>
      <w:proofErr w:type="spellEnd"/>
      <w:r w:rsidRPr="00DA10F2">
        <w:rPr>
          <w:rFonts w:cs="Times New Roman"/>
          <w:sz w:val="20"/>
          <w:szCs w:val="20"/>
        </w:rPr>
        <w:t xml:space="preserve">†, Brian F. </w:t>
      </w:r>
      <w:proofErr w:type="spellStart"/>
      <w:r w:rsidRPr="00DA10F2">
        <w:rPr>
          <w:rFonts w:cs="Times New Roman"/>
          <w:sz w:val="20"/>
          <w:szCs w:val="20"/>
        </w:rPr>
        <w:t>Pfleger</w:t>
      </w:r>
      <w:proofErr w:type="spellEnd"/>
      <w:r w:rsidRPr="00DA10F2">
        <w:rPr>
          <w:rFonts w:cs="Times New Roman"/>
          <w:sz w:val="20"/>
          <w:szCs w:val="20"/>
        </w:rPr>
        <w:t>†, Costas D. Maranas</w:t>
      </w:r>
      <w:r w:rsidRPr="00DA10F2">
        <w:rPr>
          <w:sz w:val="20"/>
          <w:szCs w:val="20"/>
        </w:rPr>
        <w:t>*</w:t>
      </w:r>
      <w:r w:rsidRPr="00DA10F2">
        <w:rPr>
          <w:rFonts w:cs="Times New Roman"/>
          <w:sz w:val="20"/>
          <w:szCs w:val="20"/>
        </w:rPr>
        <w:t xml:space="preserve"> </w:t>
      </w:r>
    </w:p>
    <w:p w14:paraId="58A23834" w14:textId="77777777" w:rsidR="00410FBC" w:rsidRPr="001C3A11" w:rsidRDefault="00410FBC" w:rsidP="00AE77EE">
      <w:pPr>
        <w:pStyle w:val="BodyText"/>
        <w:rPr>
          <w:sz w:val="16"/>
          <w:szCs w:val="16"/>
        </w:rPr>
      </w:pPr>
      <w:r w:rsidRPr="001C3A11">
        <w:rPr>
          <w:sz w:val="16"/>
          <w:szCs w:val="16"/>
        </w:rPr>
        <w:t>* Department of Chemical Engineering, Pennsylvania State University, University Park, Pennsylvania, USA</w:t>
      </w:r>
    </w:p>
    <w:p w14:paraId="4C3BF138" w14:textId="438F76D3" w:rsidR="00826D4D" w:rsidRPr="001C3A11" w:rsidRDefault="00410FBC" w:rsidP="00AE77EE">
      <w:pPr>
        <w:rPr>
          <w:sz w:val="16"/>
          <w:szCs w:val="16"/>
        </w:rPr>
      </w:pPr>
      <w:r w:rsidRPr="001C3A11">
        <w:rPr>
          <w:sz w:val="16"/>
          <w:szCs w:val="16"/>
        </w:rPr>
        <w:t xml:space="preserve">† </w:t>
      </w:r>
      <w:r w:rsidRPr="001C3A11">
        <w:rPr>
          <w:rStyle w:val="nlm-addr-line"/>
          <w:sz w:val="16"/>
          <w:szCs w:val="16"/>
        </w:rPr>
        <w:t>Department of Chemical and Biological Engineering, University of Wisconsin-Madison, Madison, Wisconsin, USA</w:t>
      </w:r>
    </w:p>
    <w:p w14:paraId="72ABD025" w14:textId="532D8D4B" w:rsidR="00410FBC" w:rsidRDefault="00B13B75" w:rsidP="00AE77EE">
      <w:pPr>
        <w:pStyle w:val="Heading2"/>
      </w:pPr>
      <w:r>
        <w:t>Introduction</w:t>
      </w:r>
    </w:p>
    <w:p w14:paraId="1132E616" w14:textId="3FEDF71F" w:rsidR="004728C8" w:rsidRDefault="00410FBC" w:rsidP="00AE77EE">
      <w:pPr>
        <w:pStyle w:val="BodyText"/>
      </w:pPr>
      <w:r w:rsidRPr="0071244C">
        <w:t>Thioesterase</w:t>
      </w:r>
      <w:r>
        <w:t>s</w:t>
      </w:r>
      <w:r w:rsidRPr="0071244C">
        <w:t>, which</w:t>
      </w:r>
      <w:r w:rsidRPr="00DE70D7">
        <w:t xml:space="preserve"> catalyze the hydrolysis of acyl-ACP (acyl carrier protein)</w:t>
      </w:r>
      <w:r>
        <w:t xml:space="preserve"> during type II fatty acid synthesis, determine both fatty acid chain length and overall yields</w:t>
      </w:r>
      <w:r>
        <w:fldChar w:fldCharType="begin" w:fldLock="1"/>
      </w:r>
      <w:r w:rsidR="00951CFC">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Design","type":"article-journal","volume":"12"},"uris":["http://www.mendeley.com/documents/?uuid=8fceb5f6-d522-42c5-995c-7a5935eb9042"]},{"id":"ITEM-2","itemData":{"DOI":"10.1021/acscatal.7b00408","ISSN":"21555435","abstract":"Enzyme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(C8-C12) acyl-ACP thioesterases through structure-guided mutagenesis. Medium-chain fatty acids, which are products of thioesterase-catalyzed hydrolysis, are limited in natural abundance, compared to long-chain fatty acids; the limited supply leads to high costs of C6-C10 oleochemicals such as fatty alcohols, amines, and esters. Here, we applied computational tools to tune substrate binding of the highly active 'TesA thioesterase in Escherichia coli. We used the IPRO algorithm to design thioesterase variants with enhanced C12 or C8 specificity, while maintaining high activity. After four rounds of structure-guided mutagenesis, we identified 3 variants with enhanced production of dodecanoic acid (C12) and 27 variants with enhanced production of octanoic acid (C8). The top variants reached up to 49% C12 and 50% C8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J.","non-dropping-particle":"","parse-names":false,"suffix":""},{"dropping-particle":"","family":"Hernández-Lozada","given":"Néstor 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 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D.","non-dropping-particle":"","parse-names":false,"suffix":""}],"container-title":"ACS Catalysis","id":"ITEM-2","issue":"6","issued":{"date-parts":[["2017"]]},"page":"3837-3849","title":"Computational Redesign of Acyl-ACP Thioesterase with Improved Selectivity toward Medium-Chain-Length Fatty Acids","type":"article-journal","volume":"7"},"uris":["http://www.mendeley.com/documents/?uuid=21cc8f4e-7123-46db-99d1-9c6d447a39a5"]},{"id":"ITEM-3","itemData":{"DOI":"10.1038/s41467-018-03310-z","ISSN":"20411723","PMID":"29491418","abstract":"The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Communications","id":"ITEM-3","issue":"1","issued":{"date-parts":[["2018"]]},"publisher":"Springer US","title":"Two distinct domains contribute to the substrate acyl chain length selectivity of plant acyl-ACP thioesterase","type":"article-journal","volume":"9"},"uris":["http://www.mendeley.com/documents/?uuid=c33a7970-8e47-48c0-8090-3b922996eb6b"]}],"mendeley":{"formattedCitation":"[1]–[3]","plainTextFormattedCitation":"[1]–[3]","previouslyFormattedCitation":"[1]–[3]"},"properties":{"noteIndex":0},"schema":"https://github.com/citation-style-language/schema/raw/master/csl-citation.json"}</w:instrText>
      </w:r>
      <w:r>
        <w:fldChar w:fldCharType="separate"/>
      </w:r>
      <w:r w:rsidR="00951CFC" w:rsidRPr="00951CFC">
        <w:rPr>
          <w:noProof/>
        </w:rPr>
        <w:t>[1]–[3]</w:t>
      </w:r>
      <w:r>
        <w:fldChar w:fldCharType="end"/>
      </w:r>
      <w:r>
        <w:t xml:space="preserve">. </w:t>
      </w:r>
      <w:r w:rsidRPr="00453F80">
        <w:t xml:space="preserve">The goal of this project is to classify </w:t>
      </w:r>
      <w:r>
        <w:t xml:space="preserve">plant acyl-ACP </w:t>
      </w:r>
      <w:r w:rsidRPr="00453F80">
        <w:t>Thioesterases</w:t>
      </w:r>
      <w:r>
        <w:t xml:space="preserve"> (TE)</w:t>
      </w:r>
      <w:r w:rsidRPr="00453F80">
        <w:t xml:space="preserve"> based on their substrate </w:t>
      </w:r>
      <w:r>
        <w:t>specificity</w:t>
      </w:r>
      <w:r w:rsidRPr="00453F80">
        <w:t xml:space="preserve">. </w:t>
      </w:r>
      <w:r w:rsidR="003D2382">
        <w:t xml:space="preserve">Primary sequence information and </w:t>
      </w:r>
      <w:r>
        <w:t xml:space="preserve">machine learning have been </w:t>
      </w:r>
      <w:r w:rsidR="003D2382">
        <w:t>widely</w:t>
      </w:r>
      <w:r w:rsidR="00B13B75">
        <w:t xml:space="preserve"> </w:t>
      </w:r>
      <w:r>
        <w:t>used</w:t>
      </w:r>
      <w:r w:rsidR="00B13B75">
        <w:t xml:space="preserve"> to classify proteins </w:t>
      </w:r>
      <w:r w:rsidR="003D2382">
        <w:t xml:space="preserve">into known families/classes </w:t>
      </w:r>
      <w:r w:rsidR="00951CFC">
        <w:fldChar w:fldCharType="begin" w:fldLock="1"/>
      </w:r>
      <w:r w:rsidR="004728C8">
        <w:instrText>ADDIN CSL_CITATION {"citationItems":[{"id":"ITEM-1","itemData":{"DOI":"10.1186/1471-2105-11-175","ISSN":"14712105","PMID":"20377887","abstract":"Background: This paper deals with the preprocessing of protein sequences for supervised classification. Motif extraction is one way to address that task. It has been largely used to encode biological sequences into feature vectors to enable using well-known machine-learning classifiers which require this format. However, designing a suitable feature space, for a set of proteins, is not a trivial task. For this purpose, we propose a novel encoding method that uses amino-acid substitution matrices to define similarity between motifs during the extraction step.Results: In order to demonstrate the efficiency of such approach, we compare several encoding methods using some machine learning classifiers. The experimental results showed that our encoding method outperforms other ones in terms of classification accuracy and number of generated attributes. We also compared the classifiers in term of accuracy. Results indicated that SVM generally outperforms the other classifiers with any encoding method. We showed that SVM, coupled with our encoding method, can be an efficient protein classification system. In addition, we studied the effect of the substitution matrices variation on the quality of our method and hence on the classification quality. We noticed that our method enables good classification accuracies with all the substitution matrices and that the variances of the obtained accuracies using various substitution matrices are slight. However, the number of generated features varies from a substitution matrix to another. Furthermore, the use of already published datasets allowed us to carry out a comparison with several related works.Conclusions: The outcomes of our comparative experiments confirm the efficiency of our encoding method to represent protein sequences in classification tasks. © 2010 Saidi et al; licensee BioMed Central Ltd.","author":[{"dropping-particle":"","family":"Saidi","given":"Rabie","non-dropping-particle":"","parse-names":false,"suffix":""},{"dropping-particle":"","family":"Maddouri","given":"Mondher","non-dropping-particle":"","parse-names":false,"suffix":""},{"dropping-particle":"","family":"Mephu Nguifo","given":"Engelbert","non-dropping-particle":"","parse-names":false,"suffix":""}],"container-title":"BMC Bioinformatics","id":"ITEM-1","issued":{"date-parts":[["2010"]]},"title":"Protein sequences classification by means of feature extraction with substitution matrices","type":"article-journal"},"uris":["http://www.mendeley.com/documents/?uuid=1ea86e56-ae06-4689-a4e0-08a8d87e1e47"]},{"id":"ITEM-2","itemData":{"DOI":"10.1109/IJCNN.2005.1556080","abstract":"Traditionally, two protein sequences are classified into the same class if they have high homology in terms of feature patterns extracted through sequence alignment algorithms. These algorithms compare an unseen protein sequence with all the identified protein sequences and returned the higher scored protein sequences. As the sizes of the protein sequence databases are very large, it is a very time consuming job to perform exhaustive comparison of existing protein sequence. Therefore, there is a need to build an improved classification system for effectively identifying protein sequences. In this paper, a recently developed machine learning algorithm referred to as the Extreme Learning Machine (ELM) is used to classify protein sequences with ten classes of super-families downloaded from a public domain database. A comparative study on system performance is conducted between ELM and the main conventional neural network classifier - Backpropagation Neural Networks. Results show that ELM needs up to four orders of magnitude less training time compared to BP Network. The classification accuracy of ELM is also higher than that of BP network. For given network architecture, ELM does not have any control parameters (i.e, stopping criteria, learning rate, learning epoches, etc) to be manually tuned and can be implemented easily. © 2005 IEEE.","author":[{"dropping-particle":"","family":"Wang","given":"Dianhui","non-dropping-particle":"","parse-names":false,"suffix":""},{"dropping-particle":"Bin","family":"Huang","given":"Guang","non-dropping-particle":"","parse-names":false,"suffix":""}],"container-title":"Proceedings of the International Joint Conference on Neural Networks","id":"ITEM-2","issued":{"date-parts":[["2005"]]},"title":"Protein sequence classification using extreme learning machine","type":"paper-conference"},"uris":["http://www.mendeley.com/documents/?uuid=2fee349e-ee0c-4372-9560-8c7302c29762"]},{"id":"ITEM-3","itemData":{"DOI":"10.1021/cb100218d","ISSN":"15548929","PMID":"20945913","abstract":"Accumulating evidence suggests that reversible protein acetylation may be a major regulatory mechanism that rivals phosphorylation. With the recent cataloging of thousands of acetylation sites on hundreds of proteins comes the challenge of identifying the acetyltransferases and deacetylases that regulate acetylation levels. Sirtuins are a conserved family of NAD+-dependent protein deacetylases that are implicated in genome maintenance, metabolism, cell survival, and lifespan. SIRT3 is the dominant protein deacetylase in mitochondria, and emerging evidence suggests that SIRT3 may control major pathways by deacetylation of central metabolic enzymes. Here, to identify potential SIRT3 substrates, we have developed an unbiased screening strategy that involves a novel acetyl-lysine analogue (thiotrifluoroacetyl-lysine), SPOT-peptide libraries, machine learning, and kinetic validation. SPOT peptide libraries based on known and potential mitochondrial acetyl-lysine sites were screened for SIRT3 binding and then analyzed using machine learning to establish binding trends. These trends were then applied to the mitochondrial proteome as a whole to predict binding affinity of all lysine sites within human mitochondria. Machine learning prediction of SIRT3 binding correlated with steady-state kinetic kcat/Km values for 24 acetyl-lysine peptides that possessed a broad range of predicted binding. Thus, SPOT peptide-binding screens and machine learning prediction provides an accurate and efficient method to evaluate sirtuin substrate specificity from a relatively small learning set. These analyses suggest potential SIRT3 substrates involved in several metabolic pathways such as the urea cycle, ATP synthesis, and fatty acid oxidation. © 2010 American Chemical Society.","author":[{"dropping-particle":"","family":"Smith","given":"Brian C.","non-dropping-particle":"","parse-names":false,"suffix":""},{"dropping-particle":"","family":"Settles","given":"Burr","non-dropping-particle":"","parse-names":false,"suffix":""},{"dropping-particle":"","family":"Hallows","given":"William C.","non-dropping-particle":"","parse-names":false,"suffix":""},{"dropping-particle":"","family":"Craven","given":"Mark W.","non-dropping-particle":"","parse-names":false,"suffix":""},{"dropping-particle":"","family":"Denu","given":"John M.","non-dropping-particle":"","parse-names":false,"suffix":""}],"container-title":"ACS Chemical Biology","id":"ITEM-3","issued":{"date-parts":[["2011"]]},"title":"SIRT3 substrate specificity determined by peptide arrays and machine learning","type":"article-journal"},"uris":["http://www.mendeley.com/documents/?uuid=7f01d951-cd62-4f3f-bad3-cb50a984830e"]},{"id":"ITEM-4","itemData":{"DOI":"10.1371/journal.pone.0100278","ISSN":"19326203","PMID":"24968309","abstract":"Background: Membrane transport proteins (transporters) move hydrophilic substrates across hydrophobic membranes and play vital roles in most cellular functions. Transporters represent a diverse group of proteins that differ in topology, energy coupling mechanism, and substrate specificity as well as sequence similarity. Among the functional annotations of transporters, information about their transporting substrates is especially important. The experimental identification and characterization of transporters is currently costly and time-consuming. The development of robust bioinformatics-based methods for the prediction of membrane transport proteins and their substrate specificities is therefore an important and urgent task. Results: Support vector machine (SVM)-based computational models, which comprehensively utilize integrative protein sequence features such as amino acid composition, dipeptide composition, physico-chemical composition, biochemical composition, and position-specific scoring matrices (PSSM), were developed to predict the substrate specificity of seven transporter classes: amino acid, anion, cation, electron, protein/mRNA, sugar, and other transporters. An additional model to differentiate transporters from non-transporters was also developed. Among the developed models, the biochemical composition and PSSM hybrid model outperformed other models and achieved an overall average prediction accuracy of 76.69% with a Mathews correlation coefficient (MCC) of 0.49 and a receiver operating characteristic area under the curve (AUC) of 0.833 on our main dataset. This model also achieved an overall average prediction accuracy of 78.88% and MCC of 0.41 on an independent dataset. Conclusions: Our analyses suggest that evolutionary information (i.e., the PSSM) and the AAIndex are key features for the substrate specificity prediction of transport proteins. In comparison, similarity-based methods such as BLAST, PSI-BLAST, and hidden Markov models do not provide accurate predictions for the substrate specificity of membrane transport proteins. TrSSP: The Transporter Substrate Specificity Prediction Server, a web server that implements the SVM models developed in this paper, is freely available at http://bioinfo.noble.org/TrSSP. © 2014 Mishra et al.","author":[{"dropping-particle":"","family":"Mishra","given":"Nitish K.","non-dropping-particle":"","parse-names":false,"suffix":""},{"dropping-particle":"","family":"Chang","given":"Junil","non-dropping-particle":"","parse-names":false,"suffix":""},{"dropping-particle":"","family":"Zhao","given":"Patrick X.","non-dropping-particle":"","parse-names":false,"suffix":""}],"container-title":"PLoS ONE","id":"ITEM-4","issued":{"date-parts":[["2014"]]},"title":"Prediction of membrane transport proteins and their substrate specificities using primary sequence information","type":"article-journal"},"uris":["http://www.mendeley.com/documents/?uuid=f08bee3e-c62f-4a92-9308-e9ba0ae5585c"]}],"mendeley":{"formattedCitation":"[4]–[7]","plainTextFormattedCitation":"[4]–[7]","previouslyFormattedCitation":"[4]–[7]"},"properties":{"noteIndex":0},"schema":"https://github.com/citation-style-language/schema/raw/master/csl-citation.json"}</w:instrText>
      </w:r>
      <w:r w:rsidR="00951CFC">
        <w:fldChar w:fldCharType="separate"/>
      </w:r>
      <w:r w:rsidR="00951CFC" w:rsidRPr="00951CFC">
        <w:rPr>
          <w:noProof/>
        </w:rPr>
        <w:t>[4]–[7]</w:t>
      </w:r>
      <w:r w:rsidR="00951CFC">
        <w:fldChar w:fldCharType="end"/>
      </w:r>
      <w:r w:rsidR="00B13B75">
        <w:t xml:space="preserve">. Here, we present </w:t>
      </w:r>
      <w:r w:rsidR="003424C2">
        <w:t xml:space="preserve">a </w:t>
      </w:r>
      <w:r w:rsidR="0076325C">
        <w:t xml:space="preserve">stacked </w:t>
      </w:r>
      <w:r w:rsidR="003424C2">
        <w:t>ensemble framework using Support Vector Machines \cite as the base model to</w:t>
      </w:r>
      <w:r w:rsidR="00B13B75">
        <w:t xml:space="preserve"> predict the substrate specificities of TE </w:t>
      </w:r>
      <w:r w:rsidR="001571ED">
        <w:t xml:space="preserve">using their </w:t>
      </w:r>
      <w:r w:rsidR="003424C2">
        <w:t xml:space="preserve">primary </w:t>
      </w:r>
      <w:r w:rsidR="001571ED">
        <w:t>sequences as features</w:t>
      </w:r>
      <w:r w:rsidR="004728C8">
        <w:t xml:space="preserve">. </w:t>
      </w:r>
      <w:r w:rsidR="003424C2" w:rsidRPr="00B62807">
        <w:rPr>
          <w:rStyle w:val="BodyTextChar"/>
        </w:rPr>
        <w:t xml:space="preserve">The heterogeneity </w:t>
      </w:r>
      <w:r w:rsidR="0076325C">
        <w:rPr>
          <w:rStyle w:val="BodyTextChar"/>
        </w:rPr>
        <w:t xml:space="preserve">among </w:t>
      </w:r>
      <w:r w:rsidR="003424C2" w:rsidRPr="00B62807">
        <w:rPr>
          <w:rStyle w:val="BodyTextChar"/>
        </w:rPr>
        <w:t xml:space="preserve">our </w:t>
      </w:r>
      <w:r w:rsidR="0076325C">
        <w:rPr>
          <w:rStyle w:val="BodyTextChar"/>
        </w:rPr>
        <w:t xml:space="preserve">base </w:t>
      </w:r>
      <w:r w:rsidR="003424C2" w:rsidRPr="00B62807">
        <w:rPr>
          <w:rStyle w:val="BodyTextChar"/>
        </w:rPr>
        <w:t xml:space="preserve">models </w:t>
      </w:r>
      <w:r w:rsidR="0076325C">
        <w:rPr>
          <w:rStyle w:val="BodyTextChar"/>
        </w:rPr>
        <w:t xml:space="preserve">in the ensemble </w:t>
      </w:r>
      <w:r w:rsidR="003424C2" w:rsidRPr="00B62807">
        <w:rPr>
          <w:rStyle w:val="BodyTextChar"/>
        </w:rPr>
        <w:t>will be governed by the different feature representation techniques</w:t>
      </w:r>
      <w:r w:rsidR="003424C2">
        <w:t xml:space="preserve"> used to encode the primary sequences of the enzymes. Ensemble </w:t>
      </w:r>
      <w:r w:rsidR="0050585B">
        <w:t>m</w:t>
      </w:r>
      <w:r w:rsidR="003424C2">
        <w:t xml:space="preserve">ethods are known to provide more robust and accurate predictions </w:t>
      </w:r>
      <w:r w:rsidR="00DF489D">
        <w:t xml:space="preserve">\cite </w:t>
      </w:r>
      <w:r w:rsidR="003424C2">
        <w:t xml:space="preserve">compared to any individual model </w:t>
      </w:r>
      <w:r w:rsidR="00DF489D">
        <w:t>on small training samples which we will eventually illustrate through this study</w:t>
      </w:r>
      <w:r w:rsidR="003D2382">
        <w:t xml:space="preserve">. </w:t>
      </w:r>
      <w:r w:rsidR="0076325C">
        <w:t xml:space="preserve">Our </w:t>
      </w:r>
      <w:r w:rsidR="0050585B">
        <w:t>e</w:t>
      </w:r>
      <w:r w:rsidR="0076325C">
        <w:t xml:space="preserve">nsemble </w:t>
      </w:r>
      <w:r w:rsidR="0050585B">
        <w:t>f</w:t>
      </w:r>
      <w:r w:rsidR="0076325C">
        <w:t>ramework achieves a mean cross validation accuracy of 0.777 across 10,000 simulations.</w:t>
      </w:r>
    </w:p>
    <w:p w14:paraId="7D707311" w14:textId="1848CC0B" w:rsidR="004728C8" w:rsidRDefault="004728C8" w:rsidP="00AE77EE">
      <w:pPr>
        <w:pStyle w:val="Heading2"/>
      </w:pPr>
      <w:r>
        <w:t>Methods</w:t>
      </w:r>
    </w:p>
    <w:p w14:paraId="376E6686" w14:textId="77777777" w:rsidR="008F2525" w:rsidRPr="00DA10F2" w:rsidRDefault="00691477" w:rsidP="00DA10F2">
      <w:pPr>
        <w:pStyle w:val="Heading3"/>
      </w:pPr>
      <w:r w:rsidRPr="00DA10F2">
        <w:t>Dataset Compilation</w:t>
      </w:r>
    </w:p>
    <w:p w14:paraId="79260F7F" w14:textId="47C10E74" w:rsidR="00410FBC" w:rsidRDefault="004728C8" w:rsidP="00AE77EE">
      <w:pPr>
        <w:pStyle w:val="BodyText"/>
      </w:pPr>
      <w:r w:rsidRPr="004728C8">
        <w:t>The input dataset consists of 106 TE sequences and their corresponding substrate specificity</w:t>
      </w:r>
      <w:r>
        <w:t xml:space="preserve">. These characterized TE were obtained from multiple literature sources </w:t>
      </w:r>
      <w:r>
        <w:fldChar w:fldCharType="begin" w:fldLock="1"/>
      </w:r>
      <w:r w:rsidR="00BE268B">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1b5ec34c-ef54-428b-9f17-5ab4a47512fc"]},{"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thioesterases","type":"article-journal"},"uris":["http://www.mendeley.com/documents/?uuid=a4d9ca7e-146c-41bb-9477-1c81ab232b00"]},{"id":"ITEM-4","itemData":{"DOI":"10.1073/pnas.92.23.10639","ISSN":"00278424","PMID":"7479856","abstract":"The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engineering","type":"article-journal"},"uris":["http://www.mendeley.com/documents/?uuid=b289f9e1-bd70-4697-a01d-812f719998f4"]}],"mendeley":{"formattedCitation":"[3], [8]–[10]","plainTextFormattedCitation":"[3], [8]–[10]","previouslyFormattedCitation":"[3], [8]–[10]"},"properties":{"noteIndex":0},"schema":"https://github.com/citation-style-language/schema/raw/master/csl-citation.json"}</w:instrText>
      </w:r>
      <w:r>
        <w:fldChar w:fldCharType="separate"/>
      </w:r>
      <w:r w:rsidRPr="004728C8">
        <w:rPr>
          <w:noProof/>
        </w:rPr>
        <w:t>[3], [8]–[10]</w:t>
      </w:r>
      <w:r>
        <w:fldChar w:fldCharType="end"/>
      </w:r>
      <w:r>
        <w:t xml:space="preserve">. </w:t>
      </w:r>
      <w:r w:rsidR="00410FBC" w:rsidRPr="00453F80">
        <w:t>The</w:t>
      </w:r>
      <w:r>
        <w:t>se</w:t>
      </w:r>
      <w:r w:rsidR="00410FBC" w:rsidRPr="00453F80">
        <w:t xml:space="preserve"> enzymes </w:t>
      </w:r>
      <w:r>
        <w:t>were</w:t>
      </w:r>
      <w:r w:rsidR="00410FBC" w:rsidRPr="00453F80">
        <w:t xml:space="preserve"> </w:t>
      </w:r>
      <w:r w:rsidR="0010202A">
        <w:t xml:space="preserve">divided </w:t>
      </w:r>
      <w:r w:rsidR="00410FBC" w:rsidRPr="00453F80">
        <w:t xml:space="preserve">into </w:t>
      </w:r>
      <w:r w:rsidR="00410FBC">
        <w:t>the following categories</w:t>
      </w:r>
      <w:r>
        <w:t xml:space="preserve"> </w:t>
      </w:r>
      <w:r w:rsidR="00691477">
        <w:t>to formulate a classification problem</w:t>
      </w:r>
      <w:r w:rsidR="00410FBC" w:rsidRPr="00453F80">
        <w:t>:</w:t>
      </w:r>
    </w:p>
    <w:p w14:paraId="442D847B" w14:textId="77777777" w:rsidR="00410FBC" w:rsidRPr="001227C7" w:rsidRDefault="00410FBC" w:rsidP="00AE77EE">
      <w:pPr>
        <w:pStyle w:val="BodyText"/>
        <w:numPr>
          <w:ilvl w:val="0"/>
          <w:numId w:val="2"/>
        </w:numPr>
      </w:pPr>
      <w:r>
        <w:t>TE</w:t>
      </w:r>
      <w:r w:rsidRPr="005A41B8">
        <w:t xml:space="preserve"> with </w:t>
      </w:r>
      <w:r>
        <w:t>greater</w:t>
      </w:r>
      <w:r w:rsidRPr="005A41B8">
        <w:t xml:space="preserve"> than 50% specificity above C12 and less than 10% specificity for C12 and below</w:t>
      </w:r>
      <w:r>
        <w:t xml:space="preserve"> denoted by the label “1”</w:t>
      </w:r>
    </w:p>
    <w:p w14:paraId="2140461E" w14:textId="77777777" w:rsidR="00410FBC" w:rsidRPr="005A41B8" w:rsidRDefault="00410FBC" w:rsidP="00AE77EE">
      <w:pPr>
        <w:pStyle w:val="BodyText"/>
        <w:numPr>
          <w:ilvl w:val="0"/>
          <w:numId w:val="2"/>
        </w:numPr>
      </w:pPr>
      <w:r>
        <w:t>TE</w:t>
      </w:r>
      <w:r w:rsidRPr="005A41B8">
        <w:t xml:space="preserve"> </w:t>
      </w:r>
      <w:r>
        <w:t>with</w:t>
      </w:r>
      <w:r w:rsidRPr="005A41B8">
        <w:t xml:space="preserve"> </w:t>
      </w:r>
      <w:r>
        <w:t>greater</w:t>
      </w:r>
      <w:r w:rsidRPr="005A41B8">
        <w:t xml:space="preserve"> than 50% specificity </w:t>
      </w:r>
      <w:r>
        <w:t>for</w:t>
      </w:r>
      <w:r w:rsidRPr="008B406F">
        <w:t xml:space="preserve"> </w:t>
      </w:r>
      <w:r w:rsidRPr="005A41B8">
        <w:t>C12 or below and less than 10% specificity</w:t>
      </w:r>
      <w:r>
        <w:t xml:space="preserve"> </w:t>
      </w:r>
      <w:r w:rsidRPr="005A41B8">
        <w:t>above C12</w:t>
      </w:r>
      <w:r>
        <w:t xml:space="preserve"> denoted by the label “3”</w:t>
      </w:r>
    </w:p>
    <w:p w14:paraId="39CEA1CC" w14:textId="51F3DC59" w:rsidR="00410FBC" w:rsidRDefault="00410FBC" w:rsidP="00AE77EE">
      <w:pPr>
        <w:pStyle w:val="BodyText"/>
        <w:numPr>
          <w:ilvl w:val="0"/>
          <w:numId w:val="2"/>
        </w:numPr>
      </w:pPr>
      <w:r>
        <w:t>TE</w:t>
      </w:r>
      <w:r w:rsidRPr="000336AF">
        <w:t xml:space="preserve"> w</w:t>
      </w:r>
      <w:r>
        <w:t>ith</w:t>
      </w:r>
      <w:r w:rsidRPr="000336AF">
        <w:t xml:space="preserve"> mixed specificity</w:t>
      </w:r>
      <w:r>
        <w:t xml:space="preserve"> denoted by the label “2”</w:t>
      </w:r>
    </w:p>
    <w:p w14:paraId="27474C53" w14:textId="5B226B7C" w:rsidR="00691477" w:rsidRDefault="00691477" w:rsidP="00AE77EE">
      <w:pPr>
        <w:pStyle w:val="BodyText"/>
        <w:rPr>
          <w:noProof/>
        </w:rPr>
      </w:pPr>
      <w:r w:rsidRPr="00453F80">
        <w:t xml:space="preserve">The length of </w:t>
      </w:r>
      <w:r>
        <w:t>TE</w:t>
      </w:r>
      <w:r w:rsidRPr="00453F80">
        <w:t xml:space="preserve"> sequences ranges from 300 to 412</w:t>
      </w:r>
      <w:r w:rsidRPr="00691477">
        <w:t xml:space="preserve">. </w:t>
      </w:r>
      <w:r w:rsidRPr="00691477">
        <w:fldChar w:fldCharType="begin"/>
      </w:r>
      <w:r w:rsidRPr="00691477">
        <w:instrText xml:space="preserve"> REF _Ref49435740 \h  \* MERGEFORMAT </w:instrText>
      </w:r>
      <w:r w:rsidRPr="00691477">
        <w:fldChar w:fldCharType="separate"/>
      </w:r>
      <w:r w:rsidRPr="00691477">
        <w:t xml:space="preserve">Figure </w:t>
      </w:r>
      <w:r w:rsidRPr="00691477">
        <w:rPr>
          <w:noProof/>
        </w:rPr>
        <w:t>1</w:t>
      </w:r>
      <w:r w:rsidRPr="00691477">
        <w:fldChar w:fldCharType="end"/>
      </w:r>
      <w:r>
        <w:t xml:space="preserve"> shows</w:t>
      </w:r>
      <w:r w:rsidRPr="00453F80">
        <w:t xml:space="preserve"> the length of the sequences </w:t>
      </w:r>
      <w:r>
        <w:t>against</w:t>
      </w:r>
      <w:r w:rsidRPr="00453F80">
        <w:t xml:space="preserve"> the number of </w:t>
      </w:r>
      <w:r>
        <w:t xml:space="preserve">TE </w:t>
      </w:r>
      <w:r w:rsidRPr="00453F80">
        <w:t>instances</w:t>
      </w:r>
      <w:r>
        <w:t xml:space="preserve"> for each sequence length. </w:t>
      </w:r>
      <w:r w:rsidRPr="00444004">
        <w:rPr>
          <w:noProof/>
        </w:rPr>
        <w:t xml:space="preserve">The maximum count is of sequence length 399 representing the </w:t>
      </w:r>
      <w:r>
        <w:rPr>
          <w:noProof/>
        </w:rPr>
        <w:t>Cuphea viscosissima, henceforth referred as Cupv,</w:t>
      </w:r>
      <w:r w:rsidRPr="00444004">
        <w:rPr>
          <w:noProof/>
        </w:rPr>
        <w:t xml:space="preserve"> class of enzymes.</w:t>
      </w:r>
      <w:r>
        <w:rPr>
          <w:noProof/>
        </w:rPr>
        <w:t xml:space="preserve"> </w:t>
      </w:r>
      <w:r w:rsidRPr="00691477">
        <w:rPr>
          <w:noProof/>
        </w:rPr>
        <w:t>The dataset has a higher percentage of TE with more than 50% specificity at or below C12 and less than 10% specificity for above C12 substrates.</w:t>
      </w:r>
      <w:r>
        <w:rPr>
          <w:noProof/>
        </w:rPr>
        <w:t xml:space="preserve"> </w:t>
      </w:r>
      <w:r w:rsidRPr="00691477">
        <w:rPr>
          <w:noProof/>
        </w:rPr>
        <w:fldChar w:fldCharType="begin"/>
      </w:r>
      <w:r w:rsidRPr="00691477">
        <w:rPr>
          <w:noProof/>
        </w:rPr>
        <w:instrText xml:space="preserve"> REF _Ref49435901 \h  \* MERGEFORMAT </w:instrText>
      </w:r>
      <w:r w:rsidRPr="00691477">
        <w:rPr>
          <w:noProof/>
        </w:rPr>
      </w:r>
      <w:r w:rsidRPr="00691477">
        <w:rPr>
          <w:noProof/>
        </w:rPr>
        <w:fldChar w:fldCharType="separate"/>
      </w:r>
      <w:r w:rsidRPr="00691477">
        <w:t xml:space="preserve">Figure </w:t>
      </w:r>
      <w:r w:rsidRPr="00691477">
        <w:rPr>
          <w:noProof/>
        </w:rPr>
        <w:t>2</w:t>
      </w:r>
      <w:r w:rsidRPr="00691477">
        <w:rPr>
          <w:noProof/>
        </w:rPr>
        <w:fldChar w:fldCharType="end"/>
      </w:r>
      <w:r w:rsidRPr="00691477">
        <w:rPr>
          <w:noProof/>
        </w:rPr>
        <w:t xml:space="preserve"> highlights this trait of the dataset.</w:t>
      </w:r>
      <w:r w:rsidRPr="00691477">
        <w:rPr>
          <w:b/>
          <w:bCs/>
          <w:noProof/>
        </w:rPr>
        <w:t xml:space="preserve"> </w:t>
      </w:r>
      <w:r w:rsidRPr="00691477">
        <w:rPr>
          <w:noProof/>
        </w:rPr>
        <w:t xml:space="preserve">Enzyme class 3 (the TE with more than 50% specificity at or below C12 and less than 10% specificity for substrates above C12) accounts for about 48% of the training data while Enzyme </w:t>
      </w:r>
      <w:r w:rsidRPr="00691477">
        <w:rPr>
          <w:noProof/>
        </w:rPr>
        <w:lastRenderedPageBreak/>
        <w:t>class 1 (TE with more than 50% specificity above C12 and less than 10% specificity for substrates below C12 accounts) accounts for about 35% of the training data. Only 17% of the training data is represented by Enzyme Class 2, (the TE of mixed specificity).</w:t>
      </w:r>
      <w:r w:rsidRPr="00691477">
        <w:rPr>
          <w:b/>
          <w:bCs/>
          <w:noProof/>
        </w:rPr>
        <w:t xml:space="preserve">  </w:t>
      </w:r>
      <w:r w:rsidRPr="00691477">
        <w:rPr>
          <w:bCs/>
          <w:noProof/>
        </w:rPr>
        <w:t xml:space="preserve"> </w:t>
      </w:r>
    </w:p>
    <w:p w14:paraId="64374E61" w14:textId="77777777" w:rsidR="00691477" w:rsidRDefault="00691477" w:rsidP="00AE77EE">
      <w:pPr>
        <w:pStyle w:val="BodyText"/>
        <w:jc w:val="center"/>
      </w:pPr>
      <w:r w:rsidRPr="00453F80">
        <w:rPr>
          <w:noProof/>
        </w:rPr>
        <w:drawing>
          <wp:inline distT="0" distB="0" distL="0" distR="0" wp14:anchorId="0E3F75CC" wp14:editId="2CFF9B7A">
            <wp:extent cx="4707172" cy="2824302"/>
            <wp:effectExtent l="0" t="0" r="5080" b="0"/>
            <wp:docPr id="1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6"/>
                    <a:stretch>
                      <a:fillRect/>
                    </a:stretch>
                  </pic:blipFill>
                  <pic:spPr bwMode="auto">
                    <a:xfrm>
                      <a:off x="0" y="0"/>
                      <a:ext cx="4740459" cy="2844274"/>
                    </a:xfrm>
                    <a:prstGeom prst="rect">
                      <a:avLst/>
                    </a:prstGeom>
                    <a:noFill/>
                    <a:ln w="9525">
                      <a:noFill/>
                      <a:headEnd/>
                      <a:tailEnd/>
                    </a:ln>
                  </pic:spPr>
                </pic:pic>
              </a:graphicData>
            </a:graphic>
          </wp:inline>
        </w:drawing>
      </w:r>
    </w:p>
    <w:p w14:paraId="1359161B" w14:textId="6BA29BA3" w:rsidR="00691477" w:rsidRPr="00691477" w:rsidRDefault="00691477" w:rsidP="00AE77EE">
      <w:pPr>
        <w:pStyle w:val="Caption"/>
      </w:pPr>
      <w:bookmarkStart w:id="1" w:name="_Ref49435740"/>
      <w:r w:rsidRPr="00691477">
        <w:t xml:space="preserve">Figure </w:t>
      </w:r>
      <w:fldSimple w:instr=" SEQ Figure \* ARABIC ">
        <w:r w:rsidR="008F2525">
          <w:rPr>
            <w:noProof/>
          </w:rPr>
          <w:t>1</w:t>
        </w:r>
      </w:fldSimple>
      <w:bookmarkEnd w:id="1"/>
      <w:r w:rsidRPr="00691477">
        <w:t xml:space="preserve">: Sequence length vs count of enzymes with the same sequence length. The most frequent Thioesterase in the dataset is </w:t>
      </w:r>
      <w:proofErr w:type="spellStart"/>
      <w:r w:rsidRPr="00691477">
        <w:t>Cupv</w:t>
      </w:r>
      <w:proofErr w:type="spellEnd"/>
      <w:r w:rsidRPr="00691477">
        <w:t xml:space="preserve"> with 399 residues</w:t>
      </w:r>
    </w:p>
    <w:p w14:paraId="431159A7" w14:textId="77777777" w:rsidR="00410FBC" w:rsidRPr="00410FBC" w:rsidRDefault="00410FBC" w:rsidP="00AE77EE"/>
    <w:p w14:paraId="45E8FF3E" w14:textId="77777777" w:rsidR="00691477" w:rsidRDefault="00691477" w:rsidP="00AE77EE">
      <w:pPr>
        <w:jc w:val="center"/>
      </w:pPr>
      <w:r w:rsidRPr="00453F80">
        <w:rPr>
          <w:noProof/>
        </w:rPr>
        <w:drawing>
          <wp:inline distT="0" distB="0" distL="0" distR="0" wp14:anchorId="167E3494" wp14:editId="299B4C5A">
            <wp:extent cx="3864334" cy="2576223"/>
            <wp:effectExtent l="0" t="0" r="0" b="1905"/>
            <wp:docPr id="2"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17155" cy="2611437"/>
                    </a:xfrm>
                    <a:prstGeom prst="rect">
                      <a:avLst/>
                    </a:prstGeom>
                    <a:noFill/>
                    <a:ln w="9525">
                      <a:noFill/>
                      <a:headEnd/>
                      <a:tailEnd/>
                    </a:ln>
                  </pic:spPr>
                </pic:pic>
              </a:graphicData>
            </a:graphic>
          </wp:inline>
        </w:drawing>
      </w:r>
    </w:p>
    <w:p w14:paraId="19F6C391" w14:textId="60E3EE6A" w:rsidR="008F2525" w:rsidRDefault="00691477" w:rsidP="00AE77EE">
      <w:pPr>
        <w:pStyle w:val="Caption"/>
      </w:pPr>
      <w:bookmarkStart w:id="2" w:name="_Ref49435901"/>
      <w:r w:rsidRPr="008F2525">
        <w:t xml:space="preserve">Figure </w:t>
      </w:r>
      <w:fldSimple w:instr=" SEQ Figure \* ARABIC ">
        <w:r w:rsidR="008F2525" w:rsidRPr="008F2525">
          <w:t>2</w:t>
        </w:r>
      </w:fldSimple>
      <w:bookmarkEnd w:id="2"/>
      <w:r w:rsidRPr="008F2525">
        <w:t>: Relative frequency distribution of TE arranged in descending order of their magnitude is shown here. Enzyme Class 3 accounts for about 48% of the training data.</w:t>
      </w:r>
    </w:p>
    <w:p w14:paraId="5FE683F4" w14:textId="7688A7E8" w:rsidR="009E6F50" w:rsidRPr="00453F80" w:rsidRDefault="009E6F50" w:rsidP="00DA10F2">
      <w:pPr>
        <w:pStyle w:val="Heading3"/>
      </w:pPr>
      <w:bookmarkStart w:id="3" w:name="feature-representation"/>
      <w:r w:rsidRPr="00453F80">
        <w:lastRenderedPageBreak/>
        <w:t>Feature Representation</w:t>
      </w:r>
      <w:bookmarkEnd w:id="3"/>
    </w:p>
    <w:p w14:paraId="2960FF02" w14:textId="0BB468B6" w:rsidR="009E6F50" w:rsidRPr="00453F80" w:rsidRDefault="00F70A72" w:rsidP="00AE77EE">
      <w:pPr>
        <w:pStyle w:val="BodyText"/>
      </w:pPr>
      <w:r>
        <w:t xml:space="preserve">We have used </w:t>
      </w:r>
      <w:r w:rsidR="004A2F8B">
        <w:t xml:space="preserve">three </w:t>
      </w:r>
      <w:r>
        <w:t xml:space="preserve">different feature representation techniques </w:t>
      </w:r>
      <w:r w:rsidR="00C87786">
        <w:t>to encode primary sequence information of the enzymes. The motive behind using different techniques is to extract distinct information from the sequences so that each model can produce relatively uncorrelated output predictions. The three different representations are 1) k-mer motif builder, 2) G</w:t>
      </w:r>
      <w:r w:rsidR="00B31892">
        <w:t>rouped Amino Acid</w:t>
      </w:r>
      <w:r w:rsidR="00C87786">
        <w:t xml:space="preserve"> encoded motif builder 3) </w:t>
      </w:r>
      <w:r w:rsidR="003371E9">
        <w:t>P</w:t>
      </w:r>
      <w:r w:rsidR="00C87786">
        <w:t xml:space="preserve">ositional </w:t>
      </w:r>
      <w:r w:rsidR="003371E9">
        <w:t>feature builder</w:t>
      </w:r>
      <w:r w:rsidR="00C87786">
        <w:t>. Among the three techniques, the first two can be encoded automatically using just the primary sequences of the enzymes while the last one requires expert level human intervention. Each of the representation techniques is described in the following subsections.</w:t>
      </w:r>
      <w:r w:rsidR="009C7923">
        <w:t xml:space="preserve"> The final step of all techniques involved creating a one hot encoded feature vector which is described in Appendix A.</w:t>
      </w:r>
    </w:p>
    <w:p w14:paraId="78D548A7" w14:textId="77777777" w:rsidR="009E6F50" w:rsidRPr="00453F80" w:rsidRDefault="009E6F50" w:rsidP="00AE77EE">
      <w:pPr>
        <w:pStyle w:val="Heading4"/>
      </w:pPr>
      <w:bookmarkStart w:id="4" w:name="k-mer-motif-builder"/>
      <w:r w:rsidRPr="00453F80">
        <w:t>k-mer motif builder</w:t>
      </w:r>
      <w:bookmarkEnd w:id="4"/>
    </w:p>
    <w:p w14:paraId="29511DCA" w14:textId="5901D8D0" w:rsidR="009E6F50" w:rsidRPr="00453F80" w:rsidRDefault="009E6F50" w:rsidP="00AE77EE">
      <w:pPr>
        <w:pStyle w:val="BodyText"/>
      </w:pPr>
      <w:r w:rsidRPr="00453F80">
        <w:t>This representation is similar to the N-gram representation for language models</w:t>
      </w:r>
      <w:r w:rsidR="00BE268B">
        <w:t xml:space="preserve"> </w:t>
      </w:r>
      <w:r w:rsidR="00BE268B">
        <w:fldChar w:fldCharType="begin" w:fldLock="1"/>
      </w:r>
      <w:r w:rsidR="00BE268B">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[13]","plainTextFormattedCitation":"[13]","previouslyFormattedCitation":"[13]"},"properties":{"noteIndex":0},"schema":"https://github.com/citation-style-language/schema/raw/master/csl-citation.json"}</w:instrText>
      </w:r>
      <w:r w:rsidR="00BE268B">
        <w:fldChar w:fldCharType="separate"/>
      </w:r>
      <w:r w:rsidR="00BE268B" w:rsidRPr="00BE268B">
        <w:rPr>
          <w:noProof/>
        </w:rPr>
        <w:t>[13]</w:t>
      </w:r>
      <w:r w:rsidR="00BE268B">
        <w:fldChar w:fldCharType="end"/>
      </w:r>
      <w:r w:rsidRPr="00453F80">
        <w:t xml:space="preserve">. Here, the entire training dataset (all enzyme sequences) is scanned to search for all possible sequence motifs of length k. A </w:t>
      </w:r>
      <w:r w:rsidR="00845A8F">
        <w:t xml:space="preserve">one hot encoded </w:t>
      </w:r>
      <w:r w:rsidRPr="00453F80">
        <w:t>feature set is created with sequence motifs which are repeated in at least 2 instances of enzymes in the training data. This step is taken due to the following reasons:</w:t>
      </w:r>
    </w:p>
    <w:p w14:paraId="27F0903F" w14:textId="77777777" w:rsidR="009E6F50" w:rsidRPr="00453F80" w:rsidRDefault="009E6F50" w:rsidP="00AE77EE">
      <w:pPr>
        <w:pStyle w:val="BodyText"/>
        <w:numPr>
          <w:ilvl w:val="0"/>
          <w:numId w:val="11"/>
        </w:numPr>
      </w:pPr>
      <w:r>
        <w:t>T</w:t>
      </w:r>
      <w:r w:rsidRPr="00453F80">
        <w:t>o avoid building a large set of features</w:t>
      </w:r>
    </w:p>
    <w:p w14:paraId="52DA8DC3" w14:textId="77777777" w:rsidR="009E6F50" w:rsidRPr="00453F80" w:rsidRDefault="009E6F50" w:rsidP="00AE77EE">
      <w:pPr>
        <w:pStyle w:val="BodyText"/>
        <w:numPr>
          <w:ilvl w:val="0"/>
          <w:numId w:val="11"/>
        </w:numPr>
      </w:pPr>
      <w:r w:rsidRPr="00453F80">
        <w:t>It is expected that enzymes of a specific substrate specificity will have common motifs and the main aim of the model is to learn these common motifs, not a motif specific to a particular enzyme.</w:t>
      </w:r>
    </w:p>
    <w:p w14:paraId="257D599E" w14:textId="77777777" w:rsidR="009E6F50" w:rsidRPr="00453F80" w:rsidRDefault="009E6F50" w:rsidP="00AE77EE">
      <w:pPr>
        <w:pStyle w:val="BodyText"/>
      </w:pPr>
      <w:r w:rsidRPr="00453F80">
        <w:t>Hypothetical Example:</w:t>
      </w:r>
    </w:p>
    <w:p w14:paraId="54E3CBD4" w14:textId="77777777" w:rsidR="009E6F50" w:rsidRPr="00453F80" w:rsidRDefault="009E6F50" w:rsidP="00AE77EE">
      <w:pPr>
        <w:pStyle w:val="BodyText"/>
      </w:pPr>
      <w:r w:rsidRPr="00453F80">
        <w:t xml:space="preserve">Given 3 enzyme sequences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453F80">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453F80">
        <w:t xml:space="preserve">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Pr="00453F80">
        <w:t xml:space="preserve"> where</w:t>
      </w:r>
    </w:p>
    <w:p w14:paraId="420F5E28" w14:textId="77777777" w:rsidR="009E6F50" w:rsidRPr="00453F80" w:rsidRDefault="00036FE9"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nor/>
            </m:rPr>
            <m:t>'MLTPWS'</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r>
            <m:rPr>
              <m:nor/>
            </m:rPr>
            <m:t>'TTMLPT'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r>
            <m:rPr>
              <m:nor/>
            </m:rPr>
            <m:t>'WSTPLM'</m:t>
          </m:r>
        </m:oMath>
      </m:oMathPara>
    </w:p>
    <w:p w14:paraId="629BEBB6" w14:textId="77777777" w:rsidR="009E6F50" w:rsidRPr="00453F80" w:rsidRDefault="009E6F50" w:rsidP="00AE77EE">
      <w:pPr>
        <w:pStyle w:val="BodyText"/>
      </w:pPr>
      <w:r w:rsidRPr="00AE77EE">
        <w:t xml:space="preserve">and choosing </w:t>
      </w:r>
      <m:oMath>
        <m:r>
          <m:rPr>
            <m:sty m:val="p"/>
          </m:rPr>
          <w:rPr>
            <w:rFonts w:ascii="Cambria Math" w:hAnsi="Cambria Math"/>
          </w:rPr>
          <m:t>k=2</m:t>
        </m:r>
      </m:oMath>
      <w:r w:rsidRPr="00AE77EE">
        <w:t>, the set of possible 2-mers are {‘LP’, ‘LT’, ‘ML’, ‘PL’, ‘PW’, ‘ST’, ‘TM’, ‘TP’, ‘TT’, ‘WS’} among which only {‘ML</w:t>
      </w:r>
      <w:proofErr w:type="gramStart"/>
      <w:r w:rsidRPr="00AE77EE">
        <w:t>’,‘</w:t>
      </w:r>
      <w:proofErr w:type="gramEnd"/>
      <w:r w:rsidRPr="00AE77EE">
        <w:t>TP’} are present in at least two instances. Hence the feature set will be a one-hot encoded vector of length 2 with ‘ML’ as the first index and ‘TP’ as the second index. The feature representation for the enzymes will be as follows</w:t>
      </w:r>
      <w:r w:rsidRPr="00453F80">
        <w:t>:</w:t>
      </w:r>
    </w:p>
    <w:p w14:paraId="12AE9464" w14:textId="77777777" w:rsidR="009E6F50" w:rsidRPr="00453F80" w:rsidRDefault="00036FE9" w:rsidP="00AE77EE">
      <w:pPr>
        <w:pStyle w:val="BodyText"/>
        <w:rPr>
          <w:rFonts w:eastAsiaTheme="minor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m:oMathPara>
    </w:p>
    <w:p w14:paraId="4E7F69B0" w14:textId="77777777" w:rsidR="009E6F50" w:rsidRPr="00453F80" w:rsidRDefault="00036FE9"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
            </m:e>
          </m:d>
        </m:oMath>
      </m:oMathPara>
    </w:p>
    <w:p w14:paraId="090668F8" w14:textId="77777777" w:rsidR="009E6F50" w:rsidRPr="00453F80" w:rsidRDefault="00036FE9"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
            </m:e>
          </m:d>
        </m:oMath>
      </m:oMathPara>
    </w:p>
    <w:p w14:paraId="7694EB6B" w14:textId="5115C578" w:rsidR="004F124A" w:rsidRDefault="004F124A" w:rsidP="00AE77EE">
      <w:pPr>
        <w:pStyle w:val="Heading4"/>
      </w:pPr>
      <w:bookmarkStart w:id="5" w:name="model-formulation"/>
      <w:r>
        <w:t>G</w:t>
      </w:r>
      <w:r w:rsidR="00B31892">
        <w:t>rouped Amino Acid</w:t>
      </w:r>
      <w:r>
        <w:t xml:space="preserve"> encoded motif builder</w:t>
      </w:r>
    </w:p>
    <w:p w14:paraId="4425318B" w14:textId="4B455D12" w:rsidR="00AE77EE" w:rsidRDefault="004F124A" w:rsidP="00AE77EE">
      <w:r>
        <w:t xml:space="preserve">This representation technique is similar to the k-mer motif </w:t>
      </w:r>
      <w:r w:rsidR="00B31892">
        <w:t>builder,</w:t>
      </w:r>
      <w:r>
        <w:t xml:space="preserve"> but it performs an additional pre-processing step </w:t>
      </w:r>
      <w:r w:rsidR="00B31892">
        <w:t xml:space="preserve">on the primary sequence </w:t>
      </w:r>
      <w:r>
        <w:t xml:space="preserve">before </w:t>
      </w:r>
      <w:r w:rsidR="00B31892">
        <w:t xml:space="preserve">searching for all possible sequence motifs of length k. </w:t>
      </w:r>
      <w:r w:rsidR="002E1EA0">
        <w:t xml:space="preserve">In the preprocessing step, </w:t>
      </w:r>
      <w:r w:rsidR="002E1EA0" w:rsidRPr="002E1EA0">
        <w:t xml:space="preserve">the 20 amino acid types </w:t>
      </w:r>
      <w:r w:rsidR="002E1EA0">
        <w:t>were</w:t>
      </w:r>
      <w:r w:rsidR="002E1EA0" w:rsidRPr="002E1EA0">
        <w:t xml:space="preserve"> categorized into five classes </w:t>
      </w:r>
      <w:r w:rsidR="002E1EA0" w:rsidRPr="002E1EA0">
        <w:lastRenderedPageBreak/>
        <w:t xml:space="preserve">according to their physicochemical properties, </w:t>
      </w:r>
      <w:proofErr w:type="gramStart"/>
      <w:r w:rsidR="002E1EA0" w:rsidRPr="002E1EA0">
        <w:t>e.g.</w:t>
      </w:r>
      <w:proofErr w:type="gramEnd"/>
      <w:r w:rsidR="002E1EA0" w:rsidRPr="002E1EA0">
        <w:t xml:space="preserve"> hydrophobicity, charge and molecular size. The five classes </w:t>
      </w:r>
      <w:r w:rsidR="002E1EA0">
        <w:t>were</w:t>
      </w:r>
      <w:r w:rsidR="002E1EA0" w:rsidRPr="002E1EA0">
        <w:t xml:space="preserv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2E1EA0" w:rsidRPr="002E1EA0">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2E1EA0" w:rsidRPr="002E1EA0">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2E1EA0" w:rsidRPr="002E1EA0">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2E1EA0" w:rsidRPr="002E1EA0">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2E1EA0" w:rsidRPr="002E1EA0">
        <w:t>: STCPNQ).</w:t>
      </w:r>
      <w:r w:rsidR="002E1EA0">
        <w:t xml:space="preserve"> For example</w:t>
      </w:r>
      <w:r w:rsidR="00AE77EE">
        <w:t>,</w:t>
      </w:r>
      <w:r w:rsidR="002E1EA0">
        <w:t xml:space="preserve"> a primary sequence ‘MLTPWS’ </w:t>
      </w:r>
      <w:r w:rsidR="00AE77EE">
        <w:t>is represented as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oMath>
      <w:r w:rsidR="00AE77EE">
        <w:t xml:space="preserve">’. Using this compressed representation, k-mer motif builder is used to construct a feature set as described in the above subsection. </w:t>
      </w:r>
    </w:p>
    <w:p w14:paraId="7AFAAA61" w14:textId="12184434" w:rsidR="00AE77EE" w:rsidRDefault="003371E9" w:rsidP="00AE77EE">
      <w:pPr>
        <w:pStyle w:val="Heading4"/>
      </w:pPr>
      <w:r>
        <w:t>P</w:t>
      </w:r>
      <w:r w:rsidR="00A41316">
        <w:t xml:space="preserve">ositional </w:t>
      </w:r>
      <w:r w:rsidR="00A55470">
        <w:t>feature builder</w:t>
      </w:r>
    </w:p>
    <w:p w14:paraId="53AFD543" w14:textId="1F59876B" w:rsidR="000D3D65" w:rsidRDefault="00771BE9" w:rsidP="00763717">
      <w:pPr>
        <w:rPr>
          <w:rFonts w:ascii="Times" w:hAnsi="Times" w:cs="Times"/>
          <w:color w:val="auto"/>
        </w:rPr>
      </w:pPr>
      <w:r>
        <w:rPr>
          <w:rFonts w:ascii="Times" w:hAnsi="Times" w:cs="Times"/>
          <w:color w:val="auto"/>
        </w:rPr>
        <w:t>For this feature representation technique, a</w:t>
      </w:r>
      <w:r w:rsidR="00792500">
        <w:rPr>
          <w:rFonts w:ascii="Times" w:hAnsi="Times" w:cs="Times"/>
          <w:color w:val="auto"/>
        </w:rPr>
        <w:t xml:space="preserve"> total of 43 residue positions were selected </w:t>
      </w:r>
      <w:r>
        <w:rPr>
          <w:rFonts w:ascii="Times" w:hAnsi="Times" w:cs="Times"/>
          <w:color w:val="auto"/>
        </w:rPr>
        <w:t xml:space="preserve">from the aligned enzyme sequences </w:t>
      </w:r>
      <w:r w:rsidR="00792500">
        <w:rPr>
          <w:rFonts w:ascii="Times" w:hAnsi="Times" w:cs="Times"/>
          <w:color w:val="auto"/>
        </w:rPr>
        <w:t xml:space="preserve">based on their importance in prior acyl-ACP </w:t>
      </w:r>
      <w:proofErr w:type="spellStart"/>
      <w:r w:rsidR="00792500">
        <w:rPr>
          <w:rFonts w:ascii="Times" w:hAnsi="Times" w:cs="Times"/>
          <w:color w:val="auto"/>
        </w:rPr>
        <w:t>thioesterase</w:t>
      </w:r>
      <w:proofErr w:type="spellEnd"/>
      <w:r w:rsidR="00792500">
        <w:rPr>
          <w:rFonts w:ascii="Times" w:hAnsi="Times" w:cs="Times"/>
          <w:color w:val="auto"/>
        </w:rPr>
        <w:t xml:space="preserve"> mutagenesis studies as well as from structural analysis of the </w:t>
      </w:r>
      <w:proofErr w:type="spellStart"/>
      <w:r w:rsidR="00792500">
        <w:rPr>
          <w:rFonts w:ascii="Times" w:hAnsi="Times" w:cs="Times"/>
          <w:color w:val="auto"/>
        </w:rPr>
        <w:t>UcFatB</w:t>
      </w:r>
      <w:proofErr w:type="spellEnd"/>
      <w:r w:rsidR="00792500">
        <w:rPr>
          <w:rFonts w:ascii="Times" w:hAnsi="Times" w:cs="Times"/>
          <w:color w:val="auto"/>
        </w:rPr>
        <w:t xml:space="preserve"> binding pocket \cite1. Of these 43 positions, 15 were selected based on a previous study which successfully converted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color w:val="auto"/>
        </w:rPr>
        <w:t xml:space="preserve"> to have short-chain preference by interchanging the residues which varied in a sequence alignment cite2. An additional 3 positions were selected based on an early mutagenesis study of the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Umbellularia californica</w:t>
      </w:r>
      <w:r w:rsidR="00792500">
        <w:rPr>
          <w:rFonts w:ascii="Times" w:hAnsi="Times" w:cs="Times"/>
          <w:color w:val="auto"/>
        </w:rPr>
        <w:t xml:space="preserve">, which converted the predominantly C12-specific </w:t>
      </w:r>
      <w:proofErr w:type="spellStart"/>
      <w:r w:rsidR="00792500">
        <w:rPr>
          <w:rFonts w:ascii="Times" w:hAnsi="Times" w:cs="Times"/>
          <w:color w:val="auto"/>
        </w:rPr>
        <w:t>thioesterase</w:t>
      </w:r>
      <w:proofErr w:type="spellEnd"/>
      <w:r w:rsidR="00792500">
        <w:rPr>
          <w:rFonts w:ascii="Times" w:hAnsi="Times" w:cs="Times"/>
          <w:color w:val="auto"/>
        </w:rPr>
        <w:t xml:space="preserve"> to a predominantly C14-specific </w:t>
      </w:r>
      <w:proofErr w:type="spellStart"/>
      <w:r w:rsidR="00792500">
        <w:rPr>
          <w:rFonts w:ascii="Times" w:hAnsi="Times" w:cs="Times"/>
          <w:color w:val="auto"/>
        </w:rPr>
        <w:t>thioesterase</w:t>
      </w:r>
      <w:proofErr w:type="spellEnd"/>
      <w:r w:rsidR="00792500">
        <w:rPr>
          <w:rFonts w:ascii="Times" w:hAnsi="Times" w:cs="Times"/>
          <w:color w:val="auto"/>
        </w:rPr>
        <w:t xml:space="preserve"> using sequence analysis of the homolog from </w:t>
      </w:r>
      <w:r w:rsidR="00792500">
        <w:rPr>
          <w:rFonts w:ascii="Times" w:hAnsi="Times" w:cs="Times"/>
          <w:i/>
          <w:iCs/>
          <w:color w:val="auto"/>
        </w:rPr>
        <w:t xml:space="preserve">Cinnamomum </w:t>
      </w:r>
      <w:proofErr w:type="spellStart"/>
      <w:r w:rsidR="00792500">
        <w:rPr>
          <w:rFonts w:ascii="Times" w:hAnsi="Times" w:cs="Times"/>
          <w:i/>
          <w:iCs/>
          <w:color w:val="auto"/>
        </w:rPr>
        <w:t>camphora</w:t>
      </w:r>
      <w:proofErr w:type="spellEnd"/>
      <w:r w:rsidR="00792500">
        <w:rPr>
          <w:rFonts w:ascii="Times" w:hAnsi="Times" w:cs="Times"/>
          <w:i/>
          <w:iCs/>
          <w:color w:val="auto"/>
        </w:rPr>
        <w:t xml:space="preserve"> </w:t>
      </w:r>
      <w:r w:rsidR="00792500">
        <w:rPr>
          <w:rFonts w:ascii="Times" w:hAnsi="Times" w:cs="Times"/>
          <w:color w:val="auto"/>
        </w:rPr>
        <w:t xml:space="preserve">to guide the design cite3. Inspection of the </w:t>
      </w:r>
      <w:r w:rsidR="00792500">
        <w:rPr>
          <w:rFonts w:ascii="Times" w:hAnsi="Times" w:cs="Times"/>
          <w:i/>
          <w:iCs/>
          <w:color w:val="auto"/>
        </w:rPr>
        <w:t>Umbellularia californica</w:t>
      </w:r>
      <w:r w:rsidR="00792500">
        <w:rPr>
          <w:rFonts w:ascii="Times" w:hAnsi="Times" w:cs="Times"/>
          <w:color w:val="auto"/>
        </w:rPr>
        <w:t xml:space="preserve"> structure, namely residues within the </w:t>
      </w:r>
      <w:r w:rsidR="00792500">
        <w:rPr>
          <w:rFonts w:cs="Times New Roman"/>
          <w:i/>
          <w:iCs/>
          <w:color w:val="auto"/>
        </w:rPr>
        <w:t>α</w:t>
      </w:r>
      <w:r w:rsidR="00792500">
        <w:rPr>
          <w:rFonts w:ascii="Times" w:hAnsi="Times" w:cs="Times"/>
          <w:i/>
          <w:iCs/>
          <w:color w:val="auto"/>
        </w:rPr>
        <w:t>1</w:t>
      </w:r>
      <w:r w:rsidR="00792500">
        <w:rPr>
          <w:rFonts w:ascii="Times" w:hAnsi="Times" w:cs="Times"/>
          <w:color w:val="auto"/>
        </w:rPr>
        <w:t xml:space="preserve"> helix and the </w:t>
      </w:r>
      <w:r w:rsidR="00792500">
        <w:rPr>
          <w:rFonts w:cs="Times New Roman"/>
          <w:i/>
          <w:iCs/>
          <w:color w:val="auto"/>
        </w:rPr>
        <w:t>β</w:t>
      </w:r>
      <w:r w:rsidR="00792500">
        <w:rPr>
          <w:rFonts w:ascii="Times" w:hAnsi="Times" w:cs="Times"/>
          <w:i/>
          <w:iCs/>
          <w:color w:val="auto"/>
        </w:rPr>
        <w:t>2</w:t>
      </w:r>
      <w:r w:rsidR="00792500">
        <w:rPr>
          <w:rFonts w:ascii="Times" w:hAnsi="Times" w:cs="Times"/>
          <w:color w:val="auto"/>
        </w:rPr>
        <w:t xml:space="preserve">, </w:t>
      </w:r>
      <w:r w:rsidR="00792500">
        <w:rPr>
          <w:rFonts w:cs="Times New Roman"/>
          <w:i/>
          <w:iCs/>
          <w:color w:val="auto"/>
        </w:rPr>
        <w:t>β</w:t>
      </w:r>
      <w:r w:rsidR="00792500">
        <w:rPr>
          <w:rFonts w:ascii="Times" w:hAnsi="Times" w:cs="Times"/>
          <w:i/>
          <w:iCs/>
          <w:color w:val="auto"/>
        </w:rPr>
        <w:t>4</w:t>
      </w:r>
      <w:r w:rsidR="00792500">
        <w:rPr>
          <w:rFonts w:ascii="Times" w:hAnsi="Times" w:cs="Times"/>
          <w:color w:val="auto"/>
        </w:rPr>
        <w:t xml:space="preserve">, and </w:t>
      </w:r>
      <w:r w:rsidR="00792500">
        <w:rPr>
          <w:rFonts w:cs="Times New Roman"/>
          <w:i/>
          <w:iCs/>
          <w:color w:val="auto"/>
        </w:rPr>
        <w:t>β</w:t>
      </w:r>
      <w:r w:rsidR="00792500">
        <w:rPr>
          <w:rFonts w:ascii="Times" w:hAnsi="Times" w:cs="Times"/>
          <w:i/>
          <w:iCs/>
          <w:color w:val="auto"/>
        </w:rPr>
        <w:t>5</w:t>
      </w:r>
      <w:r w:rsidR="00792500">
        <w:rPr>
          <w:rFonts w:ascii="Times" w:hAnsi="Times" w:cs="Times"/>
          <w:color w:val="auto"/>
        </w:rPr>
        <w:t xml:space="preserve"> helices, led to the identification of 5 additional positions cite1. The remaining positions not encompassed within the criteria above were selected based on a sequence alignment among 6 </w:t>
      </w:r>
      <w:proofErr w:type="spellStart"/>
      <w:r w:rsidR="00792500">
        <w:rPr>
          <w:rFonts w:ascii="Times" w:hAnsi="Times" w:cs="Times"/>
          <w:color w:val="auto"/>
        </w:rPr>
        <w:t>thioesterases</w:t>
      </w:r>
      <w:proofErr w:type="spellEnd"/>
      <w:r w:rsidR="00792500">
        <w:rPr>
          <w:rFonts w:ascii="Times" w:hAnsi="Times" w:cs="Times"/>
          <w:color w:val="auto"/>
        </w:rPr>
        <w:t xml:space="preserve"> from 3 plant species. Each of the 3 plant species had a representative of a short-chain and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The three species included were </w:t>
      </w:r>
      <w:r w:rsidR="00792500">
        <w:rPr>
          <w:rFonts w:ascii="Times" w:hAnsi="Times" w:cs="Times"/>
          <w:i/>
          <w:iCs/>
          <w:color w:val="auto"/>
        </w:rPr>
        <w:t xml:space="preserve">Umbellularia californica </w:t>
      </w:r>
      <w:r w:rsidR="00792500">
        <w:rPr>
          <w:rFonts w:ascii="Times" w:hAnsi="Times" w:cs="Times"/>
          <w:color w:val="auto"/>
        </w:rPr>
        <w:t xml:space="preserve">(accession numbers Q41635.1 and Q41634), </w:t>
      </w:r>
      <w:r w:rsidR="00792500">
        <w:rPr>
          <w:rFonts w:ascii="Times" w:hAnsi="Times" w:cs="Times"/>
          <w:i/>
          <w:iCs/>
          <w:color w:val="auto"/>
        </w:rPr>
        <w:t xml:space="preserve">Cuphea palustris </w:t>
      </w:r>
      <w:r w:rsidR="00792500">
        <w:rPr>
          <w:rFonts w:ascii="Times" w:hAnsi="Times" w:cs="Times"/>
          <w:color w:val="auto"/>
        </w:rPr>
        <w:t xml:space="preserve">(accession numbers Q39554 and Q39555), </w:t>
      </w:r>
      <w:r w:rsidR="00792500">
        <w:rPr>
          <w:rFonts w:ascii="Times" w:hAnsi="Times" w:cs="Times"/>
          <w:i/>
          <w:iCs/>
          <w:color w:val="auto"/>
        </w:rPr>
        <w:t xml:space="preserve">Cuphea </w:t>
      </w:r>
      <w:proofErr w:type="spellStart"/>
      <w:r w:rsidR="00792500">
        <w:rPr>
          <w:rFonts w:ascii="Times" w:hAnsi="Times" w:cs="Times"/>
          <w:i/>
          <w:iCs/>
          <w:color w:val="auto"/>
        </w:rPr>
        <w:t>hookeriana</w:t>
      </w:r>
      <w:proofErr w:type="spellEnd"/>
      <w:r w:rsidR="00792500">
        <w:rPr>
          <w:rFonts w:ascii="Times" w:hAnsi="Times" w:cs="Times"/>
          <w:color w:val="auto"/>
        </w:rPr>
        <w:t xml:space="preserve"> (accession numbers AAC49269.1 and AAC48990.1), and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i/>
          <w:iCs/>
          <w:color w:val="auto"/>
        </w:rPr>
        <w:t xml:space="preserve"> </w:t>
      </w:r>
      <w:r w:rsidR="00792500">
        <w:rPr>
          <w:rFonts w:ascii="Times" w:hAnsi="Times" w:cs="Times"/>
          <w:color w:val="auto"/>
        </w:rPr>
        <w:t xml:space="preserve">(accession numbers </w:t>
      </w:r>
      <w:r w:rsidR="00792500">
        <w:rPr>
          <w:rFonts w:ascii="Times" w:hAnsi="Times" w:cs="Times"/>
          <w:color w:val="000000"/>
        </w:rPr>
        <w:t>AEM72522.1 and AEM72523.1</w:t>
      </w:r>
      <w:r w:rsidR="00792500">
        <w:rPr>
          <w:rFonts w:ascii="Times" w:hAnsi="Times" w:cs="Times"/>
          <w:color w:val="auto"/>
        </w:rPr>
        <w:t>).</w:t>
      </w:r>
      <w:r w:rsidR="00A55470">
        <w:rPr>
          <w:rFonts w:ascii="Times" w:hAnsi="Times" w:cs="Times"/>
          <w:color w:val="auto"/>
        </w:rPr>
        <w:t xml:space="preserve"> After selecting the 43 positions, </w:t>
      </w:r>
      <w:r w:rsidR="009241F0">
        <w:rPr>
          <w:rFonts w:ascii="Times" w:hAnsi="Times" w:cs="Times"/>
          <w:color w:val="auto"/>
        </w:rPr>
        <w:t>a</w:t>
      </w:r>
      <w:r w:rsidR="00A55470">
        <w:rPr>
          <w:rFonts w:ascii="Times" w:hAnsi="Times" w:cs="Times"/>
          <w:color w:val="auto"/>
        </w:rPr>
        <w:t xml:space="preserve">mino </w:t>
      </w:r>
      <w:r w:rsidR="009241F0">
        <w:rPr>
          <w:rFonts w:ascii="Times" w:hAnsi="Times" w:cs="Times"/>
          <w:color w:val="auto"/>
        </w:rPr>
        <w:t>a</w:t>
      </w:r>
      <w:r w:rsidR="00A55470">
        <w:rPr>
          <w:rFonts w:ascii="Times" w:hAnsi="Times" w:cs="Times"/>
          <w:color w:val="auto"/>
        </w:rPr>
        <w:t xml:space="preserve">cids in those positions were represented as a one hot encoded feature vector. Each position apart from the </w:t>
      </w:r>
      <w:r w:rsidR="009241F0">
        <w:rPr>
          <w:rFonts w:ascii="Times" w:hAnsi="Times" w:cs="Times"/>
          <w:color w:val="auto"/>
        </w:rPr>
        <w:t xml:space="preserve">20 types of amino acids may also contain a gap (result of a multiple sequence alignment). Thus a </w:t>
      </w:r>
      <w:r w:rsidR="009C7923">
        <w:rPr>
          <w:rFonts w:ascii="Times" w:hAnsi="Times" w:cs="Times"/>
          <w:color w:val="auto"/>
        </w:rPr>
        <w:t>21-dimensional</w:t>
      </w:r>
      <w:r w:rsidR="009241F0">
        <w:rPr>
          <w:rFonts w:ascii="Times" w:hAnsi="Times" w:cs="Times"/>
          <w:color w:val="auto"/>
        </w:rPr>
        <w:t xml:space="preserve"> one hot encoded feature vector is used to represent each position.</w:t>
      </w:r>
    </w:p>
    <w:p w14:paraId="354DB6E3" w14:textId="6E4598DB" w:rsidR="000D3D65" w:rsidRDefault="000D3D65" w:rsidP="00DA10F2">
      <w:pPr>
        <w:pStyle w:val="Heading3"/>
      </w:pPr>
      <w:r>
        <w:t>Ensemble Formulation</w:t>
      </w:r>
    </w:p>
    <w:p w14:paraId="7F05F501" w14:textId="6F261BEC" w:rsidR="000D3D65" w:rsidRPr="000D3D65" w:rsidRDefault="000D3D65" w:rsidP="000D3D65">
      <w:r>
        <w:t xml:space="preserve">Our ensemble framework involved three base learners which provided an output to a meta learner that predicted the enzyme class. Although </w:t>
      </w:r>
      <w:r w:rsidR="00A6260E">
        <w:t xml:space="preserve">all of </w:t>
      </w:r>
      <w:r>
        <w:t>our base learner</w:t>
      </w:r>
      <w:r w:rsidR="00A6260E">
        <w:t>s</w:t>
      </w:r>
      <w:r>
        <w:t xml:space="preserve"> were trained using the same principle (SVM), the heterogeneity among </w:t>
      </w:r>
      <w:r w:rsidR="00A6260E">
        <w:t>them</w:t>
      </w:r>
      <w:r>
        <w:t xml:space="preserve"> w</w:t>
      </w:r>
      <w:r w:rsidR="00A6260E">
        <w:t>as</w:t>
      </w:r>
      <w:r>
        <w:t xml:space="preserve"> governed by </w:t>
      </w:r>
      <w:r w:rsidR="00A6260E" w:rsidRPr="00B62807">
        <w:rPr>
          <w:rStyle w:val="BodyTextChar"/>
        </w:rPr>
        <w:t xml:space="preserve">the </w:t>
      </w:r>
      <w:r w:rsidR="00A6260E">
        <w:rPr>
          <w:rStyle w:val="BodyTextChar"/>
        </w:rPr>
        <w:t xml:space="preserve">three </w:t>
      </w:r>
      <w:r w:rsidR="00A6260E" w:rsidRPr="00B62807">
        <w:rPr>
          <w:rStyle w:val="BodyTextChar"/>
        </w:rPr>
        <w:t>different feature representation techniques</w:t>
      </w:r>
      <w:r w:rsidR="00A6260E">
        <w:rPr>
          <w:rStyle w:val="BodyTextChar"/>
        </w:rPr>
        <w:t xml:space="preserve"> described above. </w:t>
      </w:r>
      <w:r w:rsidR="00443097" w:rsidRPr="00B62807">
        <w:rPr>
          <w:rStyle w:val="BodyTextChar"/>
        </w:rPr>
        <w:t xml:space="preserve">The workflow of </w:t>
      </w:r>
      <w:r w:rsidR="00443097">
        <w:rPr>
          <w:rStyle w:val="BodyTextChar"/>
        </w:rPr>
        <w:t>our</w:t>
      </w:r>
      <w:r w:rsidR="00443097" w:rsidRPr="00B62807">
        <w:rPr>
          <w:rStyle w:val="BodyTextChar"/>
        </w:rPr>
        <w:t xml:space="preserve"> model is presented in </w:t>
      </w:r>
      <w:r w:rsidR="00443097">
        <w:rPr>
          <w:rStyle w:val="BodyTextChar"/>
        </w:rPr>
        <w:t>Figure 3.</w:t>
      </w:r>
    </w:p>
    <w:p w14:paraId="7D140768" w14:textId="040751D6" w:rsidR="009E6F50" w:rsidRPr="00453F80" w:rsidRDefault="00B31892" w:rsidP="00443097">
      <w:pPr>
        <w:pStyle w:val="Heading4"/>
      </w:pPr>
      <w:r>
        <w:t xml:space="preserve">Base </w:t>
      </w:r>
      <w:r w:rsidR="009E6F50" w:rsidRPr="00453F80">
        <w:t xml:space="preserve">Model </w:t>
      </w:r>
      <w:bookmarkEnd w:id="5"/>
      <w:r w:rsidR="00443097">
        <w:t>Training</w:t>
      </w:r>
    </w:p>
    <w:p w14:paraId="059FCC59" w14:textId="44EF1422" w:rsidR="00443097" w:rsidRDefault="00443097" w:rsidP="00AE77EE">
      <w:pPr>
        <w:pStyle w:val="FirstParagraph"/>
        <w:rPr>
          <w:noProof/>
        </w:rPr>
      </w:pPr>
      <w:r>
        <w:t xml:space="preserve">The dataset was divided into a separate training and validation set based on a 75%-25% split. </w:t>
      </w:r>
      <w:r w:rsidR="009E6F50" w:rsidRPr="00453F80">
        <w:t>The dimensionality of the feature space was reduced using Principal Component Analysis</w:t>
      </w:r>
      <w:r>
        <w:t xml:space="preserve"> because of our small sample size</w:t>
      </w:r>
      <w:r w:rsidR="009E6F50" w:rsidRPr="00453F80">
        <w:t>.</w:t>
      </w:r>
      <w:r w:rsidR="008C0611">
        <w:t xml:space="preserve"> </w:t>
      </w:r>
      <w:r>
        <w:t xml:space="preserve">The primary aim of the feature space was to reduce the number of parameters required to train the model and make our model more generalizable. </w:t>
      </w:r>
      <w:r w:rsidR="009E6F50" w:rsidRPr="00453F80">
        <w:t>A Support Vector Machine model was trained using the lower dimensional training set. 5-fold cross validation was carried out on the training set to learn the optimal set of hyperparameters.</w:t>
      </w:r>
      <w:r w:rsidR="008C0611">
        <w:t xml:space="preserve"> </w:t>
      </w:r>
      <w:r w:rsidR="00036FE9">
        <w:t xml:space="preserve">The optimal </w:t>
      </w:r>
      <w:r w:rsidR="00036FE9">
        <w:lastRenderedPageBreak/>
        <w:t xml:space="preserve">hyperparameters for each base model is given in Appendix B. </w:t>
      </w:r>
      <w:r w:rsidR="009E6F50" w:rsidRPr="00453F80">
        <w:t xml:space="preserve">The optimal set of hyperparameters were used to retrain an SVM on the entire training set. </w:t>
      </w:r>
      <w:r w:rsidR="008C0611">
        <w:t>Finally, t</w:t>
      </w:r>
      <w:r w:rsidR="009E6F50" w:rsidRPr="00453F80">
        <w:t xml:space="preserve">he trained SVM was used to predict the enzyme classes of the </w:t>
      </w:r>
      <w:r>
        <w:t>held-out validation</w:t>
      </w:r>
      <w:r w:rsidR="009E6F50" w:rsidRPr="00453F80">
        <w:t xml:space="preserve"> set.</w:t>
      </w:r>
      <w:r w:rsidRPr="00443097">
        <w:rPr>
          <w:noProof/>
        </w:rPr>
        <w:t xml:space="preserve"> </w:t>
      </w:r>
      <w:r>
        <w:rPr>
          <w:noProof/>
        </w:rPr>
        <w:t xml:space="preserve">This procedure was performed 10,000 times </w:t>
      </w:r>
      <w:r w:rsidR="00774EC3">
        <w:rPr>
          <w:noProof/>
        </w:rPr>
        <w:t>using different random seeds (which changed our training/validation set thus affecting our model) to check the dependence of our model on training data and assess it’s robustness.</w:t>
      </w:r>
    </w:p>
    <w:p w14:paraId="173DE247" w14:textId="29F72F08" w:rsidR="009E6F50" w:rsidRDefault="00443097" w:rsidP="00774EC3">
      <w:pPr>
        <w:pStyle w:val="FirstParagraph"/>
        <w:jc w:val="center"/>
      </w:pPr>
      <w:r>
        <w:rPr>
          <w:noProof/>
        </w:rPr>
        <w:drawing>
          <wp:inline distT="0" distB="0" distL="0" distR="0" wp14:anchorId="59757C58" wp14:editId="0B301D27">
            <wp:extent cx="5850539" cy="2322576"/>
            <wp:effectExtent l="0" t="0" r="4445" b="1905"/>
            <wp:docPr id="15" name="Picture 15"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meter,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0539" cy="2322576"/>
                    </a:xfrm>
                    <a:prstGeom prst="rect">
                      <a:avLst/>
                    </a:prstGeom>
                  </pic:spPr>
                </pic:pic>
              </a:graphicData>
            </a:graphic>
          </wp:inline>
        </w:drawing>
      </w:r>
    </w:p>
    <w:p w14:paraId="0AD4225F" w14:textId="540C14F7" w:rsidR="00964074" w:rsidRPr="00964074" w:rsidRDefault="00964074" w:rsidP="00964074">
      <w:pPr>
        <w:pStyle w:val="Caption"/>
      </w:pPr>
      <w:r w:rsidRPr="00802660">
        <w:t xml:space="preserve">Figure </w:t>
      </w:r>
      <w:r>
        <w:t>3</w:t>
      </w:r>
      <w:r w:rsidRPr="00802660">
        <w:t xml:space="preserve">: Workflow of </w:t>
      </w:r>
      <w:r>
        <w:t>our</w:t>
      </w:r>
      <w:r w:rsidRPr="00802660">
        <w:t xml:space="preserve"> ensemble model. Different feature representations create separate models, and the final model output is an average of the predictions made by each individual model.</w:t>
      </w:r>
    </w:p>
    <w:p w14:paraId="3C1E89FF" w14:textId="77777777" w:rsidR="009E6F50" w:rsidRPr="00536A6E" w:rsidRDefault="009E6F50" w:rsidP="00AE77EE">
      <w:pPr>
        <w:pStyle w:val="Heading4"/>
      </w:pPr>
      <w:bookmarkStart w:id="6" w:name="principal-component-analysis-formulation"/>
      <w:r w:rsidRPr="00536A6E">
        <w:t>Principal Component Analysis (PCA) formulation</w:t>
      </w:r>
      <w:bookmarkEnd w:id="6"/>
    </w:p>
    <w:p w14:paraId="059AECF9" w14:textId="4B176DAE" w:rsidR="009E6F50" w:rsidRPr="00453F80" w:rsidRDefault="009E6F50" w:rsidP="00541D73">
      <w:pPr>
        <w:pStyle w:val="BodyText"/>
      </w:pPr>
      <w:r w:rsidRPr="00453F80">
        <w:t xml:space="preserve">The steps involved in PCA </w:t>
      </w:r>
      <w:r w:rsidR="00541D73">
        <w:t>we</w:t>
      </w:r>
      <w:r w:rsidRPr="00453F80">
        <w:t>re</w:t>
      </w:r>
      <w:r w:rsidR="00541D73">
        <w:t>,</w:t>
      </w:r>
      <w:r w:rsidRPr="00453F80">
        <w:t xml:space="preserve"> </w:t>
      </w:r>
      <w:r w:rsidR="00541D73">
        <w:t xml:space="preserve">1) </w:t>
      </w:r>
      <w:r w:rsidRPr="00453F80">
        <w:t xml:space="preserve">Standardization: The dataset </w:t>
      </w:r>
      <w:r w:rsidR="00312C8A">
        <w:t>wa</w:t>
      </w:r>
      <w:r w:rsidRPr="00453F80">
        <w:t>s initially scaled so that each variable contributes equally.</w:t>
      </w:r>
    </w:p>
    <w:p w14:paraId="2381BCF0" w14:textId="77777777" w:rsidR="009E6F50" w:rsidRPr="008C0611" w:rsidRDefault="009E6F50" w:rsidP="00AE77EE">
      <w:pPr>
        <w:pStyle w:val="BodyTex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m:oMathPara>
    </w:p>
    <w:p w14:paraId="24B826E7" w14:textId="337CFE88" w:rsidR="009E6F50" w:rsidRPr="00453F80" w:rsidRDefault="009E6F50" w:rsidP="00541D73">
      <w:pPr>
        <w:pStyle w:val="BodyText"/>
      </w:pPr>
      <w:r w:rsidRPr="008C0611">
        <w:rPr>
          <w:rStyle w:val="VerbatimChar"/>
          <w:rFonts w:ascii="Times New Roman" w:eastAsiaTheme="minorHAnsi" w:hAnsi="Times New Roman" w:cstheme="minorBidi"/>
          <w:b w:val="0"/>
          <w:iCs w:val="0"/>
          <w:sz w:val="24"/>
          <w:szCs w:val="24"/>
        </w:rPr>
        <w:t xml:space="preserve">where </w:t>
      </w:r>
      <m:oMath>
        <m:r>
          <w:rPr>
            <w:rStyle w:val="VerbatimChar"/>
            <w:rFonts w:ascii="Cambria Math" w:eastAsiaTheme="minorHAnsi" w:hAnsi="Cambria Math" w:cstheme="minorBidi"/>
            <w:sz w:val="24"/>
            <w:szCs w:val="24"/>
          </w:rPr>
          <m:t>z</m:t>
        </m:r>
      </m:oMath>
      <w:r w:rsidRPr="008C0611">
        <w:rPr>
          <w:rStyle w:val="VerbatimChar"/>
          <w:rFonts w:ascii="Times New Roman" w:eastAsiaTheme="minorHAnsi" w:hAnsi="Times New Roman" w:cstheme="minorBidi"/>
          <w:b w:val="0"/>
          <w:iCs w:val="0"/>
          <w:sz w:val="24"/>
          <w:szCs w:val="24"/>
        </w:rPr>
        <w:t xml:space="preserve"> is the scaled value, </w:t>
      </w:r>
      <m:oMath>
        <m:r>
          <w:rPr>
            <w:rStyle w:val="VerbatimChar"/>
            <w:rFonts w:ascii="Cambria Math" w:eastAsiaTheme="minorHAnsi" w:hAnsi="Cambria Math" w:cstheme="minorBidi"/>
            <w:sz w:val="24"/>
            <w:szCs w:val="24"/>
          </w:rPr>
          <m:t>x</m:t>
        </m:r>
      </m:oMath>
      <w:r w:rsidRPr="008C0611">
        <w:rPr>
          <w:rStyle w:val="VerbatimChar"/>
          <w:rFonts w:ascii="Times New Roman" w:eastAsiaTheme="minorHAnsi" w:hAnsi="Times New Roman" w:cstheme="minorBidi"/>
          <w:b w:val="0"/>
          <w:iCs w:val="0"/>
          <w:sz w:val="24"/>
          <w:szCs w:val="24"/>
        </w:rPr>
        <w:t xml:space="preserve"> is the original value, </w:t>
      </w:r>
      <m:oMath>
        <m:r>
          <w:rPr>
            <w:rStyle w:val="VerbatimChar"/>
            <w:rFonts w:ascii="Cambria Math" w:eastAsiaTheme="minorHAnsi" w:hAnsi="Cambria Math" w:cstheme="minorBidi"/>
            <w:sz w:val="24"/>
            <w:szCs w:val="24"/>
          </w:rPr>
          <m:t>μ</m:t>
        </m:r>
      </m:oMath>
      <w:r w:rsidRPr="008C0611">
        <w:rPr>
          <w:rStyle w:val="VerbatimChar"/>
          <w:rFonts w:ascii="Times New Roman" w:eastAsiaTheme="minorHAnsi" w:hAnsi="Times New Roman" w:cstheme="minorBidi"/>
          <w:b w:val="0"/>
          <w:iCs w:val="0"/>
          <w:sz w:val="24"/>
          <w:szCs w:val="24"/>
        </w:rPr>
        <w:t xml:space="preserve"> is the mean of the variable and </w:t>
      </w:r>
      <m:oMath>
        <m:r>
          <w:rPr>
            <w:rStyle w:val="VerbatimChar"/>
            <w:rFonts w:ascii="Cambria Math" w:eastAsiaTheme="minorHAnsi" w:hAnsi="Cambria Math" w:cstheme="minorBidi"/>
            <w:sz w:val="24"/>
            <w:szCs w:val="24"/>
          </w:rPr>
          <m:t>σ</m:t>
        </m:r>
      </m:oMath>
      <w:r w:rsidRPr="008C0611">
        <w:rPr>
          <w:rStyle w:val="VerbatimChar"/>
          <w:rFonts w:ascii="Times New Roman" w:eastAsiaTheme="minorHAnsi" w:hAnsi="Times New Roman" w:cstheme="minorBidi"/>
          <w:b w:val="0"/>
          <w:iCs w:val="0"/>
          <w:sz w:val="24"/>
          <w:szCs w:val="24"/>
        </w:rPr>
        <w:t xml:space="preserve"> is the standard deviation of the variable</w:t>
      </w:r>
      <w:r w:rsidR="00541D73">
        <w:rPr>
          <w:rStyle w:val="VerbatimChar"/>
          <w:rFonts w:ascii="Times New Roman" w:eastAsiaTheme="minorHAnsi" w:hAnsi="Times New Roman" w:cstheme="minorBidi"/>
          <w:b w:val="0"/>
          <w:iCs w:val="0"/>
          <w:sz w:val="24"/>
          <w:szCs w:val="24"/>
        </w:rPr>
        <w:t>,</w:t>
      </w:r>
      <w:r w:rsidRPr="008C0611">
        <w:rPr>
          <w:rStyle w:val="VerbatimChar"/>
          <w:rFonts w:ascii="Times New Roman" w:eastAsiaTheme="minorHAnsi" w:hAnsi="Times New Roman" w:cstheme="minorBidi"/>
          <w:b w:val="0"/>
          <w:iCs w:val="0"/>
          <w:sz w:val="24"/>
          <w:szCs w:val="24"/>
        </w:rPr>
        <w:t xml:space="preserve"> </w:t>
      </w:r>
      <w:r w:rsidR="00541D73">
        <w:t xml:space="preserve">2) </w:t>
      </w:r>
      <w:r w:rsidRPr="00453F80">
        <w:t xml:space="preserve">Covariance Matrix Computation: The covariance of each variable </w:t>
      </w:r>
      <w:r w:rsidR="00312C8A">
        <w:t>wa</w:t>
      </w:r>
      <w:r w:rsidRPr="00453F80">
        <w:t>s calculated using the following formula:</w:t>
      </w:r>
    </w:p>
    <w:p w14:paraId="47B92B28" w14:textId="77777777" w:rsidR="009E6F50" w:rsidRPr="00360F9E" w:rsidRDefault="009E6F50" w:rsidP="00AE77EE">
      <w:pPr>
        <w:pStyle w:val="BodyText"/>
      </w:pPr>
      <m:oMathPara>
        <m:oMath>
          <m:r>
            <w:rPr>
              <w:rFonts w:ascii="Cambria Math" w:hAnsi="Cambria Math"/>
            </w:rPr>
            <m:t>cov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m:oMathPara>
    </w:p>
    <w:p w14:paraId="58E5B502" w14:textId="30320B73" w:rsidR="009E6F50" w:rsidRPr="00453F80" w:rsidRDefault="009E6F50" w:rsidP="00541D73">
      <w:pPr>
        <w:pStyle w:val="BodyText"/>
      </w:pPr>
      <w:r w:rsidRPr="00360F9E">
        <w:t>The result w</w:t>
      </w:r>
      <w:r w:rsidR="00312C8A">
        <w:t>as</w:t>
      </w:r>
      <w:r w:rsidRPr="00360F9E">
        <w:t xml:space="preserve"> a square matrix of </w:t>
      </w:r>
      <m:oMath>
        <m:r>
          <w:rPr>
            <w:rFonts w:ascii="Cambria Math" w:hAnsi="Cambria Math"/>
          </w:rPr>
          <m:t>N</m:t>
        </m:r>
        <m:r>
          <m:rPr>
            <m:sty m:val="p"/>
          </m:rPr>
          <w:rPr>
            <w:rFonts w:ascii="Cambria Math" w:hAnsi="Cambria Math"/>
          </w:rPr>
          <m:t>*</m:t>
        </m:r>
        <m:r>
          <w:rPr>
            <w:rFonts w:ascii="Cambria Math" w:hAnsi="Cambria Math"/>
          </w:rPr>
          <m:t>N</m:t>
        </m:r>
      </m:oMath>
      <w:r w:rsidRPr="00360F9E">
        <w:t xml:space="preserve"> dimensions where </w:t>
      </w:r>
      <m:oMath>
        <m:r>
          <w:rPr>
            <w:rFonts w:ascii="Cambria Math" w:hAnsi="Cambria Math"/>
          </w:rPr>
          <m:t>N</m:t>
        </m:r>
      </m:oMath>
      <w:r w:rsidRPr="00360F9E">
        <w:t xml:space="preserve"> is the number of variables</w:t>
      </w:r>
      <w:r w:rsidR="00312C8A">
        <w:t>,</w:t>
      </w:r>
      <w:r w:rsidR="00541D73">
        <w:t xml:space="preserve"> 3) </w:t>
      </w:r>
      <w:r w:rsidRPr="00453F80">
        <w:t xml:space="preserve">Eigen Vector and Eigen Value Computation: The eigen vector </w:t>
      </w:r>
      <m:oMath>
        <m:r>
          <m:rPr>
            <m:sty m:val="b"/>
          </m:rPr>
          <w:rPr>
            <w:rFonts w:ascii="Cambria Math" w:hAnsi="Cambria Math"/>
          </w:rPr>
          <m:t>v</m:t>
        </m:r>
      </m:oMath>
      <w:r w:rsidRPr="00453F80">
        <w:t xml:space="preserve"> for a matrix </w:t>
      </w:r>
      <m:oMath>
        <m:r>
          <w:rPr>
            <w:rFonts w:ascii="Cambria Math" w:hAnsi="Cambria Math"/>
          </w:rPr>
          <m:t>A</m:t>
        </m:r>
      </m:oMath>
      <w:r w:rsidRPr="00453F80">
        <w:t xml:space="preserve"> </w:t>
      </w:r>
      <w:r w:rsidR="00312C8A">
        <w:t>was</w:t>
      </w:r>
      <w:r w:rsidRPr="00453F80">
        <w:t xml:space="preserve"> calculated by solving the following formula:</w:t>
      </w:r>
    </w:p>
    <w:p w14:paraId="7F5DF067" w14:textId="77777777" w:rsidR="009E6F50" w:rsidRPr="00360F9E" w:rsidRDefault="009E6F50" w:rsidP="00AE77EE">
      <w:pPr>
        <w:pStyle w:val="BodyText"/>
      </w:pPr>
      <m:oMathPara>
        <m:oMath>
          <m:r>
            <w:rPr>
              <w:rFonts w:ascii="Cambria Math" w:hAnsi="Cambria Math"/>
            </w:rPr>
            <m:t>A</m:t>
          </m:r>
          <m:r>
            <m:rPr>
              <m:sty m:val="b"/>
            </m:rPr>
            <w:rPr>
              <w:rFonts w:ascii="Cambria Math" w:hAnsi="Cambria Math"/>
            </w:rPr>
            <m:t>v</m:t>
          </m:r>
          <m:r>
            <m:rPr>
              <m:sty m:val="p"/>
            </m:rPr>
            <w:rPr>
              <w:rFonts w:ascii="Cambria Math" w:hAnsi="Cambria Math"/>
            </w:rPr>
            <m:t>-</m:t>
          </m:r>
          <m:r>
            <w:rPr>
              <w:rFonts w:ascii="Cambria Math" w:hAnsi="Cambria Math"/>
            </w:rPr>
            <m:t>λ</m:t>
          </m:r>
          <m:r>
            <m:rPr>
              <m:sty m:val="b"/>
            </m:rPr>
            <w:rPr>
              <w:rFonts w:ascii="Cambria Math" w:hAnsi="Cambria Math"/>
            </w:rPr>
            <m:t>v</m:t>
          </m:r>
          <m:r>
            <m:rPr>
              <m:sty m:val="p"/>
            </m:rPr>
            <w:rPr>
              <w:rFonts w:ascii="Cambria Math" w:hAnsi="Cambria Math"/>
            </w:rPr>
            <m:t>=0</m:t>
          </m:r>
        </m:oMath>
      </m:oMathPara>
    </w:p>
    <w:p w14:paraId="192939D3" w14:textId="4663F5DE" w:rsidR="009E6F50" w:rsidRPr="00453F80" w:rsidRDefault="00312C8A" w:rsidP="00312C8A">
      <w:pPr>
        <w:pStyle w:val="BodyText"/>
      </w:pPr>
      <w:r>
        <w:t xml:space="preserve">4) </w:t>
      </w:r>
      <w:r w:rsidR="009E6F50" w:rsidRPr="00453F80">
        <w:t xml:space="preserve">k eigenvectors with the largest </w:t>
      </w:r>
      <w:proofErr w:type="gramStart"/>
      <w:r w:rsidR="009E6F50" w:rsidRPr="00453F80">
        <w:t>eigenvalues</w:t>
      </w:r>
      <w:proofErr w:type="gramEnd"/>
      <w:r>
        <w:t xml:space="preserve"> determination</w:t>
      </w:r>
      <w:r w:rsidR="009E6F50">
        <w:t>:</w:t>
      </w:r>
      <w:r w:rsidR="009E6F50" w:rsidRPr="00453F80">
        <w:t xml:space="preserve"> The</w:t>
      </w:r>
      <w:r w:rsidR="00C173DF">
        <w:t xml:space="preserve"> </w:t>
      </w:r>
      <w:r w:rsidR="009E6F50" w:rsidRPr="00453F80">
        <w:t xml:space="preserve">eigenvectors </w:t>
      </w:r>
      <w:r w:rsidR="00C173DF">
        <w:t xml:space="preserve">were sorted in decreasing order of their eigenvalues and the first k eigenvectors </w:t>
      </w:r>
      <w:r w:rsidR="009E6F50" w:rsidRPr="00453F80">
        <w:t>bec</w:t>
      </w:r>
      <w:r>
        <w:t>a</w:t>
      </w:r>
      <w:r w:rsidR="009E6F50" w:rsidRPr="00453F80">
        <w:t xml:space="preserve">me the Principal </w:t>
      </w:r>
      <w:r w:rsidR="009E6F50" w:rsidRPr="00453F80">
        <w:lastRenderedPageBreak/>
        <w:t xml:space="preserve">Components. A matrix </w:t>
      </w:r>
      <m:oMath>
        <m:r>
          <w:rPr>
            <w:rFonts w:ascii="Cambria Math" w:hAnsi="Cambria Math"/>
          </w:rPr>
          <m:t>W</m:t>
        </m:r>
      </m:oMath>
      <w:r w:rsidR="009E6F50" w:rsidRPr="00453F80">
        <w:t xml:space="preserve"> is created by combining the k eigenvectors</w:t>
      </w:r>
      <w:r>
        <w:t xml:space="preserve">, 5) </w:t>
      </w:r>
      <w:r w:rsidR="009E6F50" w:rsidRPr="00453F80">
        <w:t xml:space="preserve">Recasting data along the Principal Components: Finally, the original sample space </w:t>
      </w:r>
      <w:r>
        <w:t>wa</w:t>
      </w:r>
      <w:r w:rsidR="009E6F50" w:rsidRPr="00453F80">
        <w:t>s projected along this new subspace via the following equation:</w:t>
      </w:r>
    </w:p>
    <w:p w14:paraId="44AD9A34" w14:textId="77777777" w:rsidR="006B66A0" w:rsidRDefault="009E6F50" w:rsidP="006B66A0">
      <w:pPr>
        <w:pStyle w:val="BodyText"/>
        <w:jc w:val="center"/>
      </w:pPr>
      <m:oMathPara>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m:oMathPara>
    </w:p>
    <w:p w14:paraId="5D9C015B" w14:textId="31A4A156" w:rsidR="009E6F50" w:rsidRPr="00360F9E" w:rsidRDefault="009E6F50" w:rsidP="00541D73">
      <w:pPr>
        <w:pStyle w:val="BodyText"/>
        <w:jc w:val="both"/>
      </w:pPr>
      <w:r w:rsidRPr="00360F9E">
        <w:t xml:space="preserve">where </w:t>
      </w:r>
      <m:oMath>
        <m:r>
          <m:rPr>
            <m:sty m:val="b"/>
          </m:rPr>
          <w:rPr>
            <w:rFonts w:ascii="Cambria Math" w:hAnsi="Cambria Math"/>
          </w:rPr>
          <m:t>Y</m:t>
        </m:r>
      </m:oMath>
      <w:r w:rsidRPr="00360F9E">
        <w:t xml:space="preserve"> </w:t>
      </w:r>
      <w:r w:rsidR="00312C8A">
        <w:t>wa</w:t>
      </w:r>
      <w:r w:rsidRPr="00360F9E">
        <w:t xml:space="preserve">s the new sample space and </w:t>
      </w:r>
      <m:oMath>
        <m:r>
          <m:rPr>
            <m:sty m:val="b"/>
          </m:rPr>
          <w:rPr>
            <w:rFonts w:ascii="Cambria Math" w:hAnsi="Cambria Math"/>
          </w:rPr>
          <m:t>X</m:t>
        </m:r>
      </m:oMath>
      <w:r w:rsidRPr="00360F9E">
        <w:t xml:space="preserve"> </w:t>
      </w:r>
      <w:r w:rsidR="00312C8A">
        <w:t>wa</w:t>
      </w:r>
      <w:r w:rsidRPr="00360F9E">
        <w:t>s the previous sample space.</w:t>
      </w:r>
    </w:p>
    <w:p w14:paraId="44ECF89E" w14:textId="77777777" w:rsidR="009E6F50" w:rsidRPr="00536A6E" w:rsidRDefault="009E6F50" w:rsidP="00AE77EE">
      <w:pPr>
        <w:pStyle w:val="Heading4"/>
      </w:pPr>
      <w:bookmarkStart w:id="7" w:name="support-vector-machine-formulation"/>
      <w:r w:rsidRPr="00536A6E">
        <w:t>Support Vector Machine (SVM) Formulation</w:t>
      </w:r>
      <w:bookmarkEnd w:id="7"/>
    </w:p>
    <w:p w14:paraId="520AA934" w14:textId="3845E170" w:rsidR="009E6F50" w:rsidRPr="00453F80" w:rsidRDefault="009E6F50" w:rsidP="00AE77EE">
      <w:pPr>
        <w:pStyle w:val="BodyText"/>
      </w:pPr>
      <w:r w:rsidRPr="00453F80">
        <w:t xml:space="preserve">Given a training set of instance-label pairs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l</m:t>
        </m:r>
      </m:oMath>
      <w:r w:rsidRPr="00453F80">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a vector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53F80">
        <w:t xml:space="preserve"> is the label, support vector machine </w:t>
      </w:r>
      <w:r>
        <w:fldChar w:fldCharType="begin" w:fldLock="1"/>
      </w:r>
      <w:r w:rsidR="00BE268B">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e35090ae-5682-4ce9-8855-1a1566e5b01a"]}],"mendeley":{"formattedCitation":"[16]","plainTextFormattedCitation":"[16]","previouslyFormattedCitation":"[16]"},"properties":{"noteIndex":0},"schema":"https://github.com/citation-style-language/schema/raw/master/csl-citation.json"}</w:instrText>
      </w:r>
      <w:r>
        <w:fldChar w:fldCharType="separate"/>
      </w:r>
      <w:r w:rsidR="00BE268B" w:rsidRPr="00BE268B">
        <w:rPr>
          <w:noProof/>
        </w:rPr>
        <w:t>[16]</w:t>
      </w:r>
      <w:r>
        <w:fldChar w:fldCharType="end"/>
      </w:r>
      <w:r>
        <w:t xml:space="preserve"> </w:t>
      </w:r>
      <w:r w:rsidRPr="00453F80">
        <w:t>solves the following optimization problem:</w:t>
      </w:r>
    </w:p>
    <w:p w14:paraId="7E0A07A1" w14:textId="77777777" w:rsidR="009E6F50" w:rsidRPr="00453F80" w:rsidRDefault="009E6F50" w:rsidP="00AE77EE">
      <w:pPr>
        <w:pStyle w:val="BodyText"/>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sub>
          </m:sSub>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61D3A03A" w14:textId="77777777" w:rsidR="009E6F50" w:rsidRPr="00453F80" w:rsidRDefault="009E6F50" w:rsidP="00AE77EE">
      <w:pPr>
        <w:pStyle w:val="BodyText"/>
      </w:pPr>
      <w:r w:rsidRPr="00453F80">
        <w:t>subject to:</w:t>
      </w:r>
    </w:p>
    <w:p w14:paraId="0EB6AAEA" w14:textId="77777777" w:rsidR="009E6F50" w:rsidRPr="00453F80" w:rsidRDefault="00036FE9" w:rsidP="00AE77EE">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oMath>
      </m:oMathPara>
    </w:p>
    <w:p w14:paraId="10C77E52" w14:textId="7C6789DF" w:rsidR="009E6F50" w:rsidRDefault="009E6F50" w:rsidP="00AE77EE">
      <w:pPr>
        <w:pStyle w:val="BodyText"/>
      </w:pPr>
      <w:r w:rsidRPr="00453F80">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mapped to a higher dimensional space by the function </w:t>
      </w:r>
      <m:oMath>
        <m:r>
          <w:rPr>
            <w:rFonts w:ascii="Cambria Math" w:hAnsi="Cambria Math"/>
          </w:rPr>
          <m:t>ϕ</m:t>
        </m:r>
      </m:oMath>
      <w:r w:rsidRPr="00453F80">
        <w:t>.</w:t>
      </w:r>
      <w:r>
        <w:rPr>
          <w:rFonts w:eastAsiaTheme="minorEastAsia"/>
        </w:rPr>
        <w:t xml:space="preserve"> </w:t>
      </w:r>
      <m:oMath>
        <m:r>
          <w:rPr>
            <w:rFonts w:ascii="Cambria Math" w:hAnsi="Cambria Math"/>
          </w:rPr>
          <m:t xml:space="preserve">w </m:t>
        </m:r>
      </m:oMath>
      <w:r>
        <w:rPr>
          <w:rFonts w:eastAsiaTheme="minorEastAsia"/>
        </w:rPr>
        <w:t>is the weight vector that represents the training parameters.</w:t>
      </w:r>
      <w:r w:rsidRPr="00453F80">
        <w:t xml:space="preserve"> </w:t>
      </w:r>
      <m:oMath>
        <m:r>
          <w:rPr>
            <w:rFonts w:ascii="Cambria Math" w:hAnsi="Cambria Math"/>
          </w:rPr>
          <m:t>C</m:t>
        </m:r>
      </m:oMath>
      <w:r w:rsidRPr="00453F80">
        <w:t xml:space="preserve"> is a penalty parameter for the error term </w:t>
      </w:r>
      <m:oMath>
        <m:r>
          <w:rPr>
            <w:rFonts w:ascii="Cambria Math" w:hAnsi="Cambria Math"/>
          </w:rPr>
          <m:t>ξ</m:t>
        </m:r>
      </m:oMath>
      <w:r w:rsidRPr="00453F80">
        <w:t xml:space="preserve">. The objective of the SVM is the find a separating hyperplane with the maximal margin </w:t>
      </w:r>
      <w:r>
        <w:t xml:space="preserve">defined as </w:t>
      </w:r>
      <m:oMath>
        <m:f>
          <m:fPr>
            <m:ctrlPr>
              <w:rPr>
                <w:rFonts w:ascii="Cambria Math" w:hAnsi="Cambria Math"/>
              </w:rPr>
            </m:ctrlPr>
          </m:fPr>
          <m:num>
            <m:r>
              <w:rPr>
                <w:rFonts w:ascii="Cambria Math" w:hAnsi="Cambria Math"/>
              </w:rPr>
              <m:t>2</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ctrlPr>
              <w:rPr>
                <w:rFonts w:ascii="Cambria Math" w:hAnsi="Cambria Math"/>
                <w:i/>
              </w:rPr>
            </m:ctrlPr>
          </m:den>
        </m:f>
      </m:oMath>
      <w:r>
        <w:rPr>
          <w:rFonts w:eastAsiaTheme="minorEastAsia"/>
        </w:rPr>
        <w:t xml:space="preserve"> </w:t>
      </w:r>
      <w:r w:rsidRPr="00453F80">
        <w:t>between each class.</w:t>
      </w:r>
    </w:p>
    <w:p w14:paraId="2B21238E" w14:textId="26E19065" w:rsidR="00B31892" w:rsidRDefault="00B31892" w:rsidP="00E31E90">
      <w:pPr>
        <w:pStyle w:val="Heading4"/>
      </w:pPr>
      <w:r>
        <w:t>Meta Learner Formulation</w:t>
      </w:r>
    </w:p>
    <w:p w14:paraId="366D3D3F" w14:textId="09551B4F" w:rsidR="00D86468" w:rsidRPr="00D86468" w:rsidRDefault="0061562E" w:rsidP="00D86468">
      <w:r>
        <w:t>Our Meta Learner is a hard-voting based majority vote classifier that compares the predict</w:t>
      </w:r>
      <w:r w:rsidR="004C5F9A">
        <w:t>ion</w:t>
      </w:r>
      <w:r>
        <w:t xml:space="preserve">s of the base learners and outputs the class of enzymes that received the maximum votes. Thus, if the predictions of </w:t>
      </w:r>
      <w:r w:rsidR="00371E1D">
        <w:t>the three base learners</w:t>
      </w:r>
      <w:r>
        <w:t xml:space="preserve"> are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w:t>
      </w:r>
      <w:r w:rsidR="00371E1D">
        <w:t xml:space="preserve">then the prediction of the meta learner </w:t>
      </w:r>
      <m:oMath>
        <m:acc>
          <m:accPr>
            <m:ctrlPr>
              <w:rPr>
                <w:rFonts w:ascii="Cambria Math" w:hAnsi="Cambria Math"/>
              </w:rPr>
            </m:ctrlPr>
          </m:accPr>
          <m:e>
            <m:r>
              <w:rPr>
                <w:rFonts w:ascii="Cambria Math" w:hAnsi="Cambria Math"/>
              </w:rPr>
              <m:t>y</m:t>
            </m:r>
          </m:e>
        </m:acc>
      </m:oMath>
      <w:r w:rsidR="00371E1D">
        <w:rPr>
          <w:rFonts w:eastAsiaTheme="minorEastAsia"/>
        </w:rPr>
        <w:t xml:space="preserve"> is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sidR="00371E1D">
        <w:rPr>
          <w:rFonts w:eastAsiaTheme="minorEastAsia"/>
        </w:rPr>
        <w:t>.</w:t>
      </w:r>
      <w:r w:rsidR="00D145E3">
        <w:rPr>
          <w:rFonts w:eastAsiaTheme="minorEastAsia"/>
        </w:rPr>
        <w:t xml:space="preserve"> In case there is a </w:t>
      </w:r>
      <w:r w:rsidR="00F334EF">
        <w:rPr>
          <w:rFonts w:eastAsiaTheme="minorEastAsia"/>
        </w:rPr>
        <w:t>three-way</w:t>
      </w:r>
      <w:r w:rsidR="00D145E3">
        <w:rPr>
          <w:rFonts w:eastAsiaTheme="minorEastAsia"/>
        </w:rPr>
        <w:t xml:space="preserve"> tie between </w:t>
      </w:r>
      <w:r w:rsidR="00F334EF">
        <w:rPr>
          <w:rFonts w:eastAsiaTheme="minorEastAsia"/>
        </w:rPr>
        <w:t xml:space="preserve">outputs of the </w:t>
      </w:r>
      <w:r w:rsidR="00D145E3">
        <w:rPr>
          <w:rFonts w:eastAsiaTheme="minorEastAsia"/>
        </w:rPr>
        <w:t xml:space="preserve">base learners, the prediction of the positional </w:t>
      </w:r>
      <w:proofErr w:type="gramStart"/>
      <w:r w:rsidR="00F334EF">
        <w:rPr>
          <w:rFonts w:eastAsiaTheme="minorEastAsia"/>
        </w:rPr>
        <w:t>feature based</w:t>
      </w:r>
      <w:proofErr w:type="gramEnd"/>
      <w:r w:rsidR="00D145E3">
        <w:rPr>
          <w:rFonts w:eastAsiaTheme="minorEastAsia"/>
        </w:rPr>
        <w:t xml:space="preserve"> model is selected as the ensemble output.</w:t>
      </w:r>
    </w:p>
    <w:p w14:paraId="6F434DE9" w14:textId="7C956982" w:rsidR="00826D4D" w:rsidRDefault="00826D4D" w:rsidP="00AE77EE">
      <w:pPr>
        <w:pStyle w:val="Heading2"/>
      </w:pPr>
      <w:bookmarkStart w:id="8" w:name="model-results"/>
      <w:r w:rsidRPr="00826D4D">
        <w:t>Results</w:t>
      </w:r>
      <w:bookmarkEnd w:id="8"/>
    </w:p>
    <w:p w14:paraId="0AFD8AEE" w14:textId="0EE753E9" w:rsidR="00C752BA" w:rsidRDefault="00C752BA" w:rsidP="00C752BA">
      <w:pPr>
        <w:pStyle w:val="Heading3"/>
      </w:pPr>
      <w:r>
        <w:t xml:space="preserve">Positional feature </w:t>
      </w:r>
      <w:r w:rsidR="00D145E3">
        <w:t>builder-based</w:t>
      </w:r>
      <w:r>
        <w:t xml:space="preserve"> model perform</w:t>
      </w:r>
      <w:r w:rsidR="00036FE9">
        <w:t>ed</w:t>
      </w:r>
      <w:r>
        <w:t xml:space="preserve"> </w:t>
      </w:r>
      <w:r w:rsidR="00036FE9">
        <w:t xml:space="preserve">marginally </w:t>
      </w:r>
      <w:r>
        <w:t xml:space="preserve">better than other </w:t>
      </w:r>
      <w:r w:rsidR="00036FE9">
        <w:t xml:space="preserve">base </w:t>
      </w:r>
      <w:r>
        <w:t>model</w:t>
      </w:r>
      <w:r w:rsidR="00036FE9">
        <w:t>s</w:t>
      </w:r>
    </w:p>
    <w:p w14:paraId="7E5C1363" w14:textId="4580E0B5" w:rsidR="00C752BA" w:rsidRDefault="00036FE9" w:rsidP="00C752BA">
      <w:r>
        <w:t xml:space="preserve">The positional feature builder based model that requires expert intervention to preselect the positions that might be responsible for Thioesterase specificity showed slightly better performance compared to the two other automated feature encoder based models. The mean accuracy score for the positional model was 0.771 compared to 0.747 and 0.753 for the kmer based model and grouped amino </w:t>
      </w:r>
      <w:proofErr w:type="gramStart"/>
      <w:r>
        <w:t>acid based</w:t>
      </w:r>
      <w:proofErr w:type="gramEnd"/>
      <w:r>
        <w:t xml:space="preserve"> models respectively across 10000 simulations. In terms of worst case accuracy as well, the positional model outperformed the other two (0.44 versus 0.4 for both). </w:t>
      </w:r>
      <w:r w:rsidR="00A824EB">
        <w:t xml:space="preserve">The </w:t>
      </w:r>
      <w:r w:rsidR="00A824EB">
        <w:lastRenderedPageBreak/>
        <w:t xml:space="preserve">histogram of test set accuracy for the positional model </w:t>
      </w:r>
      <w:r w:rsidR="007B3D48">
        <w:t xml:space="preserve">over 10000 simulations </w:t>
      </w:r>
      <w:r w:rsidR="00A824EB">
        <w:t xml:space="preserve">is shown in Figure X while for the other two models are given in Appendix C. </w:t>
      </w:r>
    </w:p>
    <w:p w14:paraId="30CBBA91" w14:textId="10E899F7" w:rsidR="00A824EB" w:rsidRDefault="00A824EB" w:rsidP="00A824EB">
      <w:pPr>
        <w:pStyle w:val="Heading3"/>
      </w:pPr>
      <w:r>
        <w:t>Ensemble model significantly increases worst case accuracy over base models</w:t>
      </w:r>
    </w:p>
    <w:p w14:paraId="46675340" w14:textId="0DD95347" w:rsidR="00A824EB" w:rsidRPr="00A824EB" w:rsidRDefault="00A824EB" w:rsidP="00A824EB">
      <w:r>
        <w:t xml:space="preserve">The primary purpose of using an ensemble framework was to decrease the amount of variance in our prediction which in our case was expected given our extremely small sample size. Our results indicate that </w:t>
      </w:r>
      <w:r w:rsidR="007B3D48">
        <w:t xml:space="preserve">the ensemble model significantly increases the </w:t>
      </w:r>
      <w:proofErr w:type="gramStart"/>
      <w:r w:rsidR="007B3D48">
        <w:t>worst case</w:t>
      </w:r>
      <w:proofErr w:type="gramEnd"/>
      <w:r w:rsidR="007B3D48">
        <w:t xml:space="preserve"> prediction accuracy over our best performing base model from 0.44 to 0.52. It also marginally decreases the standard deviation of prediction output from 0.805 for the positional model to 0.777 in case of the ensemble model. The histogram of test set accuracy for the ensemble model over 10000 simulations is shown in Fig Y. </w:t>
      </w:r>
    </w:p>
    <w:p w14:paraId="0410CF05" w14:textId="42AFF089" w:rsidR="00826D4D" w:rsidRPr="00453F80" w:rsidRDefault="00826D4D" w:rsidP="00AE77EE">
      <w:pPr>
        <w:pStyle w:val="BodyText"/>
      </w:pPr>
      <w:proofErr w:type="spellStart"/>
      <w:r w:rsidRPr="00453F80">
        <w:t>T</w:t>
      </w:r>
      <w:proofErr w:type="spellEnd"/>
      <w:r w:rsidRPr="00453F80">
        <w:t>he model was trained with the following set of hyperparameters</w:t>
      </w:r>
      <w:r>
        <w:t xml:space="preserve"> using scikit-learn </w:t>
      </w:r>
      <w:r>
        <w:fldChar w:fldCharType="begin" w:fldLock="1"/>
      </w:r>
      <w:r w:rsidR="00802660">
        <w:instrText>ADDIN CSL_CITATION {"citationItems":[{"id":"ITEM-1","itemData":{"DOI":"10.1108/JEA-10-2014-0124","ISBN":"0820140090","ISSN":"0957-8234","PMID":"42012058","abstract":"Purpose – The purpose of this paper is to identify and elaborate on the construct of flourishing in schools as understood through the stories and explanations provided by a small group of public school principals. Framed within a positive organizational perspective, the specific objectives of this study are: to identify how school leaders understand and experience flourishing in their roles and in their schools; to explore the conditions, catalysts and/or galvanizing forces of flourishing in schools. Design/methodology/approach – The researchers used an electronic Delphi survey to gain a qualitative description of the understandings and impressions of the construct of flourishing from the perspective of practicing school administrators in one school district in central British Columbia. Delphi responseswere aggregated after each round and thematically analysed to determine patterns and trends for further examination through progressive iterations of the survey administered via e-mail. The final set of data were then analysed for patterns, trends and themes that were compared and contrasted against research findings in the literature underpinning the theoretical framework for this study. Findings – While there was no single definition of what it means to flourish in the work of school leadership, shared descriptions fromthese principals indicated that they feel a sense of flourishing when they are working together with teachers from a sense of purpose and passion and in a spirit of play to cultivate learning climates that reflect a shared ownership for improving educational experiences for students.These initial findings provoke thinking about the potentials and benefits of shifting the focus of research and practice in educational leadership towards more positive, strengths-based perspectives. Research limitations/implications – The sample size was small, and so generalizing findings beyond this study is unreasonable. Further, because the researchers separated participant information from responses in order to safeguard anonymity and to aggregate the responses to provide these back to participants for their further elaboration and reflections, they were unable to determine whether particular responses were connected to context (elementary or secondary, size of school, years of experience as an administrator), gender or other demographic factors. However, the use of the electronic Delphi instrument provided insights on engaging school principals in thoug…","author":[{"dropping-particle":"","family":"Developers","given":"Scikit-learn","non-dropping-particle":"","parse-names":false,"suffix":""}],"container-title":"http://scikit-learn.org","id":"ITEM-1","issued":{"date-parts":[["2014"]]},"title":"Support Vector Machines — scikit-learn 0.17.1 documentation","type":"webpage"},"uris":["http://www.mendeley.com/documents/?uuid=eb8d9f71-6482-40d1-90c2-4ffc56b28bd4"]}],"mendeley":{"formattedCitation":"[17]","plainTextFormattedCitation":"[17]","previouslyFormattedCitation":"[17]"},"properties":{"noteIndex":0},"schema":"https://github.com/citation-style-language/schema/raw/master/csl-citation.json"}</w:instrText>
      </w:r>
      <w:r>
        <w:fldChar w:fldCharType="separate"/>
      </w:r>
      <w:r w:rsidR="00802660" w:rsidRPr="00802660">
        <w:rPr>
          <w:noProof/>
        </w:rPr>
        <w:t>[17]</w:t>
      </w:r>
      <w:r>
        <w:fldChar w:fldCharType="end"/>
      </w:r>
      <w:r>
        <w:t xml:space="preserve"> </w:t>
      </w:r>
      <w:r w:rsidRPr="00453F80">
        <w:t>:</w:t>
      </w:r>
    </w:p>
    <w:p w14:paraId="13E2B189" w14:textId="77777777" w:rsidR="00826D4D" w:rsidRPr="00453F80" w:rsidRDefault="00826D4D" w:rsidP="00AE77EE">
      <w:pPr>
        <w:pStyle w:val="BodyText"/>
        <w:numPr>
          <w:ilvl w:val="0"/>
          <w:numId w:val="24"/>
        </w:numPr>
      </w:pPr>
      <w:r w:rsidRPr="00453F80">
        <w:t>PCA components = 20</w:t>
      </w:r>
    </w:p>
    <w:p w14:paraId="7AC18984" w14:textId="77777777" w:rsidR="00826D4D" w:rsidRPr="00453F80" w:rsidRDefault="00826D4D" w:rsidP="00AE77EE">
      <w:pPr>
        <w:pStyle w:val="BodyText"/>
        <w:numPr>
          <w:ilvl w:val="0"/>
          <w:numId w:val="24"/>
        </w:numPr>
      </w:pPr>
      <w:r w:rsidRPr="00453F80">
        <w:t>k-mer length k = 3</w:t>
      </w:r>
    </w:p>
    <w:p w14:paraId="6DC5885C" w14:textId="77777777" w:rsidR="00826D4D" w:rsidRPr="00453F80" w:rsidRDefault="00826D4D" w:rsidP="00AE77EE">
      <w:pPr>
        <w:pStyle w:val="BodyText"/>
        <w:numPr>
          <w:ilvl w:val="0"/>
          <w:numId w:val="24"/>
        </w:numPr>
      </w:pPr>
      <w:r w:rsidRPr="00453F80">
        <w:t>SVM C regularization parameter = 1</w:t>
      </w:r>
    </w:p>
    <w:p w14:paraId="4E0D118E" w14:textId="77777777" w:rsidR="00826D4D" w:rsidRPr="00453F80" w:rsidRDefault="00826D4D" w:rsidP="00AE77EE">
      <w:pPr>
        <w:pStyle w:val="BodyText"/>
        <w:numPr>
          <w:ilvl w:val="0"/>
          <w:numId w:val="24"/>
        </w:numPr>
      </w:pPr>
      <w:r w:rsidRPr="00453F80">
        <w:t>SVM kernel = r</w:t>
      </w:r>
      <w:r>
        <w:t xml:space="preserve">adial </w:t>
      </w:r>
      <w:r w:rsidRPr="00453F80">
        <w:t>b</w:t>
      </w:r>
      <w:r>
        <w:t xml:space="preserve">asis </w:t>
      </w:r>
      <w:r w:rsidRPr="00453F80">
        <w:t>f</w:t>
      </w:r>
      <w:r>
        <w:t>unction</w:t>
      </w:r>
    </w:p>
    <w:p w14:paraId="247D7A2B" w14:textId="18268890" w:rsidR="00826D4D" w:rsidRPr="00453F80" w:rsidRDefault="00826D4D" w:rsidP="00AE77EE">
      <w:pPr>
        <w:pStyle w:val="BodyText"/>
      </w:pPr>
      <w:r>
        <w:t>A</w:t>
      </w:r>
      <w:r w:rsidRPr="00453F80">
        <w:t xml:space="preserve"> random seed was s</w:t>
      </w:r>
      <w:r>
        <w:t xml:space="preserve">pecified </w:t>
      </w:r>
      <w:r w:rsidRPr="00453F80">
        <w:t xml:space="preserve">to reproduce results. </w:t>
      </w:r>
      <w:r>
        <w:t xml:space="preserve">The class weight was set to “balanced” to take care of imbalance in our dataset. The “balanced” mode automatically adjusts the weights inversely proportional to the class frequencies in the input data. </w:t>
      </w:r>
      <w:r w:rsidR="00D64097">
        <w:t xml:space="preserve">This step </w:t>
      </w:r>
      <w:r w:rsidR="00E23909">
        <w:t>wa</w:t>
      </w:r>
      <w:r w:rsidR="00D64097">
        <w:t>s tak</w:t>
      </w:r>
      <w:r w:rsidR="00E23909">
        <w:t>en</w:t>
      </w:r>
      <w:r w:rsidR="00D64097">
        <w:t xml:space="preserve"> to ensure that the model w</w:t>
      </w:r>
      <w:r w:rsidR="00A02ED2">
        <w:t xml:space="preserve">ould </w:t>
      </w:r>
      <w:r w:rsidR="00D64097">
        <w:t xml:space="preserve">penalize an incorrect prediction for Enzyme Class 2, which has the least training </w:t>
      </w:r>
      <w:r w:rsidR="00F77FA7">
        <w:t xml:space="preserve">instances, </w:t>
      </w:r>
      <w:r w:rsidR="00AE2B92">
        <w:t>by a greater factor</w:t>
      </w:r>
      <w:r w:rsidR="00D64097">
        <w:t xml:space="preserve"> than that for Class 1 or 3</w:t>
      </w:r>
      <w:r w:rsidR="00F77FA7">
        <w:t xml:space="preserve">. </w:t>
      </w:r>
      <w:r w:rsidRPr="00453F80">
        <w:t>The initial model gave a test set accuracy of 0.64.</w:t>
      </w:r>
      <w:r>
        <w:t xml:space="preserve"> </w:t>
      </w:r>
      <w:r w:rsidRPr="00453F80">
        <w:t>The hyperparameters of the PCA and SVM were optimized and the test accuracy increased to 0.68. The optimized hyperparameters were:</w:t>
      </w:r>
    </w:p>
    <w:p w14:paraId="7CC486D4" w14:textId="77777777" w:rsidR="00826D4D" w:rsidRPr="00453F80" w:rsidRDefault="00826D4D" w:rsidP="00AE77EE">
      <w:pPr>
        <w:pStyle w:val="BodyText"/>
        <w:numPr>
          <w:ilvl w:val="0"/>
          <w:numId w:val="25"/>
        </w:numPr>
      </w:pPr>
      <w:r w:rsidRPr="00453F80">
        <w:t>PCA components = 40</w:t>
      </w:r>
    </w:p>
    <w:p w14:paraId="1A757099" w14:textId="77777777" w:rsidR="00826D4D" w:rsidRPr="00453F80" w:rsidRDefault="00826D4D" w:rsidP="00AE77EE">
      <w:pPr>
        <w:pStyle w:val="BodyText"/>
        <w:numPr>
          <w:ilvl w:val="0"/>
          <w:numId w:val="25"/>
        </w:numPr>
      </w:pPr>
      <w:r w:rsidRPr="00453F80">
        <w:t>SVM C regularization parameter = 10</w:t>
      </w:r>
    </w:p>
    <w:p w14:paraId="266D618B" w14:textId="77777777" w:rsidR="00826D4D" w:rsidRPr="00453F80" w:rsidRDefault="00826D4D" w:rsidP="00AE77EE">
      <w:pPr>
        <w:pStyle w:val="BodyText"/>
        <w:numPr>
          <w:ilvl w:val="0"/>
          <w:numId w:val="25"/>
        </w:numPr>
      </w:pPr>
      <w:r w:rsidRPr="00453F80">
        <w:t>SVM kernel = r</w:t>
      </w:r>
      <w:r>
        <w:t xml:space="preserve">adial </w:t>
      </w:r>
      <w:r w:rsidRPr="00453F80">
        <w:t>b</w:t>
      </w:r>
      <w:r>
        <w:t xml:space="preserve">asis </w:t>
      </w:r>
      <w:r w:rsidRPr="00453F80">
        <w:t>f</w:t>
      </w:r>
      <w:r>
        <w:t>unction</w:t>
      </w:r>
    </w:p>
    <w:p w14:paraId="40354499" w14:textId="54419032" w:rsidR="00826D4D" w:rsidRPr="00453F80" w:rsidRDefault="00826D4D" w:rsidP="00AE77EE">
      <w:pPr>
        <w:pStyle w:val="BodyText"/>
      </w:pPr>
      <w:r w:rsidRPr="00453F80">
        <w:t>Thereafter a study of model training and test accuracy against k-mer length k was performed. The result is shown</w:t>
      </w:r>
      <w:r>
        <w:t xml:space="preserve"> in </w:t>
      </w:r>
      <w:r>
        <w:fldChar w:fldCharType="begin"/>
      </w:r>
      <w:r>
        <w:instrText xml:space="preserve"> REF _Ref49241591 \h  \* MERGEFORMAT </w:instrText>
      </w:r>
      <w:r>
        <w:fldChar w:fldCharType="separate"/>
      </w:r>
      <w:r>
        <w:t xml:space="preserve">Figure </w:t>
      </w:r>
      <w:r>
        <w:rPr>
          <w:noProof/>
        </w:rPr>
        <w:t>4</w:t>
      </w:r>
      <w:r>
        <w:fldChar w:fldCharType="end"/>
      </w:r>
      <w:r>
        <w:t xml:space="preserve">. </w:t>
      </w:r>
      <w:r w:rsidRPr="00453F80">
        <w:t>It can be seen that k-</w:t>
      </w:r>
      <w:r>
        <w:t xml:space="preserve">mer </w:t>
      </w:r>
      <w:r w:rsidRPr="00453F80">
        <w:t>length of 11 performed best on both training and test set. The accuracy and recall score achieved on the test set was 0.8 while precision score was 0.837. The model has failed to correctly classify 5 among the 25 enzymes of the test set which are as follows:</w:t>
      </w:r>
    </w:p>
    <w:p w14:paraId="56957580" w14:textId="77777777" w:rsidR="00826D4D" w:rsidRPr="00453F80" w:rsidRDefault="00826D4D" w:rsidP="00AE77EE">
      <w:pPr>
        <w:pStyle w:val="BodyText"/>
        <w:numPr>
          <w:ilvl w:val="0"/>
          <w:numId w:val="26"/>
        </w:numPr>
      </w:pPr>
      <w:proofErr w:type="spellStart"/>
      <w:r w:rsidRPr="00453F80">
        <w:t>Umbellularia_californica</w:t>
      </w:r>
      <w:proofErr w:type="spellEnd"/>
      <w:r w:rsidRPr="00453F80">
        <w:t>_(UcFatB2)</w:t>
      </w:r>
    </w:p>
    <w:p w14:paraId="3EC99A20" w14:textId="77777777" w:rsidR="00826D4D" w:rsidRPr="00453F80" w:rsidRDefault="00826D4D" w:rsidP="00AE77EE">
      <w:pPr>
        <w:pStyle w:val="BodyText"/>
        <w:numPr>
          <w:ilvl w:val="0"/>
          <w:numId w:val="26"/>
        </w:numPr>
      </w:pPr>
      <w:proofErr w:type="spellStart"/>
      <w:r w:rsidRPr="00453F80">
        <w:t>Cuphea_</w:t>
      </w:r>
      <w:r>
        <w:t>viscosissima</w:t>
      </w:r>
      <w:proofErr w:type="spellEnd"/>
      <w:r w:rsidRPr="00453F80">
        <w:t>_(CvB2MT17)</w:t>
      </w:r>
    </w:p>
    <w:p w14:paraId="572A834F" w14:textId="77777777" w:rsidR="00826D4D" w:rsidRPr="00453F80" w:rsidRDefault="00826D4D" w:rsidP="00AE77EE">
      <w:pPr>
        <w:pStyle w:val="BodyText"/>
        <w:numPr>
          <w:ilvl w:val="0"/>
          <w:numId w:val="26"/>
        </w:numPr>
      </w:pPr>
      <w:proofErr w:type="spellStart"/>
      <w:r w:rsidRPr="00453F80">
        <w:t>Cuphea_</w:t>
      </w:r>
      <w:r>
        <w:t>viscosissima</w:t>
      </w:r>
      <w:proofErr w:type="spellEnd"/>
      <w:r w:rsidRPr="00453F80">
        <w:t>_(CvB2MT6)</w:t>
      </w:r>
    </w:p>
    <w:p w14:paraId="14FC44B2" w14:textId="77777777" w:rsidR="00826D4D" w:rsidRPr="00453F80" w:rsidRDefault="00826D4D" w:rsidP="00AE77EE">
      <w:pPr>
        <w:pStyle w:val="BodyText"/>
        <w:numPr>
          <w:ilvl w:val="0"/>
          <w:numId w:val="26"/>
        </w:numPr>
      </w:pPr>
      <w:proofErr w:type="spellStart"/>
      <w:r w:rsidRPr="00453F80">
        <w:t>Cuphea_</w:t>
      </w:r>
      <w:r>
        <w:t>viscosissima</w:t>
      </w:r>
      <w:proofErr w:type="spellEnd"/>
      <w:r w:rsidRPr="00453F80">
        <w:t>_(CvB2MT29)</w:t>
      </w:r>
    </w:p>
    <w:p w14:paraId="46AD6D56" w14:textId="77777777" w:rsidR="00826D4D" w:rsidRDefault="00826D4D" w:rsidP="00AE77EE">
      <w:pPr>
        <w:pStyle w:val="BodyText"/>
        <w:numPr>
          <w:ilvl w:val="0"/>
          <w:numId w:val="26"/>
        </w:numPr>
      </w:pPr>
      <w:proofErr w:type="spellStart"/>
      <w:r w:rsidRPr="00453F80">
        <w:t>Umbellularia_californica</w:t>
      </w:r>
      <w:proofErr w:type="spellEnd"/>
      <w:r w:rsidRPr="00453F80">
        <w:t>_(UcFatB1)</w:t>
      </w:r>
    </w:p>
    <w:p w14:paraId="2317E8B1" w14:textId="1C1E344F" w:rsidR="00826D4D" w:rsidRPr="00826D4D" w:rsidRDefault="00826D4D" w:rsidP="00AE77EE">
      <w:pPr>
        <w:pStyle w:val="BodyText"/>
      </w:pPr>
      <w:r w:rsidRPr="00826D4D">
        <w:t xml:space="preserve">While it has already been reported that the </w:t>
      </w:r>
      <w:proofErr w:type="spellStart"/>
      <w:r w:rsidRPr="00826D4D">
        <w:t>Cupv</w:t>
      </w:r>
      <w:proofErr w:type="spellEnd"/>
      <w:r w:rsidRPr="00826D4D">
        <w:t xml:space="preserve"> class of enzymes has extremely similar features and it is hard for a machine learning model to learn useful information from such a feature set, the </w:t>
      </w:r>
      <w:r w:rsidRPr="00826D4D">
        <w:lastRenderedPageBreak/>
        <w:t xml:space="preserve">model may have failed to learn important features relevant to the </w:t>
      </w:r>
      <w:proofErr w:type="spellStart"/>
      <w:r w:rsidRPr="00826D4D">
        <w:t>Umbellularia_california</w:t>
      </w:r>
      <w:proofErr w:type="spellEnd"/>
      <w:r w:rsidRPr="00826D4D">
        <w:t xml:space="preserve"> class of enzymes during training because both of them fell in the test set due to the random nature of our training set creation and unavailability of similar enzymes in the training set. To get a better estimate of the variance in model prediction, the model was simulated 10,000 times with the above mentioned hyperparameters and k-mer length 11 by varying the random seed. This will result in different training data and initialization parameters for SVM model both of which contribute towards the difference in model performance. The histogram of train and test accuracy of the model by varying the random seed are shown in </w:t>
      </w:r>
      <w:r w:rsidRPr="00826D4D">
        <w:fldChar w:fldCharType="begin"/>
      </w:r>
      <w:r w:rsidRPr="00826D4D">
        <w:instrText xml:space="preserve"> REF _Ref49241625 \h </w:instrText>
      </w:r>
      <w:r>
        <w:instrText xml:space="preserve"> \* MERGEFORMAT </w:instrText>
      </w:r>
      <w:r w:rsidRPr="00826D4D">
        <w:fldChar w:fldCharType="separate"/>
      </w:r>
      <w:r w:rsidRPr="00826D4D">
        <w:t>Figure 5</w:t>
      </w:r>
      <w:r w:rsidRPr="00826D4D">
        <w:fldChar w:fldCharType="end"/>
      </w:r>
      <w:r w:rsidRPr="00826D4D">
        <w:t xml:space="preserve"> and </w:t>
      </w:r>
      <w:r w:rsidRPr="00826D4D">
        <w:fldChar w:fldCharType="begin"/>
      </w:r>
      <w:r w:rsidRPr="00826D4D">
        <w:instrText xml:space="preserve"> REF _Ref49241727 \h </w:instrText>
      </w:r>
      <w:r>
        <w:instrText xml:space="preserve"> \* MERGEFORMAT </w:instrText>
      </w:r>
      <w:r w:rsidRPr="00826D4D">
        <w:fldChar w:fldCharType="separate"/>
      </w:r>
      <w:r w:rsidRPr="00826D4D">
        <w:t>Figure 6</w:t>
      </w:r>
      <w:r w:rsidRPr="00826D4D">
        <w:fldChar w:fldCharType="end"/>
      </w:r>
      <w:r w:rsidRPr="00826D4D">
        <w:t>, respectively. The mean train accuracy was 0.93 and the mean test accuracy was 0.7. The standard deviation of train and test accuracy was 0.02 and 0.09, respectively.</w:t>
      </w:r>
    </w:p>
    <w:p w14:paraId="63010605" w14:textId="77777777" w:rsidR="00826D4D" w:rsidRPr="00453F80" w:rsidRDefault="00826D4D" w:rsidP="00AE77EE">
      <w:pPr>
        <w:pStyle w:val="Heading2"/>
      </w:pPr>
      <w:bookmarkStart w:id="9" w:name="conclusion"/>
      <w:r w:rsidRPr="00453F80">
        <w:t>Conclusion</w:t>
      </w:r>
      <w:bookmarkEnd w:id="9"/>
    </w:p>
    <w:p w14:paraId="146E27C4" w14:textId="781FEBAB" w:rsidR="00826D4D" w:rsidRPr="00EF224B" w:rsidRDefault="00826D4D" w:rsidP="00AE77EE">
      <w:pPr>
        <w:pStyle w:val="BodyText"/>
      </w:pPr>
      <w:r w:rsidRPr="00826D4D">
        <w:t xml:space="preserve">The model variance is high, and the model </w:t>
      </w:r>
      <w:r w:rsidR="00AC7005">
        <w:t xml:space="preserve">overfits on the training set </w:t>
      </w:r>
      <w:r w:rsidR="00010445">
        <w:t>as evident by the difference between</w:t>
      </w:r>
      <w:r w:rsidR="00AC7005">
        <w:t xml:space="preserve"> its test accuracy </w:t>
      </w:r>
      <w:r w:rsidR="00010445">
        <w:t>and</w:t>
      </w:r>
      <w:r w:rsidR="00AC7005">
        <w:t xml:space="preserve"> train accuracy</w:t>
      </w:r>
      <w:r w:rsidRPr="00826D4D">
        <w:t xml:space="preserve">. The model has also failed to successfully learn the </w:t>
      </w:r>
      <w:proofErr w:type="spellStart"/>
      <w:r w:rsidRPr="00826D4D">
        <w:t>Cupv</w:t>
      </w:r>
      <w:proofErr w:type="spellEnd"/>
      <w:r w:rsidRPr="00826D4D">
        <w:t xml:space="preserve"> class of enzymes due to their high sequence similarity. It is important that we </w:t>
      </w:r>
      <w:r w:rsidR="0023009D">
        <w:t xml:space="preserve">develop </w:t>
      </w:r>
      <w:r w:rsidRPr="00826D4D">
        <w:t>feature</w:t>
      </w:r>
      <w:r w:rsidR="0023009D">
        <w:t xml:space="preserve"> representation</w:t>
      </w:r>
      <w:r w:rsidR="002E4AB0">
        <w:t>s</w:t>
      </w:r>
      <w:r w:rsidR="0023009D">
        <w:t xml:space="preserve"> that not only captur</w:t>
      </w:r>
      <w:r w:rsidR="002E4AB0">
        <w:t>e</w:t>
      </w:r>
      <w:r w:rsidR="0023009D">
        <w:t xml:space="preserve"> the most important context related to substrate specificity but also ha</w:t>
      </w:r>
      <w:r w:rsidR="00300CF5">
        <w:t>ve</w:t>
      </w:r>
      <w:r w:rsidR="0023009D">
        <w:t xml:space="preserve"> </w:t>
      </w:r>
      <w:r w:rsidR="00161467">
        <w:t xml:space="preserve">a </w:t>
      </w:r>
      <w:r w:rsidR="0023009D">
        <w:t>much lower dimension. This will help us</w:t>
      </w:r>
      <w:r w:rsidRPr="00826D4D">
        <w:t xml:space="preserve"> distinguish between the enzymes of th</w:t>
      </w:r>
      <w:r w:rsidR="0023009D">
        <w:t>e</w:t>
      </w:r>
      <w:r w:rsidRPr="00826D4D">
        <w:t xml:space="preserve"> </w:t>
      </w:r>
      <w:proofErr w:type="spellStart"/>
      <w:r w:rsidR="0023009D">
        <w:t>Cupv</w:t>
      </w:r>
      <w:proofErr w:type="spellEnd"/>
      <w:r w:rsidR="0023009D">
        <w:t xml:space="preserve"> </w:t>
      </w:r>
      <w:r w:rsidRPr="00826D4D">
        <w:t>class</w:t>
      </w:r>
      <w:r w:rsidR="0023009D">
        <w:t xml:space="preserve"> and prevent overfitting</w:t>
      </w:r>
      <w:r w:rsidRPr="00826D4D">
        <w:t xml:space="preserve">.  </w:t>
      </w:r>
    </w:p>
    <w:p w14:paraId="443BE261" w14:textId="77777777" w:rsidR="00826D4D" w:rsidRDefault="00826D4D" w:rsidP="00AE77EE">
      <w:pPr>
        <w:pStyle w:val="CaptionedFigure"/>
      </w:pPr>
      <w:r w:rsidRPr="00453F80">
        <w:rPr>
          <w:noProof/>
        </w:rPr>
        <w:drawing>
          <wp:inline distT="0" distB="0" distL="0" distR="0" wp14:anchorId="0548269C" wp14:editId="3BFDD988">
            <wp:extent cx="5334000" cy="3556000"/>
            <wp:effectExtent l="0" t="0" r="0" b="0"/>
            <wp:docPr id="3" name="Picture" descr="kmer" title="k-mer vs Accuracy"/>
            <wp:cNvGraphicFramePr/>
            <a:graphic xmlns:a="http://schemas.openxmlformats.org/drawingml/2006/main">
              <a:graphicData uri="http://schemas.openxmlformats.org/drawingml/2006/picture">
                <pic:pic xmlns:pic="http://schemas.openxmlformats.org/drawingml/2006/picture">
                  <pic:nvPicPr>
                    <pic:cNvPr id="0" name="Picture" descr="../Images/VaryingKmer.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48688997" w14:textId="77777777" w:rsidR="00826D4D" w:rsidRPr="00826D4D" w:rsidRDefault="00826D4D" w:rsidP="00AE77EE">
      <w:pPr>
        <w:pStyle w:val="Caption"/>
      </w:pPr>
      <w:bookmarkStart w:id="10" w:name="_Ref49241591"/>
      <w:r w:rsidRPr="00826D4D">
        <w:t xml:space="preserve">Figure </w:t>
      </w:r>
      <w:fldSimple w:instr=" SEQ Figure \* ARABIC ">
        <w:r w:rsidRPr="00826D4D">
          <w:t>4</w:t>
        </w:r>
      </w:fldSimple>
      <w:bookmarkEnd w:id="10"/>
      <w:r w:rsidRPr="00826D4D">
        <w:t>: The accuracy of the model for varying k-mer length k is depicted here. It can be seen that the model accuracy was maximum for k=11 in case of both train and test dataset</w:t>
      </w:r>
    </w:p>
    <w:p w14:paraId="2761F6BA" w14:textId="77777777" w:rsidR="00826D4D" w:rsidRDefault="00826D4D" w:rsidP="00AE77EE">
      <w:pPr>
        <w:pStyle w:val="CaptionedFigure"/>
      </w:pPr>
      <w:r w:rsidRPr="00453F80">
        <w:rPr>
          <w:noProof/>
        </w:rPr>
        <w:lastRenderedPageBreak/>
        <w:drawing>
          <wp:inline distT="0" distB="0" distL="0" distR="0" wp14:anchorId="148F0C5A" wp14:editId="4ED99948">
            <wp:extent cx="4504037" cy="3018481"/>
            <wp:effectExtent l="0" t="0" r="5080" b="4445"/>
            <wp:docPr id="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07452" cy="3020770"/>
                    </a:xfrm>
                    <a:prstGeom prst="rect">
                      <a:avLst/>
                    </a:prstGeom>
                    <a:noFill/>
                    <a:ln w="9525">
                      <a:noFill/>
                      <a:headEnd/>
                      <a:tailEnd/>
                    </a:ln>
                  </pic:spPr>
                </pic:pic>
              </a:graphicData>
            </a:graphic>
          </wp:inline>
        </w:drawing>
      </w:r>
    </w:p>
    <w:p w14:paraId="7442F5C3" w14:textId="77777777" w:rsidR="00826D4D" w:rsidRPr="00826D4D" w:rsidRDefault="00826D4D" w:rsidP="00AE77EE">
      <w:pPr>
        <w:pStyle w:val="Caption"/>
      </w:pPr>
      <w:bookmarkStart w:id="11" w:name="_Ref49241625"/>
      <w:r w:rsidRPr="00826D4D">
        <w:t xml:space="preserve">Figure </w:t>
      </w:r>
      <w:fldSimple w:instr=" SEQ Figure \* ARABIC ">
        <w:r w:rsidRPr="00826D4D">
          <w:t>5</w:t>
        </w:r>
      </w:fldSimple>
      <w:bookmarkEnd w:id="11"/>
      <w:r w:rsidRPr="00826D4D">
        <w:t>: Model training accuracy variance by changing the random seed</w:t>
      </w:r>
    </w:p>
    <w:p w14:paraId="41A1BA7C" w14:textId="77777777" w:rsidR="00826D4D" w:rsidRDefault="00826D4D" w:rsidP="00AE77EE">
      <w:pPr>
        <w:pStyle w:val="CaptionedFigure"/>
      </w:pPr>
      <w:r w:rsidRPr="00453F80">
        <w:rPr>
          <w:noProof/>
        </w:rPr>
        <w:drawing>
          <wp:inline distT="0" distB="0" distL="0" distR="0" wp14:anchorId="0CDA4F07" wp14:editId="2E167A4A">
            <wp:extent cx="5334000" cy="3556000"/>
            <wp:effectExtent l="0" t="0" r="0" b="0"/>
            <wp:docPr id="5"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747BED7A" w14:textId="77777777" w:rsidR="00826D4D" w:rsidRPr="00453F80" w:rsidRDefault="00826D4D" w:rsidP="00AE77EE">
      <w:pPr>
        <w:pStyle w:val="Caption"/>
        <w:rPr>
          <w:i/>
        </w:rPr>
      </w:pPr>
      <w:bookmarkStart w:id="12" w:name="_Ref49241727"/>
      <w:r>
        <w:t xml:space="preserve">Figure </w:t>
      </w:r>
      <w:fldSimple w:instr=" SEQ Figure \* ARABIC ">
        <w:r>
          <w:rPr>
            <w:noProof/>
          </w:rPr>
          <w:t>6</w:t>
        </w:r>
      </w:fldSimple>
      <w:bookmarkEnd w:id="12"/>
      <w:r>
        <w:t xml:space="preserve">: </w:t>
      </w:r>
      <w:r w:rsidRPr="003D2320">
        <w:t>Model test accuracy variance by changing the random seed</w:t>
      </w:r>
    </w:p>
    <w:p w14:paraId="06315364" w14:textId="77777777" w:rsidR="00826D4D" w:rsidRPr="00436DAA" w:rsidRDefault="00826D4D" w:rsidP="00AE77EE">
      <w:pPr>
        <w:pStyle w:val="Heading2"/>
      </w:pPr>
      <w:bookmarkStart w:id="13" w:name="future-work"/>
      <w:r w:rsidRPr="00436DAA">
        <w:t>Future Work</w:t>
      </w:r>
      <w:bookmarkEnd w:id="13"/>
    </w:p>
    <w:p w14:paraId="2D58E258" w14:textId="77777777" w:rsidR="00826D4D" w:rsidRPr="00DA4D08" w:rsidRDefault="00826D4D" w:rsidP="00AE77EE">
      <w:pPr>
        <w:pStyle w:val="BodyText"/>
      </w:pPr>
      <w:r w:rsidRPr="00DA4D08">
        <w:t>The model variance can be reduced by:</w:t>
      </w:r>
    </w:p>
    <w:p w14:paraId="45F01A97" w14:textId="77777777" w:rsidR="00826D4D" w:rsidRPr="00DA4D08" w:rsidRDefault="00826D4D" w:rsidP="00AE77EE">
      <w:pPr>
        <w:pStyle w:val="BodyText"/>
        <w:numPr>
          <w:ilvl w:val="0"/>
          <w:numId w:val="27"/>
        </w:numPr>
      </w:pPr>
      <w:r w:rsidRPr="00DA4D08">
        <w:lastRenderedPageBreak/>
        <w:t>Increasing the training set.</w:t>
      </w:r>
    </w:p>
    <w:p w14:paraId="2738FDC8" w14:textId="77777777" w:rsidR="00826D4D" w:rsidRPr="00DA4D08" w:rsidRDefault="00826D4D" w:rsidP="00AE77EE">
      <w:pPr>
        <w:pStyle w:val="BodyText"/>
        <w:numPr>
          <w:ilvl w:val="0"/>
          <w:numId w:val="27"/>
        </w:numPr>
      </w:pPr>
      <w:r w:rsidRPr="00DA4D08">
        <w:t>Adding relevant features.</w:t>
      </w:r>
    </w:p>
    <w:p w14:paraId="506C9CD9" w14:textId="77777777" w:rsidR="00826D4D" w:rsidRPr="00DA4D08" w:rsidRDefault="00826D4D" w:rsidP="00AE77EE">
      <w:pPr>
        <w:pStyle w:val="BodyText"/>
        <w:numPr>
          <w:ilvl w:val="0"/>
          <w:numId w:val="27"/>
        </w:numPr>
      </w:pPr>
      <w:r w:rsidRPr="00DA4D08">
        <w:t>Creating an ensemble model, where an ensemble consists of multiple models and each individual model is trained separately on the entire training set. Finally, their combined prediction is taken into account.</w:t>
      </w:r>
      <w:bookmarkStart w:id="14" w:name="addition-of-relevant-features"/>
    </w:p>
    <w:p w14:paraId="71CA1DB3" w14:textId="04AFA54B" w:rsidR="00826D4D" w:rsidRPr="00DA4D08" w:rsidRDefault="00826D4D" w:rsidP="00AE77EE">
      <w:pPr>
        <w:pStyle w:val="BodyText"/>
      </w:pPr>
      <w:r w:rsidRPr="00DA4D08">
        <w:t>While increasing the training set is beyond our control</w:t>
      </w:r>
      <w:r w:rsidR="001112AE">
        <w:t xml:space="preserve"> since we have exhaustively searched literature and databases for characterized TE</w:t>
      </w:r>
      <w:r w:rsidRPr="00DA4D08">
        <w:t>, we have discussed two other ways to decrease model variance and increase model performance.</w:t>
      </w:r>
    </w:p>
    <w:p w14:paraId="71E2594E" w14:textId="77777777" w:rsidR="00826D4D" w:rsidRPr="008B2CE7" w:rsidRDefault="00826D4D" w:rsidP="00DA10F2">
      <w:pPr>
        <w:pStyle w:val="Heading3"/>
      </w:pPr>
      <w:r w:rsidRPr="008B2CE7">
        <w:t>Addition of relevant features:</w:t>
      </w:r>
      <w:bookmarkEnd w:id="14"/>
    </w:p>
    <w:p w14:paraId="1388FA27" w14:textId="63FFEB77" w:rsidR="00826D4D" w:rsidRPr="00196649" w:rsidRDefault="00826D4D" w:rsidP="00AE77EE">
      <w:pPr>
        <w:pStyle w:val="BodyText"/>
      </w:pPr>
      <w:r>
        <w:t>We can add features to our model that are more relevant to our problem statement</w:t>
      </w:r>
      <w:r w:rsidR="00802660">
        <w:t xml:space="preserve"> and simultaneously have less dimensions</w:t>
      </w:r>
      <w:r>
        <w:t>. This can help reduce the model variance since these features will have greater ability to extract useful information from enzyme sequences</w:t>
      </w:r>
      <w:r w:rsidR="00802660">
        <w:t xml:space="preserve"> and also prevent overfitting due to lesser predictor parameters owing to its lower dimension</w:t>
      </w:r>
      <w:r>
        <w:t>. The following feature representations were discussed which can increase the accuracy score of our model:</w:t>
      </w:r>
    </w:p>
    <w:p w14:paraId="08F1648A" w14:textId="6BE7252B" w:rsidR="00826D4D" w:rsidRDefault="00826D4D" w:rsidP="00AE77EE">
      <w:pPr>
        <w:pStyle w:val="BodyText"/>
      </w:pPr>
      <w:r w:rsidRPr="00C827F9">
        <w:rPr>
          <w:b/>
          <w:bCs/>
        </w:rPr>
        <w:t>Grouped Amino Acid Composition (GAAC):</w:t>
      </w:r>
      <w:r>
        <w:t xml:space="preserve"> In GAAC encoding </w:t>
      </w:r>
      <w:r>
        <w:fldChar w:fldCharType="begin" w:fldLock="1"/>
      </w:r>
      <w:r w:rsidR="00802660">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4d6a8782-687b-4b91-912f-6f15ddc4e002"]}],"mendeley":{"formattedCitation":"[18]","plainTextFormattedCitation":"[18]","previouslyFormattedCitation":"[18]"},"properties":{"noteIndex":0},"schema":"https://github.com/citation-style-language/schema/raw/master/csl-citation.json"}</w:instrText>
      </w:r>
      <w:r>
        <w:fldChar w:fldCharType="separate"/>
      </w:r>
      <w:r w:rsidR="00802660" w:rsidRPr="00802660">
        <w:rPr>
          <w:noProof/>
        </w:rPr>
        <w:t>[18]</w:t>
      </w:r>
      <w:r>
        <w:fldChar w:fldCharType="end"/>
      </w:r>
      <w:r>
        <w:t xml:space="preserve">, the 20 amino acid types can be </w:t>
      </w:r>
      <w:r w:rsidRPr="00196649">
        <w:t>categorized into five classes according to their physicochemical properties, e.g. hydrophobicity, charge and molecular size. The five classes include the aliphatic group (</w:t>
      </w:r>
      <w:r w:rsidRPr="00196649">
        <w:rPr>
          <w:i/>
        </w:rPr>
        <w:t>g1</w:t>
      </w:r>
      <w:r w:rsidRPr="00196649">
        <w:t>: GAVLMI), aromatic group (</w:t>
      </w:r>
      <w:r w:rsidRPr="00196649">
        <w:rPr>
          <w:i/>
        </w:rPr>
        <w:t>g2</w:t>
      </w:r>
      <w:r w:rsidRPr="00196649">
        <w:t>: FYW), positive charge group (</w:t>
      </w:r>
      <w:r w:rsidRPr="00196649">
        <w:rPr>
          <w:i/>
        </w:rPr>
        <w:t>g3</w:t>
      </w:r>
      <w:r w:rsidRPr="00196649">
        <w:t>: KRH), negative charged group (</w:t>
      </w:r>
      <w:r w:rsidRPr="00196649">
        <w:rPr>
          <w:i/>
        </w:rPr>
        <w:t>g4</w:t>
      </w:r>
      <w:r w:rsidRPr="00196649">
        <w:t>: DE) and uncharged group (</w:t>
      </w:r>
      <w:r w:rsidRPr="00196649">
        <w:rPr>
          <w:i/>
        </w:rPr>
        <w:t>g5</w:t>
      </w:r>
      <w:r w:rsidRPr="00196649">
        <w:t>: STCPNQ). GAAC descriptor is the frequency of each amino acid group, which is defined as:</w:t>
      </w:r>
    </w:p>
    <w:p w14:paraId="2FAAC8B7" w14:textId="77777777" w:rsidR="00826D4D" w:rsidRPr="00196649" w:rsidRDefault="00826D4D" w:rsidP="00AE77EE">
      <w:pPr>
        <w:pStyle w:val="BodyText"/>
      </w:pPr>
      <m:oMathPara>
        <m:oMath>
          <m:r>
            <w:rPr>
              <w:rFonts w:ascii="Cambria Math" w:hAnsi="Cambria Math"/>
            </w:rPr>
            <m:t>f</m:t>
          </m:r>
          <m:d>
            <m:dPr>
              <m:ctrlPr>
                <w:rPr>
                  <w:rFonts w:ascii="Cambria Math" w:hAnsi="Cambria Math"/>
                </w:rPr>
              </m:ctrlPr>
            </m:dPr>
            <m:e>
              <m:r>
                <w:rPr>
                  <w:rFonts w:ascii="Cambria Math" w:hAnsi="Cambria Math"/>
                </w:rPr>
                <m:t>g</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g</m:t>
                  </m:r>
                </m:e>
              </m:d>
            </m:num>
            <m:den>
              <m:r>
                <w:rPr>
                  <w:rFonts w:ascii="Cambria Math" w:hAnsi="Cambria Math"/>
                </w:rPr>
                <m:t>N</m:t>
              </m:r>
            </m:den>
          </m:f>
          <m:r>
            <m:rPr>
              <m:sty m:val="p"/>
            </m:rPr>
            <w:rPr>
              <w:rFonts w:ascii="Cambria Math" w:hAnsi="Cambria Math"/>
            </w:rPr>
            <m:t xml:space="preserve">,     </m:t>
          </m:r>
          <m:r>
            <w:rPr>
              <w:rFonts w:ascii="Cambria Math" w:hAnsi="Cambria Math"/>
            </w:rPr>
            <m:t>g</m:t>
          </m:r>
          <m:r>
            <m:rPr>
              <m:sty m:val="p"/>
            </m:rPr>
            <w:rPr>
              <w:rFonts w:ascii="Cambria Math" w:hAnsi="Cambria Math"/>
            </w:rPr>
            <m:t>∈</m:t>
          </m:r>
          <m:d>
            <m:dPr>
              <m:begChr m:val="{"/>
              <m:endChr m:val="}"/>
              <m:ctrlPr>
                <w:rPr>
                  <w:rFonts w:ascii="Cambria Math" w:hAnsi="Cambria Math"/>
                </w:rPr>
              </m:ctrlPr>
            </m:dPr>
            <m:e>
              <m:r>
                <w:rPr>
                  <w:rFonts w:ascii="Cambria Math" w:hAnsi="Cambria Math"/>
                </w:rPr>
                <m:t>g</m:t>
              </m:r>
              <m:r>
                <m:rPr>
                  <m:sty m:val="p"/>
                </m:rPr>
                <w:rPr>
                  <w:rFonts w:ascii="Cambria Math" w:hAnsi="Cambria Math"/>
                </w:rPr>
                <m:t>1,</m:t>
              </m:r>
              <m:r>
                <w:rPr>
                  <w:rFonts w:ascii="Cambria Math" w:hAnsi="Cambria Math"/>
                </w:rPr>
                <m:t>g</m:t>
              </m:r>
              <m:r>
                <m:rPr>
                  <m:sty m:val="p"/>
                </m:rPr>
                <w:rPr>
                  <w:rFonts w:ascii="Cambria Math" w:hAnsi="Cambria Math"/>
                </w:rPr>
                <m:t>2,</m:t>
              </m:r>
              <m:r>
                <w:rPr>
                  <w:rFonts w:ascii="Cambria Math" w:hAnsi="Cambria Math"/>
                </w:rPr>
                <m:t>g</m:t>
              </m:r>
              <m:r>
                <m:rPr>
                  <m:sty m:val="p"/>
                </m:rPr>
                <w:rPr>
                  <w:rFonts w:ascii="Cambria Math" w:hAnsi="Cambria Math"/>
                </w:rPr>
                <m:t>3,</m:t>
              </m:r>
              <m:r>
                <w:rPr>
                  <w:rFonts w:ascii="Cambria Math" w:hAnsi="Cambria Math"/>
                </w:rPr>
                <m:t>g</m:t>
              </m:r>
              <m:r>
                <m:rPr>
                  <m:sty m:val="p"/>
                </m:rPr>
                <w:rPr>
                  <w:rFonts w:ascii="Cambria Math" w:hAnsi="Cambria Math"/>
                </w:rPr>
                <m:t>4,</m:t>
              </m:r>
              <m:r>
                <w:rPr>
                  <w:rFonts w:ascii="Cambria Math" w:hAnsi="Cambria Math"/>
                </w:rPr>
                <m:t>g</m:t>
              </m:r>
              <m:r>
                <m:rPr>
                  <m:sty m:val="p"/>
                </m:rPr>
                <w:rPr>
                  <w:rFonts w:ascii="Cambria Math" w:hAnsi="Cambria Math"/>
                </w:rPr>
                <m:t>5</m:t>
              </m:r>
            </m:e>
          </m:d>
        </m:oMath>
      </m:oMathPara>
    </w:p>
    <w:p w14:paraId="45E2F25E" w14:textId="77777777" w:rsidR="00826D4D" w:rsidRPr="00196649" w:rsidRDefault="00826D4D" w:rsidP="00AE77EE">
      <w:pPr>
        <w:pStyle w:val="BodyText"/>
      </w:pPr>
      <m:oMathPara>
        <m:oMath>
          <m:r>
            <w:rPr>
              <w:rFonts w:ascii="Cambria Math" w:hAnsi="Cambria Math"/>
              <w:noProof/>
            </w:rPr>
            <m:t>N</m:t>
          </m:r>
          <m:d>
            <m:dPr>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w:rPr>
                      <w:rFonts w:ascii="Cambria Math" w:hAnsi="Cambria Math"/>
                      <w:noProof/>
                    </w:rPr>
                    <m:t>t</m:t>
                  </m:r>
                </m:sub>
              </m:sSub>
            </m:e>
          </m:d>
          <m:r>
            <m:rPr>
              <m:sty m:val="p"/>
            </m:rPr>
            <w:rPr>
              <w:rFonts w:ascii="Cambria Math" w:hAnsi="Cambria Math"/>
              <w:noProof/>
            </w:rPr>
            <m:t>=</m:t>
          </m:r>
          <m:nary>
            <m:naryPr>
              <m:chr m:val="∑"/>
              <m:subHide m:val="1"/>
              <m:supHide m:val="1"/>
              <m:ctrlPr>
                <w:rPr>
                  <w:rFonts w:ascii="Cambria Math" w:hAnsi="Cambria Math"/>
                  <w:noProof/>
                </w:rPr>
              </m:ctrlPr>
            </m:naryPr>
            <m:sub/>
            <m:sup/>
            <m:e>
              <m:r>
                <w:rPr>
                  <w:rFonts w:ascii="Cambria Math" w:hAnsi="Cambria Math"/>
                  <w:noProof/>
                </w:rPr>
                <m:t>N</m:t>
              </m:r>
              <m:d>
                <m:dPr>
                  <m:ctrlPr>
                    <w:rPr>
                      <w:rFonts w:ascii="Cambria Math" w:hAnsi="Cambria Math"/>
                      <w:noProof/>
                    </w:rPr>
                  </m:ctrlPr>
                </m:dPr>
                <m:e>
                  <m:r>
                    <w:rPr>
                      <w:rFonts w:ascii="Cambria Math" w:hAnsi="Cambria Math"/>
                      <w:noProof/>
                    </w:rPr>
                    <m:t>t</m:t>
                  </m:r>
                </m:e>
              </m:d>
            </m:e>
          </m:nary>
          <m:r>
            <m:rPr>
              <m:sty m:val="p"/>
            </m:rPr>
            <w:rPr>
              <w:rFonts w:ascii="Cambria Math" w:hAnsi="Cambria Math"/>
              <w:noProof/>
            </w:rPr>
            <m:t xml:space="preserve">,    </m:t>
          </m:r>
          <m:r>
            <w:rPr>
              <w:rFonts w:ascii="Cambria Math" w:hAnsi="Cambria Math"/>
              <w:noProof/>
            </w:rPr>
            <m:t>t</m:t>
          </m:r>
          <m:r>
            <m:rPr>
              <m:sty m:val="p"/>
            </m:rPr>
            <w:rPr>
              <w:rFonts w:ascii="Cambria Math" w:hAnsi="Cambria Math"/>
              <w:noProof/>
            </w:rPr>
            <m:t>∈</m:t>
          </m:r>
          <m:r>
            <w:rPr>
              <w:rFonts w:ascii="Cambria Math" w:hAnsi="Cambria Math"/>
              <w:noProof/>
            </w:rPr>
            <m:t>g</m:t>
          </m:r>
        </m:oMath>
      </m:oMathPara>
    </w:p>
    <w:p w14:paraId="2E78CA7B" w14:textId="415563DF" w:rsidR="00826D4D" w:rsidRPr="00196649" w:rsidRDefault="00826D4D" w:rsidP="00AE77EE">
      <w:pPr>
        <w:pStyle w:val="BodyText"/>
      </w:pPr>
      <w:r w:rsidRPr="00196649">
        <w:t xml:space="preserve">where </w:t>
      </w:r>
      <w:r w:rsidRPr="00196649">
        <w:rPr>
          <w:i/>
        </w:rPr>
        <w:t>N(g)</w:t>
      </w:r>
      <w:r w:rsidRPr="00196649">
        <w:t xml:space="preserve"> is the number of amino acids in group </w:t>
      </w:r>
      <w:r w:rsidRPr="00196649">
        <w:rPr>
          <w:i/>
        </w:rPr>
        <w:t>g</w:t>
      </w:r>
      <w:r w:rsidRPr="00196649">
        <w:t xml:space="preserve">, </w:t>
      </w:r>
      <w:r w:rsidRPr="00196649">
        <w:rPr>
          <w:i/>
        </w:rPr>
        <w:t>N(t)</w:t>
      </w:r>
      <w:r w:rsidRPr="00196649">
        <w:t xml:space="preserve"> is the number of amino acid type </w:t>
      </w:r>
      <w:r w:rsidRPr="00196649">
        <w:rPr>
          <w:i/>
        </w:rPr>
        <w:t>t,</w:t>
      </w:r>
      <w:r w:rsidR="00C827F9">
        <w:t xml:space="preserve"> </w:t>
      </w:r>
      <w:r w:rsidRPr="00196649">
        <w:t xml:space="preserve">and </w:t>
      </w:r>
      <w:r w:rsidRPr="00196649">
        <w:rPr>
          <w:i/>
        </w:rPr>
        <w:t>N</w:t>
      </w:r>
      <w:r w:rsidRPr="00196649">
        <w:t xml:space="preserve"> is the length of the protein/peptide sequence.</w:t>
      </w:r>
      <w:r>
        <w:t xml:space="preserve"> </w:t>
      </w:r>
      <w:r w:rsidR="001112AE">
        <w:t>This</w:t>
      </w:r>
      <w:r>
        <w:t xml:space="preserve"> new group encoding</w:t>
      </w:r>
      <w:r w:rsidR="001112AE">
        <w:t xml:space="preserve"> can be used along with</w:t>
      </w:r>
      <w:r>
        <w:t xml:space="preserve"> k-mer motif builder described above. Grouping reduces the feature space because multiple amino acids will count as one and the total number of common motifs will increase. This results in reduction of the number of predictor parameters which can increase the generalization ability of the model. </w:t>
      </w:r>
    </w:p>
    <w:p w14:paraId="6AFC8B5A" w14:textId="289459FC" w:rsidR="00826D4D" w:rsidRDefault="00826D4D" w:rsidP="00AE77EE">
      <w:pPr>
        <w:pStyle w:val="BodyText"/>
      </w:pPr>
      <w:r w:rsidRPr="00C827F9">
        <w:rPr>
          <w:b/>
          <w:bCs/>
        </w:rPr>
        <w:t>Composition/Transition/Distribution (CTD):</w:t>
      </w:r>
      <w:r>
        <w:t xml:space="preserve">  </w:t>
      </w:r>
      <w:r w:rsidRPr="00A70910">
        <w:t>The Composition, Transition and Distribution (CTD) features represent the amino acid distribution patterns of a specific structural or physicochemical property in a protein or peptide sequence</w:t>
      </w:r>
      <w:r>
        <w:t xml:space="preserve"> </w:t>
      </w:r>
      <w:r>
        <w:fldChar w:fldCharType="begin" w:fldLock="1"/>
      </w:r>
      <w:r w:rsidR="00802660">
        <w:instrText>ADDIN CSL_CITATION {"citationItems":[{"id":"ITEM-1","itemData":{"DOI":"10.1002/(SICI)1097-0134(19990601)35:4&lt;401::AID-PROT3&gt;3.0.CO;2-K","ISSN":"08873585","PMID":"10382667","abstract":"A computational method has been developed for the assignment of a protein sequence to a folding class in the Structural Classification of Proteins (SCOP). This method uses global descriptors of a primary protein sequence in terms of the physical, chemical, and structural properties of the constituent amino acids. Neural networks are utilized to combine these descriptors in a way to discriminate members of a given fold from members of all other folds. An extensive testing of the method has been performed to evaluate its prediction accuracy. The method is applicable for the fold assignment of any protein sequence with or without significant sequence homology to known proteins. A WWW page for predicting protein folds is available at URL http://cbcg.lbl.gov/.","author":[{"dropping-particle":"","family":"Dubchak","given":"Inna","non-dropping-particle":"","parse-names":false,"suffix":""},{"dropping-particle":"","family":"Muchnik","given":"Ilya","non-dropping-particle":"","parse-names":false,"suffix":""},{"dropping-particle":"","family":"Mayor","given":"Christopher","non-dropping-particle":"","parse-names":false,"suffix":""},{"dropping-particle":"","family":"Dralyuk","given":"Igor","non-dropping-particle":"","parse-names":false,"suffix":""},{"dropping-particle":"","family":"Kim","given":"Sung Hou","non-dropping-particle":"","parse-names":false,"suffix":""}],"container-title":"Proteins: Structure, Function and Genetics","id":"ITEM-1","issued":{"date-parts":[["1999"]]},"title":"Recognition of a protein fold in the context of the SCOP classification","type":"article-journal"},"uris":["http://www.mendeley.com/documents/?uuid=8dc8f3cb-403c-421b-b1e3-3f93ccdd41c0"]}],"mendeley":{"formattedCitation":"[19]","plainTextFormattedCitation":"[19]","previouslyFormattedCitation":"[19]"},"properties":{"noteIndex":0},"schema":"https://github.com/citation-style-language/schema/raw/master/csl-citation.json"}</w:instrText>
      </w:r>
      <w:r>
        <w:fldChar w:fldCharType="separate"/>
      </w:r>
      <w:r w:rsidR="00802660" w:rsidRPr="00802660">
        <w:rPr>
          <w:noProof/>
        </w:rPr>
        <w:t>[19]</w:t>
      </w:r>
      <w:r>
        <w:fldChar w:fldCharType="end"/>
      </w:r>
      <w:r w:rsidRPr="00A70910">
        <w:t xml:space="preserve">. </w:t>
      </w:r>
      <w:r>
        <w:t xml:space="preserve">Seven </w:t>
      </w:r>
      <w:r w:rsidRPr="00A70910">
        <w:t>types of physicochemical properties have been previously used for computing these features. These include hydrophobicity, normalized Van der Waals Volume, polarity, polarizability, charge, secondary structures and solvent accessibility. These descriptors are calculated according to the following procedures: (</w:t>
      </w:r>
      <w:proofErr w:type="spellStart"/>
      <w:r w:rsidRPr="00A70910">
        <w:t>i</w:t>
      </w:r>
      <w:proofErr w:type="spellEnd"/>
      <w:r w:rsidRPr="00A70910">
        <w:t xml:space="preserve">) Twenty amino acids are divided into three groups for each of the seven different physicochemical attributes based on the main clusters of the amino acid indices of </w:t>
      </w:r>
      <w:proofErr w:type="spellStart"/>
      <w:r w:rsidRPr="00A70910">
        <w:t>Tomii</w:t>
      </w:r>
      <w:proofErr w:type="spellEnd"/>
      <w:r w:rsidRPr="00A70910">
        <w:t xml:space="preserve"> and </w:t>
      </w:r>
      <w:proofErr w:type="spellStart"/>
      <w:r w:rsidRPr="00A70910">
        <w:t>Kanehisa</w:t>
      </w:r>
      <w:proofErr w:type="spellEnd"/>
      <w:r>
        <w:t xml:space="preserve"> </w:t>
      </w:r>
      <w:r>
        <w:fldChar w:fldCharType="begin" w:fldLock="1"/>
      </w:r>
      <w:r w:rsidR="00802660">
        <w:instrText>ADDIN CSL_CITATION {"citationItems":[{"id":"ITEM-1","itemData":{"DOI":"10.1093/protein/9.1.27","ISSN":"02692139","PMID":"9053899","abstract":"An amino acid index is a set of 20 numerical values representing any of the different physicochemical and biochemical properties of amino acids. As a follow-up to the previous study, we have increased the size of the database, which currently contains 402 published indices, and re-performed the single-linkage cluster analysis. The results basically confirmed the previous findings. Another important feature of amino acids that can be represented numerically is the similarity between them. Thus, a similarity matrix, also called a mutation matrix, is a set of 20 x 20 numerical values used for protein sequence alignments and similarity searches. We have collected 42 published matrices, performed hierarchical cluster analyses and identified several clusters corresponding to the nature of the data set and the method used for constructing the mutation matrix. Further, we have tried to reproduce each mutation matrix by the combination of amino acid indices in order to understand which properties of amino acids are reflected most. There was a relationship between the PAM units of Dayhoff's mutation matrix and the volume and hydrophobicity of amino acids. The database of 402 amino acid indices and 42 amino acid mutation matrices is made publicly available on the Internet.","author":[{"dropping-particle":"","family":"Tomii","given":"Kentaro","non-dropping-particle":"","parse-names":false,"suffix":""},{"dropping-particle":"","family":"Kanehisa","given":"Minoru","non-dropping-particle":"","parse-names":false,"suffix":""}],"container-title":"Protein Engineering","id":"ITEM-1","issued":{"date-parts":[["1996"]]},"title":"Analysis of amino acid indices and mutation matrices for sequence comparison and structure prediction of proteins","type":"article-journal"},"uris":["http://www.mendeley.com/documents/?uuid=2ce90993-d2a5-4b1b-9f95-9e8c045b69a9"]}],"mendeley":{"formattedCitation":"[20]","plainTextFormattedCitation":"[20]","previouslyFormattedCitation":"[20]"},"properties":{"noteIndex":0},"schema":"https://github.com/citation-style-language/schema/raw/master/csl-citation.json"}</w:instrText>
      </w:r>
      <w:r>
        <w:fldChar w:fldCharType="separate"/>
      </w:r>
      <w:r w:rsidR="00802660" w:rsidRPr="00802660">
        <w:rPr>
          <w:noProof/>
        </w:rPr>
        <w:t>[20]</w:t>
      </w:r>
      <w:r>
        <w:fldChar w:fldCharType="end"/>
      </w:r>
      <w:r>
        <w:t xml:space="preserve">. </w:t>
      </w:r>
      <w:r w:rsidRPr="00A70910">
        <w:t xml:space="preserve"> (ii) </w:t>
      </w:r>
      <w:r w:rsidRPr="00A70910">
        <w:lastRenderedPageBreak/>
        <w:t>The sequence of amino acids is transformed into a sequence of certain structural or physicochemical properties of residues.</w:t>
      </w:r>
      <w:r>
        <w:t xml:space="preserve"> The groups of amino acids are listed in Table 1. The feature creation technique is described below:</w:t>
      </w:r>
    </w:p>
    <w:p w14:paraId="757ADE26" w14:textId="77777777" w:rsidR="00826D4D" w:rsidRPr="009D2730" w:rsidRDefault="00826D4D" w:rsidP="00AE77EE">
      <w:pPr>
        <w:pStyle w:val="Caption"/>
      </w:pPr>
      <w:r>
        <w:t xml:space="preserve">Table </w:t>
      </w:r>
      <w:fldSimple w:instr=" SEQ Table \* ARABIC ">
        <w:r>
          <w:rPr>
            <w:noProof/>
          </w:rPr>
          <w:t>1</w:t>
        </w:r>
      </w:fldSimple>
      <w:r>
        <w:t xml:space="preserve">: </w:t>
      </w:r>
      <w:r w:rsidRPr="003A16C3">
        <w:t>Amino acid physicochemical attributes and the division of the amino acids into three groups according to each attribute.</w:t>
      </w:r>
    </w:p>
    <w:tbl>
      <w:tblPr>
        <w:tblStyle w:val="TableGrid"/>
        <w:tblW w:w="97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1708"/>
        <w:gridCol w:w="2347"/>
        <w:gridCol w:w="2600"/>
      </w:tblGrid>
      <w:tr w:rsidR="00826D4D" w:rsidRPr="00192FE2" w14:paraId="5C292A3F" w14:textId="77777777" w:rsidTr="00826D4D">
        <w:trPr>
          <w:jc w:val="center"/>
        </w:trPr>
        <w:tc>
          <w:tcPr>
            <w:tcW w:w="3085" w:type="dxa"/>
            <w:tcBorders>
              <w:top w:val="single" w:sz="4" w:space="0" w:color="auto"/>
              <w:bottom w:val="single" w:sz="4" w:space="0" w:color="auto"/>
            </w:tcBorders>
          </w:tcPr>
          <w:p w14:paraId="05A94BB9" w14:textId="77777777" w:rsidR="00826D4D" w:rsidRPr="00192FE2" w:rsidRDefault="00826D4D" w:rsidP="00AE77EE">
            <w:pPr>
              <w:pStyle w:val="Compact"/>
            </w:pPr>
            <w:r w:rsidRPr="00192FE2">
              <w:rPr>
                <w:rFonts w:hint="eastAsia"/>
              </w:rPr>
              <w:t>Attribute</w:t>
            </w:r>
          </w:p>
        </w:tc>
        <w:tc>
          <w:tcPr>
            <w:tcW w:w="6655" w:type="dxa"/>
            <w:gridSpan w:val="3"/>
            <w:tcBorders>
              <w:top w:val="single" w:sz="4" w:space="0" w:color="auto"/>
              <w:bottom w:val="single" w:sz="4" w:space="0" w:color="auto"/>
            </w:tcBorders>
          </w:tcPr>
          <w:p w14:paraId="4ACAABAF" w14:textId="77777777" w:rsidR="00826D4D" w:rsidRPr="00192FE2" w:rsidRDefault="00826D4D" w:rsidP="00AE77EE">
            <w:pPr>
              <w:pStyle w:val="Compact"/>
            </w:pPr>
            <w:r w:rsidRPr="00192FE2">
              <w:t>Division</w:t>
            </w:r>
          </w:p>
        </w:tc>
      </w:tr>
      <w:tr w:rsidR="00826D4D" w:rsidRPr="00192FE2" w14:paraId="4B06FC7C" w14:textId="77777777" w:rsidTr="00826D4D">
        <w:trPr>
          <w:jc w:val="center"/>
        </w:trPr>
        <w:tc>
          <w:tcPr>
            <w:tcW w:w="3085" w:type="dxa"/>
            <w:tcBorders>
              <w:top w:val="single" w:sz="4" w:space="0" w:color="auto"/>
              <w:bottom w:val="nil"/>
            </w:tcBorders>
          </w:tcPr>
          <w:p w14:paraId="32468C47" w14:textId="77777777" w:rsidR="00826D4D" w:rsidRPr="00192FE2" w:rsidRDefault="00826D4D" w:rsidP="00AE77EE">
            <w:pPr>
              <w:pStyle w:val="Compact"/>
            </w:pPr>
            <w:r w:rsidRPr="00192FE2">
              <w:t>Hydrophobicity</w:t>
            </w:r>
          </w:p>
        </w:tc>
        <w:tc>
          <w:tcPr>
            <w:tcW w:w="1708" w:type="dxa"/>
            <w:tcBorders>
              <w:top w:val="single" w:sz="4" w:space="0" w:color="auto"/>
              <w:bottom w:val="nil"/>
            </w:tcBorders>
          </w:tcPr>
          <w:p w14:paraId="57804E04" w14:textId="77777777" w:rsidR="00826D4D" w:rsidRPr="00192FE2" w:rsidRDefault="00826D4D" w:rsidP="00AE77EE">
            <w:pPr>
              <w:pStyle w:val="Compact"/>
            </w:pPr>
            <w:r w:rsidRPr="00192FE2">
              <w:t>Polar: RKEDQN</w:t>
            </w:r>
          </w:p>
        </w:tc>
        <w:tc>
          <w:tcPr>
            <w:tcW w:w="2347" w:type="dxa"/>
            <w:tcBorders>
              <w:top w:val="single" w:sz="4" w:space="0" w:color="auto"/>
              <w:bottom w:val="nil"/>
            </w:tcBorders>
          </w:tcPr>
          <w:p w14:paraId="703DE191" w14:textId="77777777" w:rsidR="00826D4D" w:rsidRPr="00192FE2" w:rsidRDefault="00826D4D" w:rsidP="00AE77EE">
            <w:pPr>
              <w:pStyle w:val="Compact"/>
            </w:pPr>
            <w:r w:rsidRPr="00192FE2">
              <w:t>Neutral: GASTPHY</w:t>
            </w:r>
          </w:p>
        </w:tc>
        <w:tc>
          <w:tcPr>
            <w:tcW w:w="2600" w:type="dxa"/>
            <w:tcBorders>
              <w:top w:val="single" w:sz="4" w:space="0" w:color="auto"/>
              <w:bottom w:val="nil"/>
            </w:tcBorders>
          </w:tcPr>
          <w:p w14:paraId="11036A05" w14:textId="77777777" w:rsidR="00826D4D" w:rsidRPr="00192FE2" w:rsidRDefault="00826D4D" w:rsidP="00AE77EE">
            <w:pPr>
              <w:pStyle w:val="Compact"/>
            </w:pPr>
            <w:r w:rsidRPr="00192FE2">
              <w:t>Hydrophobicity: CLVIMFW</w:t>
            </w:r>
          </w:p>
        </w:tc>
      </w:tr>
      <w:tr w:rsidR="00826D4D" w:rsidRPr="00192FE2" w14:paraId="7D034965" w14:textId="77777777" w:rsidTr="00826D4D">
        <w:trPr>
          <w:jc w:val="center"/>
        </w:trPr>
        <w:tc>
          <w:tcPr>
            <w:tcW w:w="3085" w:type="dxa"/>
            <w:tcBorders>
              <w:top w:val="nil"/>
            </w:tcBorders>
          </w:tcPr>
          <w:p w14:paraId="66110380" w14:textId="77777777" w:rsidR="00826D4D" w:rsidRPr="00192FE2" w:rsidRDefault="00826D4D" w:rsidP="00AE77EE">
            <w:pPr>
              <w:pStyle w:val="Compact"/>
            </w:pPr>
            <w:r w:rsidRPr="00192FE2">
              <w:t>Normalized van der Waals volume</w:t>
            </w:r>
          </w:p>
        </w:tc>
        <w:tc>
          <w:tcPr>
            <w:tcW w:w="1708" w:type="dxa"/>
            <w:tcBorders>
              <w:top w:val="nil"/>
            </w:tcBorders>
          </w:tcPr>
          <w:p w14:paraId="35C03944" w14:textId="77777777" w:rsidR="00826D4D" w:rsidRPr="00192FE2" w:rsidRDefault="00826D4D" w:rsidP="00AE77EE">
            <w:pPr>
              <w:pStyle w:val="Compact"/>
            </w:pPr>
            <w:r w:rsidRPr="00192FE2">
              <w:t>Volume range: 0-2.78</w:t>
            </w:r>
          </w:p>
          <w:p w14:paraId="2A61B188" w14:textId="77777777" w:rsidR="00826D4D" w:rsidRPr="00192FE2" w:rsidRDefault="00826D4D" w:rsidP="00AE77EE">
            <w:pPr>
              <w:pStyle w:val="Compact"/>
            </w:pPr>
            <w:r w:rsidRPr="00192FE2">
              <w:t>GASTPD</w:t>
            </w:r>
          </w:p>
        </w:tc>
        <w:tc>
          <w:tcPr>
            <w:tcW w:w="2347" w:type="dxa"/>
            <w:tcBorders>
              <w:top w:val="nil"/>
            </w:tcBorders>
          </w:tcPr>
          <w:p w14:paraId="00E4815B" w14:textId="77777777" w:rsidR="00826D4D" w:rsidRPr="00192FE2" w:rsidRDefault="00826D4D" w:rsidP="00AE77EE">
            <w:pPr>
              <w:pStyle w:val="Compact"/>
            </w:pPr>
            <w:r w:rsidRPr="00192FE2">
              <w:t>Volume range: 2.95-94.0</w:t>
            </w:r>
          </w:p>
          <w:p w14:paraId="59433675" w14:textId="77777777" w:rsidR="00826D4D" w:rsidRPr="00192FE2" w:rsidRDefault="00826D4D" w:rsidP="00AE77EE">
            <w:pPr>
              <w:pStyle w:val="Compact"/>
            </w:pPr>
            <w:r w:rsidRPr="00192FE2">
              <w:t>NVEQIL</w:t>
            </w:r>
          </w:p>
        </w:tc>
        <w:tc>
          <w:tcPr>
            <w:tcW w:w="2600" w:type="dxa"/>
            <w:tcBorders>
              <w:top w:val="nil"/>
            </w:tcBorders>
          </w:tcPr>
          <w:p w14:paraId="028CFB67" w14:textId="77777777" w:rsidR="00826D4D" w:rsidRPr="00192FE2" w:rsidRDefault="00826D4D" w:rsidP="00AE77EE">
            <w:pPr>
              <w:pStyle w:val="Compact"/>
            </w:pPr>
            <w:r w:rsidRPr="00192FE2">
              <w:t>Volume range: 4.03-8.08</w:t>
            </w:r>
          </w:p>
          <w:p w14:paraId="759555A3" w14:textId="77777777" w:rsidR="00826D4D" w:rsidRPr="00192FE2" w:rsidRDefault="00826D4D" w:rsidP="00AE77EE">
            <w:pPr>
              <w:pStyle w:val="Compact"/>
            </w:pPr>
            <w:r w:rsidRPr="00192FE2">
              <w:t>MHKFRYW</w:t>
            </w:r>
          </w:p>
        </w:tc>
      </w:tr>
      <w:tr w:rsidR="00826D4D" w:rsidRPr="00192FE2" w14:paraId="6BFF4C03" w14:textId="77777777" w:rsidTr="00826D4D">
        <w:trPr>
          <w:jc w:val="center"/>
        </w:trPr>
        <w:tc>
          <w:tcPr>
            <w:tcW w:w="3085" w:type="dxa"/>
          </w:tcPr>
          <w:p w14:paraId="0223B04A" w14:textId="77777777" w:rsidR="00826D4D" w:rsidRPr="00192FE2" w:rsidRDefault="00826D4D" w:rsidP="00AE77EE">
            <w:pPr>
              <w:pStyle w:val="Compact"/>
            </w:pPr>
            <w:r w:rsidRPr="00192FE2">
              <w:t>Polarity</w:t>
            </w:r>
          </w:p>
        </w:tc>
        <w:tc>
          <w:tcPr>
            <w:tcW w:w="1708" w:type="dxa"/>
          </w:tcPr>
          <w:p w14:paraId="2E2EBF75" w14:textId="77777777" w:rsidR="00826D4D" w:rsidRPr="00192FE2" w:rsidRDefault="00826D4D" w:rsidP="00AE77EE">
            <w:pPr>
              <w:pStyle w:val="Compact"/>
            </w:pPr>
            <w:r w:rsidRPr="00192FE2">
              <w:t>Polarity value: 4.9-6.2</w:t>
            </w:r>
          </w:p>
          <w:p w14:paraId="5273A44D" w14:textId="77777777" w:rsidR="00826D4D" w:rsidRPr="00192FE2" w:rsidRDefault="00826D4D" w:rsidP="00AE77EE">
            <w:pPr>
              <w:pStyle w:val="Compact"/>
            </w:pPr>
            <w:r w:rsidRPr="00192FE2">
              <w:t>LIFWCMVY</w:t>
            </w:r>
          </w:p>
        </w:tc>
        <w:tc>
          <w:tcPr>
            <w:tcW w:w="2347" w:type="dxa"/>
          </w:tcPr>
          <w:p w14:paraId="397302AD" w14:textId="77777777" w:rsidR="00826D4D" w:rsidRPr="00192FE2" w:rsidRDefault="00826D4D" w:rsidP="00AE77EE">
            <w:pPr>
              <w:pStyle w:val="Compact"/>
            </w:pPr>
            <w:r w:rsidRPr="00192FE2">
              <w:t>Polarity value: 8.0-9.2</w:t>
            </w:r>
          </w:p>
          <w:p w14:paraId="0C3A857C" w14:textId="77777777" w:rsidR="00826D4D" w:rsidRPr="00192FE2" w:rsidRDefault="00826D4D" w:rsidP="00AE77EE">
            <w:pPr>
              <w:pStyle w:val="Compact"/>
            </w:pPr>
            <w:r w:rsidRPr="00192FE2">
              <w:t>PATGS</w:t>
            </w:r>
          </w:p>
        </w:tc>
        <w:tc>
          <w:tcPr>
            <w:tcW w:w="2600" w:type="dxa"/>
          </w:tcPr>
          <w:p w14:paraId="3C1FA955" w14:textId="77777777" w:rsidR="00826D4D" w:rsidRPr="00192FE2" w:rsidRDefault="00826D4D" w:rsidP="00AE77EE">
            <w:pPr>
              <w:pStyle w:val="Compact"/>
            </w:pPr>
            <w:r w:rsidRPr="00192FE2">
              <w:t>Polarity value: 10.4-13.0</w:t>
            </w:r>
          </w:p>
          <w:p w14:paraId="25B00011" w14:textId="77777777" w:rsidR="00826D4D" w:rsidRPr="00192FE2" w:rsidRDefault="00826D4D" w:rsidP="00AE77EE">
            <w:pPr>
              <w:pStyle w:val="Compact"/>
            </w:pPr>
            <w:r w:rsidRPr="00192FE2">
              <w:t>HQRKNED</w:t>
            </w:r>
          </w:p>
        </w:tc>
      </w:tr>
      <w:tr w:rsidR="00826D4D" w:rsidRPr="00192FE2" w14:paraId="404A9140" w14:textId="77777777" w:rsidTr="00826D4D">
        <w:trPr>
          <w:jc w:val="center"/>
        </w:trPr>
        <w:tc>
          <w:tcPr>
            <w:tcW w:w="3085" w:type="dxa"/>
          </w:tcPr>
          <w:p w14:paraId="3C140600" w14:textId="77777777" w:rsidR="00826D4D" w:rsidRPr="00192FE2" w:rsidRDefault="00826D4D" w:rsidP="00AE77EE">
            <w:pPr>
              <w:pStyle w:val="Compact"/>
            </w:pPr>
            <w:r w:rsidRPr="00192FE2">
              <w:t>Polarizability</w:t>
            </w:r>
          </w:p>
        </w:tc>
        <w:tc>
          <w:tcPr>
            <w:tcW w:w="1708" w:type="dxa"/>
          </w:tcPr>
          <w:p w14:paraId="67371207" w14:textId="77777777" w:rsidR="00826D4D" w:rsidRPr="00192FE2" w:rsidRDefault="00826D4D" w:rsidP="00AE77EE">
            <w:pPr>
              <w:pStyle w:val="Compact"/>
            </w:pPr>
            <w:r w:rsidRPr="00192FE2">
              <w:t>Polarizability value: 0-1.08</w:t>
            </w:r>
          </w:p>
          <w:p w14:paraId="46BB8330" w14:textId="77777777" w:rsidR="00826D4D" w:rsidRPr="00192FE2" w:rsidRDefault="00826D4D" w:rsidP="00AE77EE">
            <w:pPr>
              <w:pStyle w:val="Compact"/>
            </w:pPr>
            <w:r w:rsidRPr="00192FE2">
              <w:t>GASDT</w:t>
            </w:r>
          </w:p>
        </w:tc>
        <w:tc>
          <w:tcPr>
            <w:tcW w:w="2347" w:type="dxa"/>
          </w:tcPr>
          <w:p w14:paraId="22A4B0D1" w14:textId="77777777" w:rsidR="00826D4D" w:rsidRPr="00192FE2" w:rsidRDefault="00826D4D" w:rsidP="00AE77EE">
            <w:pPr>
              <w:pStyle w:val="Compact"/>
            </w:pPr>
            <w:r w:rsidRPr="00192FE2">
              <w:t>Polarizability value: 0.128-120.186</w:t>
            </w:r>
          </w:p>
          <w:p w14:paraId="231FF661" w14:textId="77777777" w:rsidR="00826D4D" w:rsidRPr="00192FE2" w:rsidRDefault="00826D4D" w:rsidP="00AE77EE">
            <w:pPr>
              <w:pStyle w:val="Compact"/>
            </w:pPr>
            <w:r w:rsidRPr="00192FE2">
              <w:t>GPNVEQIL</w:t>
            </w:r>
          </w:p>
        </w:tc>
        <w:tc>
          <w:tcPr>
            <w:tcW w:w="2600" w:type="dxa"/>
          </w:tcPr>
          <w:p w14:paraId="1C3BA069" w14:textId="77777777" w:rsidR="00826D4D" w:rsidRPr="00192FE2" w:rsidRDefault="00826D4D" w:rsidP="00AE77EE">
            <w:pPr>
              <w:pStyle w:val="Compact"/>
            </w:pPr>
            <w:r w:rsidRPr="00192FE2">
              <w:t>Polarizability value: 0.219-0.409</w:t>
            </w:r>
          </w:p>
          <w:p w14:paraId="3685A653" w14:textId="77777777" w:rsidR="00826D4D" w:rsidRPr="00192FE2" w:rsidRDefault="00826D4D" w:rsidP="00AE77EE">
            <w:pPr>
              <w:pStyle w:val="Compact"/>
            </w:pPr>
            <w:r w:rsidRPr="00192FE2">
              <w:t>KMHFRYW</w:t>
            </w:r>
          </w:p>
        </w:tc>
      </w:tr>
      <w:tr w:rsidR="00826D4D" w:rsidRPr="00192FE2" w14:paraId="02BF6D52" w14:textId="77777777" w:rsidTr="00826D4D">
        <w:trPr>
          <w:jc w:val="center"/>
        </w:trPr>
        <w:tc>
          <w:tcPr>
            <w:tcW w:w="3085" w:type="dxa"/>
          </w:tcPr>
          <w:p w14:paraId="07B30897" w14:textId="77777777" w:rsidR="00826D4D" w:rsidRPr="00192FE2" w:rsidRDefault="00826D4D" w:rsidP="00AE77EE">
            <w:pPr>
              <w:pStyle w:val="Compact"/>
            </w:pPr>
            <w:r w:rsidRPr="00192FE2">
              <w:t>Charge</w:t>
            </w:r>
          </w:p>
        </w:tc>
        <w:tc>
          <w:tcPr>
            <w:tcW w:w="1708" w:type="dxa"/>
          </w:tcPr>
          <w:p w14:paraId="7A5D2F24" w14:textId="77777777" w:rsidR="00826D4D" w:rsidRPr="00192FE2" w:rsidRDefault="00826D4D" w:rsidP="00AE77EE">
            <w:pPr>
              <w:pStyle w:val="Compact"/>
            </w:pPr>
            <w:r w:rsidRPr="00192FE2">
              <w:t>Positive: KR</w:t>
            </w:r>
          </w:p>
        </w:tc>
        <w:tc>
          <w:tcPr>
            <w:tcW w:w="2347" w:type="dxa"/>
          </w:tcPr>
          <w:p w14:paraId="63E6714F" w14:textId="77777777" w:rsidR="00826D4D" w:rsidRPr="00192FE2" w:rsidRDefault="00826D4D" w:rsidP="00AE77EE">
            <w:pPr>
              <w:pStyle w:val="Compact"/>
            </w:pPr>
            <w:r w:rsidRPr="00192FE2">
              <w:t>Neutral: ANCQGHILMFPSTWYV</w:t>
            </w:r>
          </w:p>
        </w:tc>
        <w:tc>
          <w:tcPr>
            <w:tcW w:w="2600" w:type="dxa"/>
          </w:tcPr>
          <w:p w14:paraId="1A95E002" w14:textId="77777777" w:rsidR="00826D4D" w:rsidRPr="00192FE2" w:rsidRDefault="00826D4D" w:rsidP="00AE77EE">
            <w:pPr>
              <w:pStyle w:val="Compact"/>
            </w:pPr>
            <w:r w:rsidRPr="00192FE2">
              <w:t>Negative: DE</w:t>
            </w:r>
          </w:p>
        </w:tc>
      </w:tr>
      <w:tr w:rsidR="00826D4D" w:rsidRPr="00192FE2" w14:paraId="391ACCC3" w14:textId="77777777" w:rsidTr="00826D4D">
        <w:trPr>
          <w:jc w:val="center"/>
        </w:trPr>
        <w:tc>
          <w:tcPr>
            <w:tcW w:w="3085" w:type="dxa"/>
          </w:tcPr>
          <w:p w14:paraId="04D185EF" w14:textId="77777777" w:rsidR="00826D4D" w:rsidRPr="00192FE2" w:rsidRDefault="00826D4D" w:rsidP="00AE77EE">
            <w:pPr>
              <w:pStyle w:val="Compact"/>
            </w:pPr>
            <w:r w:rsidRPr="00192FE2">
              <w:t>Secondary structure</w:t>
            </w:r>
          </w:p>
        </w:tc>
        <w:tc>
          <w:tcPr>
            <w:tcW w:w="1708" w:type="dxa"/>
          </w:tcPr>
          <w:p w14:paraId="750BDC91" w14:textId="77777777" w:rsidR="00826D4D" w:rsidRPr="00192FE2" w:rsidRDefault="00826D4D" w:rsidP="00AE77EE">
            <w:pPr>
              <w:pStyle w:val="Compact"/>
            </w:pPr>
            <w:r w:rsidRPr="00192FE2">
              <w:t>Helix: EALMQKRH</w:t>
            </w:r>
          </w:p>
        </w:tc>
        <w:tc>
          <w:tcPr>
            <w:tcW w:w="2347" w:type="dxa"/>
          </w:tcPr>
          <w:p w14:paraId="6319A717" w14:textId="77777777" w:rsidR="00826D4D" w:rsidRPr="00192FE2" w:rsidRDefault="00826D4D" w:rsidP="00AE77EE">
            <w:pPr>
              <w:pStyle w:val="Compact"/>
            </w:pPr>
            <w:r w:rsidRPr="00192FE2">
              <w:t>Strand: VIYCWFT</w:t>
            </w:r>
          </w:p>
        </w:tc>
        <w:tc>
          <w:tcPr>
            <w:tcW w:w="2600" w:type="dxa"/>
          </w:tcPr>
          <w:p w14:paraId="6A2C1B28" w14:textId="77777777" w:rsidR="00826D4D" w:rsidRPr="00192FE2" w:rsidRDefault="00826D4D" w:rsidP="00AE77EE">
            <w:pPr>
              <w:pStyle w:val="Compact"/>
            </w:pPr>
            <w:r w:rsidRPr="00192FE2">
              <w:t>Coil: GNPSD</w:t>
            </w:r>
          </w:p>
        </w:tc>
      </w:tr>
      <w:tr w:rsidR="00826D4D" w:rsidRPr="00192FE2" w14:paraId="4ED91644" w14:textId="77777777" w:rsidTr="00826D4D">
        <w:trPr>
          <w:jc w:val="center"/>
        </w:trPr>
        <w:tc>
          <w:tcPr>
            <w:tcW w:w="3085" w:type="dxa"/>
          </w:tcPr>
          <w:p w14:paraId="542E18A6" w14:textId="77777777" w:rsidR="00826D4D" w:rsidRPr="00192FE2" w:rsidRDefault="00826D4D" w:rsidP="00AE77EE">
            <w:pPr>
              <w:pStyle w:val="Compact"/>
            </w:pPr>
            <w:r w:rsidRPr="00192FE2">
              <w:t>Solvent accessibility</w:t>
            </w:r>
          </w:p>
        </w:tc>
        <w:tc>
          <w:tcPr>
            <w:tcW w:w="1708" w:type="dxa"/>
          </w:tcPr>
          <w:p w14:paraId="077480E9" w14:textId="77777777" w:rsidR="00826D4D" w:rsidRPr="00192FE2" w:rsidRDefault="00826D4D" w:rsidP="00AE77EE">
            <w:pPr>
              <w:pStyle w:val="Compact"/>
            </w:pPr>
            <w:r w:rsidRPr="00192FE2">
              <w:t>Buried: ALFCGIVW</w:t>
            </w:r>
          </w:p>
        </w:tc>
        <w:tc>
          <w:tcPr>
            <w:tcW w:w="2347" w:type="dxa"/>
          </w:tcPr>
          <w:p w14:paraId="1B820DA3" w14:textId="77777777" w:rsidR="00826D4D" w:rsidRPr="00192FE2" w:rsidRDefault="00826D4D" w:rsidP="00AE77EE">
            <w:pPr>
              <w:pStyle w:val="Compact"/>
            </w:pPr>
            <w:r w:rsidRPr="00192FE2">
              <w:t>Exposed: PKQEND</w:t>
            </w:r>
          </w:p>
        </w:tc>
        <w:tc>
          <w:tcPr>
            <w:tcW w:w="2600" w:type="dxa"/>
          </w:tcPr>
          <w:p w14:paraId="6751F962" w14:textId="77777777" w:rsidR="00826D4D" w:rsidRPr="00192FE2" w:rsidRDefault="00826D4D" w:rsidP="00AE77EE">
            <w:pPr>
              <w:pStyle w:val="Compact"/>
            </w:pPr>
            <w:r w:rsidRPr="00192FE2">
              <w:t>Intermediate: MPSTHY</w:t>
            </w:r>
          </w:p>
        </w:tc>
      </w:tr>
    </w:tbl>
    <w:p w14:paraId="79381D98" w14:textId="77777777" w:rsidR="00826D4D" w:rsidRPr="00C379B0" w:rsidRDefault="00826D4D" w:rsidP="00AE77EE">
      <w:pPr>
        <w:pStyle w:val="BodyText"/>
        <w:numPr>
          <w:ilvl w:val="0"/>
          <w:numId w:val="30"/>
        </w:numPr>
      </w:pPr>
      <w:r>
        <w:t xml:space="preserve">Composition: </w:t>
      </w:r>
      <w:r w:rsidRPr="00C379B0">
        <w:t>Taking the hydrophobicity attribute as an example, all amino acids are divided into three groups: polar, neutral and hydrophobic (</w:t>
      </w:r>
      <w:r w:rsidRPr="00C379B0">
        <w:rPr>
          <w:b/>
        </w:rPr>
        <w:t>Table 1</w:t>
      </w:r>
      <w:r w:rsidRPr="00C379B0">
        <w:t>). The Composition descriptor consists of three values: the global compositions (percentage) of polar, neutral and hydrophobic residues of the protein.</w:t>
      </w:r>
      <w:bookmarkStart w:id="15" w:name="OLE_LINK40"/>
      <w:r w:rsidRPr="00C379B0">
        <w:t xml:space="preserve"> </w:t>
      </w:r>
      <w:bookmarkEnd w:id="15"/>
      <w:r w:rsidRPr="00C379B0">
        <w:t>The Composition descriptor can be calculated as follows:</w:t>
      </w:r>
    </w:p>
    <w:p w14:paraId="78D449D3" w14:textId="77777777" w:rsidR="00826D4D" w:rsidRPr="00C379B0" w:rsidRDefault="00826D4D" w:rsidP="00AE77EE">
      <w:pPr>
        <w:pStyle w:val="BodyText"/>
      </w:pPr>
      <m:oMathPara>
        <m:oMath>
          <m:r>
            <w:rPr>
              <w:rFonts w:ascii="Cambria Math" w:hAnsi="Cambria Math"/>
              <w:noProof/>
            </w:rPr>
            <m:t>C</m:t>
          </m:r>
          <m:d>
            <m:dPr>
              <m:ctrlPr>
                <w:rPr>
                  <w:rFonts w:ascii="Cambria Math" w:hAnsi="Cambria Math"/>
                  <w:noProof/>
                </w:rPr>
              </m:ctrlPr>
            </m:dPr>
            <m:e>
              <m:r>
                <w:rPr>
                  <w:rFonts w:ascii="Cambria Math" w:hAnsi="Cambria Math"/>
                  <w:noProof/>
                </w:rPr>
                <m:t>r</m:t>
              </m:r>
            </m:e>
          </m:d>
          <m:r>
            <m:rPr>
              <m:sty m:val="p"/>
            </m:rPr>
            <w:rPr>
              <w:rFonts w:ascii="Cambria Math" w:hAnsi="Cambria Math"/>
              <w:noProof/>
            </w:rPr>
            <m:t>=</m:t>
          </m:r>
          <m:f>
            <m:fPr>
              <m:ctrlPr>
                <w:rPr>
                  <w:rFonts w:ascii="Cambria Math" w:hAnsi="Cambria Math"/>
                  <w:noProof/>
                </w:rPr>
              </m:ctrlPr>
            </m:fPr>
            <m:num>
              <m:r>
                <w:rPr>
                  <w:rFonts w:ascii="Cambria Math" w:hAnsi="Cambria Math"/>
                  <w:noProof/>
                </w:rPr>
                <m:t>N</m:t>
              </m:r>
              <m:d>
                <m:dPr>
                  <m:ctrlPr>
                    <w:rPr>
                      <w:rFonts w:ascii="Cambria Math" w:hAnsi="Cambria Math"/>
                      <w:noProof/>
                    </w:rPr>
                  </m:ctrlPr>
                </m:dPr>
                <m:e>
                  <m:r>
                    <w:rPr>
                      <w:rFonts w:ascii="Cambria Math" w:hAnsi="Cambria Math"/>
                      <w:noProof/>
                    </w:rPr>
                    <m:t>r</m:t>
                  </m:r>
                </m:e>
              </m:d>
            </m:num>
            <m:den>
              <m:r>
                <w:rPr>
                  <w:rFonts w:ascii="Cambria Math" w:hAnsi="Cambria Math"/>
                  <w:noProof/>
                </w:rPr>
                <m:t>N</m:t>
              </m:r>
            </m:den>
          </m:f>
          <m:r>
            <m:rPr>
              <m:sty m:val="p"/>
            </m:rPr>
            <w:rPr>
              <w:rFonts w:ascii="Cambria Math" w:hAnsi="Cambria Math"/>
              <w:noProof/>
            </w:rPr>
            <m:t xml:space="preserve">,      </m:t>
          </m:r>
          <m:r>
            <w:rPr>
              <w:rFonts w:ascii="Cambria Math" w:hAnsi="Cambria Math"/>
              <w:noProof/>
            </w:rPr>
            <m:t>r</m:t>
          </m:r>
          <m:r>
            <m:rPr>
              <m:sty m:val="p"/>
            </m:rPr>
            <w:rPr>
              <w:rFonts w:ascii="Cambria Math" w:hAnsi="Cambria Math"/>
              <w:noProof/>
            </w:rPr>
            <m:t>∈{</m:t>
          </m:r>
          <m:r>
            <w:rPr>
              <w:rFonts w:ascii="Cambria Math" w:hAnsi="Cambria Math"/>
              <w:noProof/>
            </w:rPr>
            <m:t>polar</m:t>
          </m:r>
          <m:r>
            <m:rPr>
              <m:sty m:val="p"/>
            </m:rPr>
            <w:rPr>
              <w:rFonts w:ascii="Cambria Math" w:hAnsi="Cambria Math"/>
              <w:noProof/>
            </w:rPr>
            <m:t>,</m:t>
          </m:r>
          <m:r>
            <w:rPr>
              <w:rFonts w:ascii="Cambria Math" w:hAnsi="Cambria Math"/>
              <w:noProof/>
            </w:rPr>
            <m:t>neutral</m:t>
          </m:r>
          <m:r>
            <m:rPr>
              <m:sty m:val="p"/>
            </m:rPr>
            <w:rPr>
              <w:rFonts w:ascii="Cambria Math" w:hAnsi="Cambria Math"/>
              <w:noProof/>
            </w:rPr>
            <m:t>,</m:t>
          </m:r>
          <m:r>
            <w:rPr>
              <w:rFonts w:ascii="Cambria Math" w:hAnsi="Cambria Math"/>
              <w:noProof/>
            </w:rPr>
            <m:t>hydrophobic</m:t>
          </m:r>
          <m:r>
            <m:rPr>
              <m:sty m:val="p"/>
            </m:rPr>
            <w:rPr>
              <w:rFonts w:ascii="Cambria Math" w:hAnsi="Cambria Math"/>
              <w:noProof/>
            </w:rPr>
            <m:t>}</m:t>
          </m:r>
        </m:oMath>
      </m:oMathPara>
    </w:p>
    <w:p w14:paraId="03211C5E" w14:textId="77777777" w:rsidR="00826D4D" w:rsidRPr="00C379B0" w:rsidRDefault="00826D4D" w:rsidP="00AE77EE">
      <w:pPr>
        <w:pStyle w:val="BodyText"/>
      </w:pPr>
      <w:r w:rsidRPr="00C379B0">
        <w:t xml:space="preserve">where </w:t>
      </w:r>
      <w:r w:rsidRPr="00C379B0">
        <w:rPr>
          <w:i/>
        </w:rPr>
        <w:t>N(r)</w:t>
      </w:r>
      <w:r w:rsidRPr="00C379B0">
        <w:t xml:space="preserve"> is the number of amino acid type </w:t>
      </w:r>
      <w:r w:rsidRPr="00C379B0">
        <w:rPr>
          <w:i/>
        </w:rPr>
        <w:t>r</w:t>
      </w:r>
      <w:r w:rsidRPr="00C379B0">
        <w:t xml:space="preserve"> in the encoded sequence and </w:t>
      </w:r>
      <w:r w:rsidRPr="00C379B0">
        <w:rPr>
          <w:i/>
        </w:rPr>
        <w:t>N</w:t>
      </w:r>
      <w:r w:rsidRPr="00C379B0">
        <w:t xml:space="preserve"> is the length of the sequence.</w:t>
      </w:r>
    </w:p>
    <w:p w14:paraId="2849E73D" w14:textId="77777777" w:rsidR="00826D4D" w:rsidRDefault="00826D4D" w:rsidP="00AE77EE">
      <w:pPr>
        <w:pStyle w:val="BodyText"/>
        <w:numPr>
          <w:ilvl w:val="0"/>
          <w:numId w:val="30"/>
        </w:numPr>
      </w:pPr>
      <w:r>
        <w:t xml:space="preserve">Transition: </w:t>
      </w:r>
      <w:r w:rsidRPr="00C379B0">
        <w:t>The Transition descriptor T also consists of three values</w:t>
      </w:r>
      <w:r>
        <w:t>.</w:t>
      </w:r>
      <w:r w:rsidRPr="00C379B0">
        <w:t xml:space="preserve"> A transition from the polar group to the neutral group is the percentage frequency with which a polar residue is followed by a neutral residue or a neutral residue by a polar residue. Transitions between the neutral group and the hydrophobic group and those between the hydrophobic group and </w:t>
      </w:r>
      <w:r w:rsidRPr="00C379B0">
        <w:lastRenderedPageBreak/>
        <w:t>the polar group are defined in a similar way. The transition descriptor can then be calculated as:</w:t>
      </w:r>
    </w:p>
    <w:p w14:paraId="3638E5A1" w14:textId="77777777" w:rsidR="00826D4D" w:rsidRPr="00E05007" w:rsidRDefault="00826D4D" w:rsidP="00AE77EE">
      <w:pPr>
        <w:pStyle w:val="BodyText"/>
        <w:rPr>
          <w:rFonts w:eastAsiaTheme="minorEastAsia"/>
        </w:rPr>
      </w:pPr>
      <m:oMathPara>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polar</m:t>
              </m:r>
              <m:r>
                <m:rPr>
                  <m:sty m:val="p"/>
                </m:rPr>
                <w:rPr>
                  <w:rFonts w:ascii="Cambria Math" w:hAnsi="Cambria Math"/>
                </w:rPr>
                <m:t>,</m:t>
              </m:r>
              <m:r>
                <w:rPr>
                  <w:rFonts w:ascii="Cambria Math" w:hAnsi="Cambria Math"/>
                </w:rPr>
                <m:t>neutral</m:t>
              </m:r>
            </m:e>
          </m:d>
          <m:r>
            <m:rPr>
              <m:sty m:val="p"/>
            </m:rPr>
            <w:rPr>
              <w:rFonts w:ascii="Cambria Math" w:hAnsi="Cambria Math"/>
            </w:rPr>
            <m:t>,</m:t>
          </m:r>
          <m:d>
            <m:dPr>
              <m:ctrlPr>
                <w:rPr>
                  <w:rFonts w:ascii="Cambria Math" w:hAnsi="Cambria Math"/>
                </w:rPr>
              </m:ctrlPr>
            </m:dPr>
            <m:e>
              <m:r>
                <w:rPr>
                  <w:rFonts w:ascii="Cambria Math" w:hAnsi="Cambria Math"/>
                </w:rPr>
                <m:t>neutral</m:t>
              </m:r>
              <m:r>
                <m:rPr>
                  <m:sty m:val="p"/>
                </m:rPr>
                <w:rPr>
                  <w:rFonts w:ascii="Cambria Math" w:hAnsi="Cambria Math"/>
                </w:rPr>
                <m:t>,</m:t>
              </m:r>
              <m:r>
                <w:rPr>
                  <w:rFonts w:ascii="Cambria Math" w:hAnsi="Cambria Math"/>
                </w:rPr>
                <m:t>hydrophobic</m:t>
              </m:r>
            </m:e>
          </m:d>
          <m:r>
            <m:rPr>
              <m:sty m:val="p"/>
            </m:rPr>
            <w:rPr>
              <w:rFonts w:ascii="Cambria Math" w:hAnsi="Cambria Math"/>
            </w:rPr>
            <m:t>,</m:t>
          </m:r>
          <m:d>
            <m:dPr>
              <m:ctrlPr>
                <w:rPr>
                  <w:rFonts w:ascii="Cambria Math" w:hAnsi="Cambria Math"/>
                </w:rPr>
              </m:ctrlPr>
            </m:dPr>
            <m:e>
              <m:r>
                <w:rPr>
                  <w:rFonts w:ascii="Cambria Math" w:hAnsi="Cambria Math"/>
                </w:rPr>
                <m:t>hydrophobic</m:t>
              </m:r>
              <m:r>
                <m:rPr>
                  <m:sty m:val="p"/>
                </m:rPr>
                <w:rPr>
                  <w:rFonts w:ascii="Cambria Math" w:hAnsi="Cambria Math"/>
                </w:rPr>
                <m:t>,</m:t>
              </m:r>
              <m:r>
                <w:rPr>
                  <w:rFonts w:ascii="Cambria Math" w:hAnsi="Cambria Math"/>
                </w:rPr>
                <m:t>polar</m:t>
              </m:r>
            </m:e>
          </m:d>
          <m:r>
            <m:rPr>
              <m:sty m:val="p"/>
            </m:rPr>
            <w:rPr>
              <w:rFonts w:ascii="Cambria Math" w:hAnsi="Cambria Math"/>
            </w:rPr>
            <m:t>}</m:t>
          </m:r>
        </m:oMath>
      </m:oMathPara>
    </w:p>
    <w:p w14:paraId="3FCE337F" w14:textId="77777777" w:rsidR="00826D4D" w:rsidRPr="00C379B0" w:rsidRDefault="00826D4D" w:rsidP="00AE77EE">
      <w:pPr>
        <w:pStyle w:val="BodyText"/>
      </w:pPr>
    </w:p>
    <w:p w14:paraId="649A5917" w14:textId="77777777" w:rsidR="00826D4D" w:rsidRDefault="00826D4D" w:rsidP="00AE77EE">
      <w:pPr>
        <w:pStyle w:val="BodyText"/>
      </w:pPr>
      <w:r w:rsidRPr="00C379B0">
        <w:t xml:space="preserve">where </w:t>
      </w:r>
      <w:r w:rsidRPr="00C379B0">
        <w:rPr>
          <w:i/>
        </w:rPr>
        <w:t>N(</w:t>
      </w:r>
      <w:proofErr w:type="spellStart"/>
      <w:proofErr w:type="gramStart"/>
      <w:r w:rsidRPr="00C379B0">
        <w:rPr>
          <w:i/>
        </w:rPr>
        <w:t>r,s</w:t>
      </w:r>
      <w:proofErr w:type="spellEnd"/>
      <w:proofErr w:type="gramEnd"/>
      <w:r w:rsidRPr="00C379B0">
        <w:rPr>
          <w:i/>
        </w:rPr>
        <w:t>)</w:t>
      </w:r>
      <w:r w:rsidRPr="00C379B0">
        <w:t xml:space="preserve"> and </w:t>
      </w:r>
      <w:r w:rsidRPr="00C379B0">
        <w:rPr>
          <w:i/>
        </w:rPr>
        <w:t>N(</w:t>
      </w:r>
      <w:proofErr w:type="spellStart"/>
      <w:r w:rsidRPr="00C379B0">
        <w:rPr>
          <w:i/>
        </w:rPr>
        <w:t>s,r</w:t>
      </w:r>
      <w:proofErr w:type="spellEnd"/>
      <w:r w:rsidRPr="00C379B0">
        <w:rPr>
          <w:i/>
        </w:rPr>
        <w:t>)</w:t>
      </w:r>
      <w:r w:rsidRPr="00C379B0">
        <w:t xml:space="preserve"> are the numbers of dipeptides encoded as “</w:t>
      </w:r>
      <w:proofErr w:type="spellStart"/>
      <w:r w:rsidRPr="00C379B0">
        <w:rPr>
          <w:i/>
        </w:rPr>
        <w:t>rs</w:t>
      </w:r>
      <w:proofErr w:type="spellEnd"/>
      <w:r w:rsidRPr="00C379B0">
        <w:t>” and “</w:t>
      </w:r>
      <w:proofErr w:type="spellStart"/>
      <w:r w:rsidRPr="00C379B0">
        <w:rPr>
          <w:i/>
        </w:rPr>
        <w:t>sr</w:t>
      </w:r>
      <w:proofErr w:type="spellEnd"/>
      <w:r w:rsidRPr="00C379B0">
        <w:t xml:space="preserve">” respectively in the sequence, while </w:t>
      </w:r>
      <w:r w:rsidRPr="00C379B0">
        <w:rPr>
          <w:i/>
        </w:rPr>
        <w:t>N</w:t>
      </w:r>
      <w:r w:rsidRPr="00C379B0">
        <w:t xml:space="preserve"> is the length of the sequence. </w:t>
      </w:r>
    </w:p>
    <w:p w14:paraId="1058ABEA" w14:textId="77777777" w:rsidR="00826D4D" w:rsidRDefault="00826D4D" w:rsidP="00AE77EE">
      <w:pPr>
        <w:pStyle w:val="BodyText"/>
        <w:numPr>
          <w:ilvl w:val="0"/>
          <w:numId w:val="30"/>
        </w:numPr>
      </w:pPr>
      <w:r>
        <w:t xml:space="preserve">Distribution: </w:t>
      </w:r>
      <w:r w:rsidRPr="00C379B0">
        <w:t>The Distribution descriptor consists of five values for each of the three groups (polar, neutral and hydrophobic) namely the corresponding fraction of the entire sequence, where the first residue of a given group is located, and where 25, 50, 75 and 100% of occurrences are contained.</w:t>
      </w:r>
      <w:r>
        <w:t xml:space="preserve"> </w:t>
      </w:r>
      <w:r w:rsidRPr="00C379B0">
        <w:t>For example, we start with the first residue up to and including the residue that marks 25/50/75/100% of occurrences for residues of any given group and then we simply divide the position of this residue by the length of the entire sequence.</w:t>
      </w:r>
    </w:p>
    <w:p w14:paraId="34C7DA58" w14:textId="0973DC68" w:rsidR="00826D4D" w:rsidRDefault="00826D4D" w:rsidP="00AE77EE">
      <w:pPr>
        <w:pStyle w:val="BodyText"/>
      </w:pPr>
      <w:r>
        <w:t>The addition of these structural and physicochemical properties can help distinguish between enzymes which have highly similar sequences but different substrate affinity. For example a</w:t>
      </w:r>
      <w:r w:rsidRPr="007A42A7">
        <w:t>ccording to Jing et al.</w:t>
      </w:r>
      <w:r>
        <w:t xml:space="preserve"> </w:t>
      </w:r>
      <w:r>
        <w:fldChar w:fldCharType="begin" w:fldLock="1"/>
      </w:r>
      <w:r w:rsidR="0080266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mendeley":{"formattedCitation":"[3]","plainTextFormattedCitation":"[3]","previouslyFormattedCitation":"[3]"},"properties":{"noteIndex":0},"schema":"https://github.com/citation-style-language/schema/raw/master/csl-citation.json"}</w:instrText>
      </w:r>
      <w:r>
        <w:fldChar w:fldCharType="separate"/>
      </w:r>
      <w:r w:rsidR="00802660" w:rsidRPr="00802660">
        <w:rPr>
          <w:noProof/>
        </w:rPr>
        <w:t>[3]</w:t>
      </w:r>
      <w:r>
        <w:fldChar w:fldCharType="end"/>
      </w:r>
      <w:r w:rsidRPr="007A42A7">
        <w:t xml:space="preserve">, two groups of residues affect </w:t>
      </w:r>
      <w:proofErr w:type="spellStart"/>
      <w:r>
        <w:t>Cupv</w:t>
      </w:r>
      <w:proofErr w:type="spellEnd"/>
      <w:r>
        <w:t xml:space="preserve"> </w:t>
      </w:r>
      <w:r w:rsidRPr="007A42A7">
        <w:t>specificity; those that locate to a cavity and those that map near the surface of the protein. The former is the assumed binding pocket of the acyl moiety of the substrate, and its shape and depth would directly affect the acyl chain length specificity of the enzyme. The latter defines positively charged surface patches, near the catalytic residues, that binds the negatively charged ACP moiety of the substrate and indirectly affects substrate specificity by increasing the rate of catalysis. Hence, we hypothesize th</w:t>
      </w:r>
      <w:r>
        <w:t>at</w:t>
      </w:r>
      <w:r w:rsidRPr="007A42A7">
        <w:t xml:space="preserve"> size</w:t>
      </w:r>
      <w:r>
        <w:t xml:space="preserve">, </w:t>
      </w:r>
      <w:r w:rsidRPr="007A42A7">
        <w:t>hydrophobicity and the charge of residues can be added as features to our model to increase the accuracy of the prediction.</w:t>
      </w:r>
      <w:r>
        <w:t xml:space="preserve"> Other physicochemical properties like normalized Van der Waals volume, Polarity, Polarizability and Solvent accessibility have also been used before to predict enzyme-substrate interaction with great accuracy </w:t>
      </w:r>
      <w:r>
        <w:fldChar w:fldCharType="begin" w:fldLock="1"/>
      </w:r>
      <w:r w:rsidR="00802660">
        <w:instrText>ADDIN CSL_CITATION {"citationItems":[{"id":"ITEM-1","itemData":{"DOI":"10.1155/2013/674215","ISSN":"23146141","PMID":"24455714","abstract":"It is important to correctly and efficiently predict the interaction of substrate-enzyme and to predict their product in metabolic pathway. In this work, a novel approach was introduced to encode substrate/product and enzyme molecules with molecular descriptors and physicochemical properties, respectively. Based on this encoding method, KNN was adopted to build the substrate-enzyme-product interaction network. After selecting the optimal features that are able to represent the main factors of substrate-enzyme-product interaction in our prediction, totally 160 features out of 290 features were attained which can be clustered into ten categories: elemental analysis, geometry, chemistry, amino acid composition, predicted secondary structure, hydrophobicity, polarizability, solvent accessibility, normalized van der Waals volume, and polarity. As a result, our predicting model achieved an MCC of 0.423 and an overall prediction accuracy of 89.1% for 10-fold cross-validation test. © 2013 Bing Niu et al.","author":[{"dropping-particle":"","family":"Niu","given":"Bing","non-dropping-particle":"","parse-names":false,"suffix":""},{"dropping-particle":"","family":"Huang","given":"Guohua","non-dropping-particle":"","parse-names":false,"suffix":""},{"dropping-particle":"","family":"Zheng","given":"Linfeng","non-dropping-particle":"","parse-names":false,"suffix":""},{"dropping-particle":"","family":"Wang","given":"Xueyuan","non-dropping-particle":"","parse-names":false,"suffix":""},{"dropping-particle":"","family":"Chen","given":"Fuxue","non-dropping-particle":"","parse-names":false,"suffix":""},{"dropping-particle":"","family":"Zhang","given":"Yuhui","non-dropping-particle":"","parse-names":false,"suffix":""},{"dropping-particle":"","family":"Huang","given":"Tao","non-dropping-particle":"","parse-names":false,"suffix":""}],"container-title":"BioMed Research International","id":"ITEM-1","issued":{"date-parts":[["2013"]]},"title":"Prediction of substrate-enzyme-product interaction based on molecular descriptors and physicochemical properties","type":"article-journal"},"uris":["http://www.mendeley.com/documents/?uuid=ff14d681-516e-430b-be5d-28412dc4ddfb"]}],"mendeley":{"formattedCitation":"[21]","plainTextFormattedCitation":"[21]","previouslyFormattedCitation":"[21]"},"properties":{"noteIndex":0},"schema":"https://github.com/citation-style-language/schema/raw/master/csl-citation.json"}</w:instrText>
      </w:r>
      <w:r>
        <w:fldChar w:fldCharType="separate"/>
      </w:r>
      <w:r w:rsidR="00802660" w:rsidRPr="00802660">
        <w:rPr>
          <w:noProof/>
        </w:rPr>
        <w:t>[21]</w:t>
      </w:r>
      <w:r>
        <w:fldChar w:fldCharType="end"/>
      </w:r>
      <w:r>
        <w:t xml:space="preserve">. </w:t>
      </w:r>
    </w:p>
    <w:p w14:paraId="72102D7E" w14:textId="77777777" w:rsidR="00826D4D" w:rsidRDefault="00826D4D" w:rsidP="00DA10F2">
      <w:pPr>
        <w:pStyle w:val="Heading3"/>
      </w:pPr>
      <w:r>
        <w:t>Creation of an ensemble model</w:t>
      </w:r>
    </w:p>
    <w:p w14:paraId="71AE3E92" w14:textId="792E6140" w:rsidR="00826D4D" w:rsidRDefault="00826D4D" w:rsidP="00AE77EE">
      <w:pPr>
        <w:pStyle w:val="Compact"/>
      </w:pPr>
      <w:r w:rsidRPr="00B62807">
        <w:rPr>
          <w:rStyle w:val="BodyTextChar"/>
        </w:rPr>
        <w:t>Another way of decreasing the model variance is training multiple models or creating an ensemble</w:t>
      </w:r>
      <w:r w:rsidR="00E80B1D">
        <w:rPr>
          <w:rStyle w:val="BodyTextChar"/>
        </w:rPr>
        <w:fldChar w:fldCharType="begin" w:fldLock="1"/>
      </w:r>
      <w:r w:rsidR="00E80B1D">
        <w:rPr>
          <w:rStyle w:val="BodyTextChar"/>
        </w:rPr>
        <w:instrText xml:space="preserve">ADDIN CSL_CITATION {"citationItems":[{"id":"ITEM-1","itemData":{"DOI":"10.1007/3-540-45014-9_1","ISBN":"3540677046","ISSN":"16113349","abstract":"Ensemble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classifier. Some previous studies comparing ensemble methods are reviewed, and some new experiments are presented to uncover the reasons that Adaboost does not overfit rapidly. © Springer-Verlag Berlin Heidelberg 2000.","author":[{"dropping-particle":"","family":"Dietterich","given":"Thomas G.","non-dropping-particle":"","parse-names":false,"suffix":""}],"container-title":"Lecture Notes in Computer Science (including subseries Lecture Notes in Artificial Intelligence and Lecture Notes in Bioinformatics)","id":"ITEM-1","issued":{"date-parts":[["2000"]]},"title":"Ensemble methods in machine learning","type":"paper-conference"},"uris":["http://www.mendeley.com/documents/?uuid=51f56cc0-e2f2-4cca-9047-c526877209a6"]},{"id":"ITEM-2","itemData":{"DOI":"10.1038/nmeth.2016","ISSN":"15487091","PMID":"22796662","abstract":"Reconstructing gene regulatory networks from high-throughput data is a long-standing challenge. Through the Dialogue on Reverse Engineering Assessment and Methods (DREAM) project, we performed a comprehensive blind assessment of over 30 network inference methods on Escherichia coli, Staphylococcus aureus, Saccharomyces cerevisiae and in silico microarray data. We characterize the performance, data requirements and inherent biases of different inference approaches, and we provide guidelines for algorithm application and development. We observed that no single inference method performs optimally across all data sets. In contrast, integration of predictions from multiple inference methods shows robust and high performance across diverse data sets. We thereby constructed high-confidence networks for E. coli and S. aureus, each comprising </w:instrText>
      </w:r>
      <w:r w:rsidR="00E80B1D">
        <w:rPr>
          <w:rStyle w:val="BodyTextChar"/>
          <w:rFonts w:ascii="Cambria Math" w:hAnsi="Cambria Math" w:cs="Cambria Math"/>
        </w:rPr>
        <w:instrText>∼</w:instrText>
      </w:r>
      <w:r w:rsidR="00E80B1D">
        <w:rPr>
          <w:rStyle w:val="BodyTextChar"/>
        </w:rPr>
        <w:instrText xml:space="preserve">1,700 transcriptional interactions at a precision of </w:instrText>
      </w:r>
      <w:r w:rsidR="00E80B1D">
        <w:rPr>
          <w:rStyle w:val="BodyTextChar"/>
          <w:rFonts w:ascii="Cambria Math" w:hAnsi="Cambria Math" w:cs="Cambria Math"/>
        </w:rPr>
        <w:instrText>∼</w:instrText>
      </w:r>
      <w:r w:rsidR="00E80B1D">
        <w:rPr>
          <w:rStyle w:val="BodyTextChar"/>
        </w:rPr>
        <w:instrText>50%. We experimentally tested 53 previously unobserved regulatory interactions in E. coli, of which 23 (43%) were supported. Our results establish community-based methods as a powerful and robust tool for the inference of transcriptional gene regulatory networks. © 2012 Nature America, Inc. All rights reserved.","author":[{"dropping-particle":"","family":"Marbach","given":"Daniel","non-dropping-particle":"","parse-names":false,"suffix":""},{"dropping-particle":"","family":"Costello","given":"James C.","non-dropping-particle":"","parse-names":false,"suffix":""},{"dropping-particle":"","family":"Küffner","given":"Robert","non-dropping-particle":"","parse-names":false,"suffix":""},{"dropping-particle":"","family":"Vega","given":"Nicole M.","non-dropping-particle":"","parse-names":false,"suffix":""},{"dropping-particle":"","family":"Prill","given":"Robert J.","non-dropping-particle":"","parse-names":false,"suffix":""},{"dropping-particle":"","family":"Camacho","given":"Diogo M.","non-dropping-particle":"","parse-names":false,"suffix":""},{"dropping-particle":"","family":"Allison","given":"Kyle R.","non-dropping-particle":"","parse-names":false,"suffix":""},{"dropping-particle":"","family":"Kellis","given":"Manolis","non-dropping-particle":"","parse-names":false,"suffix":""},{"dropping-particle":"","family":"Collins","given":"James J.","non-dropping-particle":"","parse-names":false,"suffix":""},{"dropping-particle":"","family":"Aderhold","given":"Andrej","non-dropping-particle":"","parse-names":false,"suffix":""},{"dropping-particle":"","family":"Stolovitzky","given":"Gustavo","non-dropping-particle":"","parse-names":false,"suffix":""},{"dropping-particle":"","family":"Bonneau","given":"Richard","non-dropping-particle":"","parse-names":false,"suffix":""},{"dropping-particle":"","family":"Chen","given":"Yukun","non-dropping-particle":"","parse-names":false,"suffix":""},{"dropping-particle":"","family":"Cordero","given":"Francesca","non-dropping-particle":"","parse-names":false,"suffix":""},{"dropping-particle":"","family":"Crane","given":"Martin","non-dropping-particle":"","parse-names":false,"suffix":""},{"dropping-particle":"","family":"Dondelinger","given":"Frank","non-dropping-particle":"","parse-names":false,"suffix":""},{"dropping-particle":"","family":"Drton","given":"Mathias","non-dropping-particle":"","parse-names":false,"suffix":""},{"dropping-particle":"","family":"Esposito","given":"Roberto","non-dropping-particle":"","parse-names":false,"suffix":""},{"dropping-particle":"","family":"Foygel","given":"Rina","non-dropping-particle":"","parse-names":false,"suffix":""},{"dropping-particle":"","family":"La Fuente","given":"Alberto","non-dropping-particle":"De","parse-names":false,"suffix":""},{"dropping-particle":"","family":"Gertheiss","given":"Jan","non-dropping-particle":"","parse-names":false,"suffix":""},{"dropping-particle":"","family":"Geurts","given":"Pierre","non-dropping-particle":"","parse-names":false,"suffix":""},{"dropping-particle":"","family":"Greenfield","given":"Alex","non-dropping-particle":"","parse-names":false,"suffix":""},{"dropping-particle":"","family":"Grzegorczyk","given":"Marco","non-dropping-particle":"","parse-names":false,"suffix":""},{"dropping-particle":"","family":"Haury","given":"Anne Claire","non-dropping-particle":"","parse-names":false,"suffix":""},{"dropping-particle":"","family":"Holmes","given":"Benjamin","non-dropping-particle":"","parse-names":false,"suffix":""},{"dropping-particle":"","family":"Hothorn","given":"Torsten","non-dropping-particle":"","parse-names":false,"suffix":""},{"dropping-particle":"","family":"Husmeier","given":"Dirk","non-dropping-particle":"","parse-names":false,"suffix":""},{"dropping-particle":"","family":"Huynh-Thu","given":"Vân Anh","non-dropping-particle":"","parse-names":false,"suffix":""},{"dropping-particle":"","family":"Irrthum","given":"Alexandre","non-dropping-particle":"","parse-names":false,"suffix":""},{"dropping-particle":"","family":"Karlebach","given":"Guy","non-dropping-particle":"","parse-names":false,"suffix":""},{"dropping-particle":"","family":"Lèbre","given":"Sophie","non-dropping-particle":"","parse-names":false,"suffix":""},{"dropping-particle":"","family":"Leo","given":"Vincenzo","non-dropping-particle":"De","parse-names":false,"suffix":""},{"dropping-particle":"","family":"Madar","given":"Aviv","non-dropping-particle":"","parse-names":false,"suffix":""},{"dropping-particle":"","family":"Mani","given":"Subramani","non-dropping-particle":"","parse-names":false,"suffix":""},{"dropping-particle":"","family":"Mordelet","given":"Fantine","non-dropping-particle":"","parse-names":false,"suffix":""},{"dropping-particle":"","family":"Ostrer","given":"Harry","non-dropping-particle":"","parse-names":false,"suffix":""},{"dropping-particle":"","family":"Ouyang","given":"Zhengyu","non-dropping-particle":"","parse-names":false,"suffix":""},{"dropping-particle":"","family":"Pandya","given":"Ravi","non-dropping-particle":"","parse-names":false,"suffix":""},{"dropping-particle":"","family":"Petri","given":"Tobias","non-dropping-particle":"","parse-names":false,"suffix":""},{"dropping-particle":"","family":"Pinna","given":"Andrea","non-dropping-particle":"","parse-names":false,"suffix":""},{"dropping-particle":"","family":"Poultney","given":"Christopher S.","non-dropping-particle":"","parse-names":false,"suffix":""},{"dropping-particle":"","family":"Rezny","given":"Serena","non-dropping-particle":"","parse-names":false,"suffix":""},{"dropping-particle":"","family":"Ruskin","given":"Heather J.","non-dropping-particle":"","parse-names":false,"suffix":""},{"dropping-particle":"","family":"Saeys","given":"Yvan","non-dropping-particle":"","parse-names":false,"suffix":""},{"dropping-particle":"","family":"Shamir","given":"Ron","non-dropping-particle":"","parse-names":false,"suffix":""},{"dropping-particle":"","family":"Sîrbu","given":"Alina","non-dropping-particle":"","parse-names":false,"suffix":""},{"dropping-particle":"","family":"Song","given":"Mingzhou","non-dropping-particle":"","parse-names":false,"suffix":""},{"dropping-particle":"","family":"Soranzo","given":"Nicola","non-dropping-particle":"","parse-names":false,"suffix":""},{"dropping-particle":"","family":"Statnikov","given":"Alexander","non-dropping-particle":"","parse-names":false,"suffix":""},{"dropping-particle":"","family":"Vega","given":"Nicci","non-dropping-particle":"","parse-names":false,"suffix":""},{"dropping-particle":"","family":"Vera-Licona","given":"Paola","non-dropping-particle":"","parse-names":false,"suffix":""},{"dropping-particle":"","family":"Vert","given":"Jean Philippe","non-dropping-particle":"","parse-names":false,"suffix":""},{"dropping-particle":"","family":"Visconti","given":"Alessia","non-dropping-particle":"","parse-names":false,"suffix":""},{"dropping-particle":"","family":"Wang","given":"Haizhou","non-dropping-particle":"","parse-names":false,"suffix":""},{"dropping-particle":"","family":"Wehenkel","given":"Louis","non-dropping-particle":"","parse-names":false,"suffix":""},{"dropping-particle":"","family":"Windhager","given":"Lukas","non-dropping-particle":"","parse-names":false,"suffix":""},{"dropping-particle":"","family":"Zhang","given":"Yang","non-dropping-particle":"","parse-names":false,"suffix":""},{"dropping-particle":"","family":"Zimmer","given":"Ralf","non-dropping-particle":"","parse-names":false,"suffix":""}],"container-title":"Nature Methods","id":"ITEM-2","issued":{"date-parts":[["2012"]]},"title":"Wisdom of crowds for robust gene network inference","type":"article-journal"},"uris":["http://www.mendeley.com/documents/?uuid=99abe9b1-9698-4aaf-9f4f-fe4a77854149"]}],"mendeley":{"formattedCitation":"[22], [23]","plainTextFormattedCitation":"[22], [23]","previouslyFormattedCitation":"[22], [23]"},"properties":{"noteIndex":0},"schema":"https://github.com/citation-style-language/schema/raw/master/csl-citation.json"}</w:instrText>
      </w:r>
      <w:r w:rsidR="00E80B1D">
        <w:rPr>
          <w:rStyle w:val="BodyTextChar"/>
        </w:rPr>
        <w:fldChar w:fldCharType="separate"/>
      </w:r>
      <w:r w:rsidR="00E80B1D" w:rsidRPr="00E80B1D">
        <w:rPr>
          <w:rStyle w:val="BodyTextChar"/>
          <w:noProof/>
        </w:rPr>
        <w:t>[22], [23]</w:t>
      </w:r>
      <w:r w:rsidR="00E80B1D">
        <w:rPr>
          <w:rStyle w:val="BodyTextChar"/>
        </w:rPr>
        <w:fldChar w:fldCharType="end"/>
      </w:r>
      <w:r w:rsidRPr="00B62807">
        <w:rPr>
          <w:rStyle w:val="BodyTextChar"/>
        </w:rPr>
        <w:t xml:space="preserve">. The </w:t>
      </w:r>
      <w:r w:rsidR="005D5129" w:rsidRPr="00B62807">
        <w:rPr>
          <w:rStyle w:val="BodyTextChar"/>
        </w:rPr>
        <w:t xml:space="preserve">ensemble </w:t>
      </w:r>
      <w:r w:rsidRPr="00B62807">
        <w:rPr>
          <w:rStyle w:val="BodyTextChar"/>
        </w:rPr>
        <w:t xml:space="preserve">method we suggest is called stacking which involves </w:t>
      </w:r>
      <w:r w:rsidR="005D5129" w:rsidRPr="00B62807">
        <w:rPr>
          <w:rStyle w:val="BodyTextChar"/>
        </w:rPr>
        <w:t xml:space="preserve">training </w:t>
      </w:r>
      <w:r w:rsidRPr="00B62807">
        <w:rPr>
          <w:rStyle w:val="BodyTextChar"/>
        </w:rPr>
        <w:t>heterogenous models in parallel. The heterogeneity of our models will be governed by the different feature representation techniques, discussed above, that we can use. We propose using these variable feature representations to train separate models and finally take a</w:t>
      </w:r>
      <w:r w:rsidR="005D5129" w:rsidRPr="00B62807">
        <w:rPr>
          <w:rStyle w:val="BodyTextChar"/>
        </w:rPr>
        <w:t xml:space="preserve">n average </w:t>
      </w:r>
      <w:r w:rsidRPr="00B62807">
        <w:rPr>
          <w:rStyle w:val="BodyTextChar"/>
        </w:rPr>
        <w:t>of all the model predictions as our final prediction.</w:t>
      </w:r>
    </w:p>
    <w:p w14:paraId="44A3545C" w14:textId="1456FC15" w:rsidR="00826D4D" w:rsidRDefault="00826D4D" w:rsidP="00AE77EE">
      <w:pPr>
        <w:pStyle w:val="Heading2"/>
      </w:pPr>
    </w:p>
    <w:p w14:paraId="48E827DC" w14:textId="3918560C" w:rsidR="00826D4D" w:rsidRPr="00802660" w:rsidRDefault="00826D4D" w:rsidP="00AE77EE">
      <w:pPr>
        <w:pStyle w:val="Caption"/>
      </w:pPr>
      <w:bookmarkStart w:id="16" w:name="_Ref49279835"/>
      <w:bookmarkStart w:id="17" w:name="_Ref49279788"/>
      <w:r w:rsidRPr="00802660">
        <w:t xml:space="preserve">Figure </w:t>
      </w:r>
      <w:bookmarkEnd w:id="16"/>
      <w:r w:rsidR="00443097">
        <w:t>3</w:t>
      </w:r>
      <w:r w:rsidRPr="00802660">
        <w:t>: Workflow of the proposed ensemble model. Different feature representations create separate models and the final model output is an average of the predictions made by each individual model.</w:t>
      </w:r>
      <w:bookmarkEnd w:id="17"/>
    </w:p>
    <w:p w14:paraId="7BC1C4CD" w14:textId="2AF184F0" w:rsidR="00826D4D" w:rsidRPr="00802660" w:rsidRDefault="00826D4D" w:rsidP="00AE77EE">
      <w:pPr>
        <w:rPr>
          <w:noProof/>
        </w:rPr>
      </w:pPr>
    </w:p>
    <w:p w14:paraId="07828EC5" w14:textId="36ABD124" w:rsidR="00BE268B" w:rsidRDefault="00BE268B" w:rsidP="00AE77EE">
      <w:pPr>
        <w:pStyle w:val="BodyText"/>
      </w:pPr>
    </w:p>
    <w:p w14:paraId="3A0D2FEF" w14:textId="77777777" w:rsidR="00802660" w:rsidRDefault="00802660" w:rsidP="00AE77EE"/>
    <w:p w14:paraId="17114971" w14:textId="77777777" w:rsidR="00802660" w:rsidRDefault="00802660" w:rsidP="00AE77EE"/>
    <w:p w14:paraId="7883270B" w14:textId="3BEF44C3" w:rsidR="00BE268B" w:rsidRDefault="00802660" w:rsidP="00AE77EE">
      <w:pPr>
        <w:pStyle w:val="Heading2"/>
        <w:rPr>
          <w:rFonts w:eastAsiaTheme="minorHAnsi"/>
        </w:rPr>
      </w:pPr>
      <w:r>
        <w:rPr>
          <w:rFonts w:eastAsiaTheme="minorHAnsi"/>
        </w:rPr>
        <w:t>References</w:t>
      </w:r>
    </w:p>
    <w:p w14:paraId="55316C44" w14:textId="05D3D072" w:rsidR="00E80B1D" w:rsidRPr="00E80B1D" w:rsidRDefault="00BE268B" w:rsidP="00AE77EE">
      <w:pPr>
        <w:rPr>
          <w:noProof/>
        </w:rPr>
      </w:pPr>
      <w:r>
        <w:fldChar w:fldCharType="begin" w:fldLock="1"/>
      </w:r>
      <w:r>
        <w:instrText xml:space="preserve">ADDIN Mendeley Bibliography CSL_BIBLIOGRAPHY </w:instrText>
      </w:r>
      <w:r>
        <w:fldChar w:fldCharType="separate"/>
      </w:r>
      <w:r w:rsidR="00E80B1D" w:rsidRPr="00E80B1D">
        <w:rPr>
          <w:noProof/>
        </w:rPr>
        <w:t>[1]</w:t>
      </w:r>
      <w:r w:rsidR="00E80B1D" w:rsidRPr="00E80B1D">
        <w:rPr>
          <w:noProof/>
        </w:rPr>
        <w:tab/>
        <w:t xml:space="preserve">Y. Feng, Y. Wang, J. Liu, Y. Liu, X. Cao, and S. Xue, “Structural Insight into Acyl-ACP Thioesterase toward Substrate Specificity Design,” </w:t>
      </w:r>
      <w:r w:rsidR="00E80B1D" w:rsidRPr="00E80B1D">
        <w:rPr>
          <w:i/>
          <w:iCs/>
          <w:noProof/>
        </w:rPr>
        <w:t>ACS Chem. Biol.</w:t>
      </w:r>
      <w:r w:rsidR="00E80B1D" w:rsidRPr="00E80B1D">
        <w:rPr>
          <w:noProof/>
        </w:rPr>
        <w:t>, vol. 12, no. 11, pp. 2830–2836, 2017, doi: 10.1021/acschembio.7b00641.</w:t>
      </w:r>
    </w:p>
    <w:p w14:paraId="64135168" w14:textId="77777777" w:rsidR="00E80B1D" w:rsidRPr="00E80B1D" w:rsidRDefault="00E80B1D" w:rsidP="00AE77EE">
      <w:pPr>
        <w:rPr>
          <w:noProof/>
        </w:rPr>
      </w:pPr>
      <w:r w:rsidRPr="00E80B1D">
        <w:rPr>
          <w:noProof/>
        </w:rPr>
        <w:t>[2]</w:t>
      </w:r>
      <w:r w:rsidRPr="00E80B1D">
        <w:rPr>
          <w:noProof/>
        </w:rPr>
        <w:tab/>
        <w:t xml:space="preserve">M. J. Grisewood </w:t>
      </w:r>
      <w:r w:rsidRPr="00E80B1D">
        <w:rPr>
          <w:i/>
          <w:iCs/>
          <w:noProof/>
        </w:rPr>
        <w:t>et al.</w:t>
      </w:r>
      <w:r w:rsidRPr="00E80B1D">
        <w:rPr>
          <w:noProof/>
        </w:rPr>
        <w:t xml:space="preserve">, “Computational Redesign of Acyl-ACP Thioesterase with Improved Selectivity toward Medium-Chain-Length Fatty Acids,” </w:t>
      </w:r>
      <w:r w:rsidRPr="00E80B1D">
        <w:rPr>
          <w:i/>
          <w:iCs/>
          <w:noProof/>
        </w:rPr>
        <w:t>ACS Catal.</w:t>
      </w:r>
      <w:r w:rsidRPr="00E80B1D">
        <w:rPr>
          <w:noProof/>
        </w:rPr>
        <w:t>, vol. 7, no. 6, pp. 3837–3849, 2017, doi: 10.1021/acscatal.7b00408.</w:t>
      </w:r>
    </w:p>
    <w:p w14:paraId="5426E16A" w14:textId="77777777" w:rsidR="00E80B1D" w:rsidRPr="00E80B1D" w:rsidRDefault="00E80B1D" w:rsidP="00AE77EE">
      <w:pPr>
        <w:rPr>
          <w:noProof/>
        </w:rPr>
      </w:pPr>
      <w:r w:rsidRPr="00E80B1D">
        <w:rPr>
          <w:noProof/>
        </w:rPr>
        <w:t>[3]</w:t>
      </w:r>
      <w:r w:rsidRPr="00E80B1D">
        <w:rPr>
          <w:noProof/>
        </w:rPr>
        <w:tab/>
        <w:t xml:space="preserve">F. Jing, L. Zhao, M. D. Yandeau-Nelson, and B. J. Nikolau, “Two distinct domains contribute to the substrate acyl chain length selectivity of plant acyl-ACP thioesterase,” </w:t>
      </w:r>
      <w:r w:rsidRPr="00E80B1D">
        <w:rPr>
          <w:i/>
          <w:iCs/>
          <w:noProof/>
        </w:rPr>
        <w:t>Nat. Commun.</w:t>
      </w:r>
      <w:r w:rsidRPr="00E80B1D">
        <w:rPr>
          <w:noProof/>
        </w:rPr>
        <w:t>, vol. 9, no. 1, 2018, doi: 10.1038/s41467-018-03310-z.</w:t>
      </w:r>
    </w:p>
    <w:p w14:paraId="72A28927" w14:textId="77777777" w:rsidR="00E80B1D" w:rsidRPr="00E80B1D" w:rsidRDefault="00E80B1D" w:rsidP="00AE77EE">
      <w:pPr>
        <w:rPr>
          <w:noProof/>
        </w:rPr>
      </w:pPr>
      <w:r w:rsidRPr="00E80B1D">
        <w:rPr>
          <w:noProof/>
        </w:rPr>
        <w:t>[4]</w:t>
      </w:r>
      <w:r w:rsidRPr="00E80B1D">
        <w:rPr>
          <w:noProof/>
        </w:rPr>
        <w:tab/>
        <w:t xml:space="preserve">R. Saidi, M. Maddouri, and E. Mephu Nguifo, “Protein sequences classification by means of feature extraction with substitution matrices,” </w:t>
      </w:r>
      <w:r w:rsidRPr="00E80B1D">
        <w:rPr>
          <w:i/>
          <w:iCs/>
          <w:noProof/>
        </w:rPr>
        <w:t>BMC Bioinformatics</w:t>
      </w:r>
      <w:r w:rsidRPr="00E80B1D">
        <w:rPr>
          <w:noProof/>
        </w:rPr>
        <w:t>, 2010, doi: 10.1186/1471-2105-11-175.</w:t>
      </w:r>
    </w:p>
    <w:p w14:paraId="6074A1B7" w14:textId="77777777" w:rsidR="00E80B1D" w:rsidRPr="00E80B1D" w:rsidRDefault="00E80B1D" w:rsidP="00AE77EE">
      <w:pPr>
        <w:rPr>
          <w:noProof/>
        </w:rPr>
      </w:pPr>
      <w:r w:rsidRPr="00E80B1D">
        <w:rPr>
          <w:noProof/>
        </w:rPr>
        <w:t>[5]</w:t>
      </w:r>
      <w:r w:rsidRPr="00E80B1D">
        <w:rPr>
          <w:noProof/>
        </w:rPr>
        <w:tab/>
        <w:t>D. Wang and G. Bin Huang, “Protein sequence classification using extreme learning machine,” 2005, doi: 10.1109/IJCNN.2005.1556080.</w:t>
      </w:r>
    </w:p>
    <w:p w14:paraId="756CCFC1" w14:textId="77777777" w:rsidR="00E80B1D" w:rsidRPr="00E80B1D" w:rsidRDefault="00E80B1D" w:rsidP="00AE77EE">
      <w:pPr>
        <w:rPr>
          <w:noProof/>
        </w:rPr>
      </w:pPr>
      <w:r w:rsidRPr="00E80B1D">
        <w:rPr>
          <w:noProof/>
        </w:rPr>
        <w:t>[6]</w:t>
      </w:r>
      <w:r w:rsidRPr="00E80B1D">
        <w:rPr>
          <w:noProof/>
        </w:rPr>
        <w:tab/>
        <w:t xml:space="preserve">B. C. Smith, B. Settles, W. C. Hallows, M. W. Craven, and J. M. Denu, “SIRT3 substrate specificity determined by peptide arrays and machine learning,” </w:t>
      </w:r>
      <w:r w:rsidRPr="00E80B1D">
        <w:rPr>
          <w:i/>
          <w:iCs/>
          <w:noProof/>
        </w:rPr>
        <w:t>ACS Chem. Biol.</w:t>
      </w:r>
      <w:r w:rsidRPr="00E80B1D">
        <w:rPr>
          <w:noProof/>
        </w:rPr>
        <w:t>, 2011, doi: 10.1021/cb100218d.</w:t>
      </w:r>
    </w:p>
    <w:p w14:paraId="6A6B1CFE" w14:textId="77777777" w:rsidR="00E80B1D" w:rsidRPr="00E80B1D" w:rsidRDefault="00E80B1D" w:rsidP="00AE77EE">
      <w:pPr>
        <w:rPr>
          <w:noProof/>
        </w:rPr>
      </w:pPr>
      <w:r w:rsidRPr="00E80B1D">
        <w:rPr>
          <w:noProof/>
        </w:rPr>
        <w:t>[7]</w:t>
      </w:r>
      <w:r w:rsidRPr="00E80B1D">
        <w:rPr>
          <w:noProof/>
        </w:rPr>
        <w:tab/>
        <w:t xml:space="preserve">N. K. Mishra, J. Chang, and P. X. Zhao, “Prediction of membrane transport proteins and their substrate specificities using primary sequence information,” </w:t>
      </w:r>
      <w:r w:rsidRPr="00E80B1D">
        <w:rPr>
          <w:i/>
          <w:iCs/>
          <w:noProof/>
        </w:rPr>
        <w:t>PLoS One</w:t>
      </w:r>
      <w:r w:rsidRPr="00E80B1D">
        <w:rPr>
          <w:noProof/>
        </w:rPr>
        <w:t>, 2014, doi: 10.1371/journal.pone.0100278.</w:t>
      </w:r>
    </w:p>
    <w:p w14:paraId="2A441C1C" w14:textId="77777777" w:rsidR="00E80B1D" w:rsidRPr="00E80B1D" w:rsidRDefault="00E80B1D" w:rsidP="00AE77EE">
      <w:pPr>
        <w:rPr>
          <w:noProof/>
        </w:rPr>
      </w:pPr>
      <w:r w:rsidRPr="00E80B1D">
        <w:rPr>
          <w:noProof/>
        </w:rPr>
        <w:t>[8]</w:t>
      </w:r>
      <w:r w:rsidRPr="00E80B1D">
        <w:rPr>
          <w:noProof/>
        </w:rPr>
        <w:tab/>
        <w:t xml:space="preserve">T. A. Voelker and H. M. Davies, “Alteration of the specificity and regulation of fatty acid synthesis of Escherichia coli by expression of a plant medium-chain acyl-acyl carrier protein thioesterase,” </w:t>
      </w:r>
      <w:r w:rsidRPr="00E80B1D">
        <w:rPr>
          <w:i/>
          <w:iCs/>
          <w:noProof/>
        </w:rPr>
        <w:t>J. Bacteriol.</w:t>
      </w:r>
      <w:r w:rsidRPr="00E80B1D">
        <w:rPr>
          <w:noProof/>
        </w:rPr>
        <w:t>, 1994, doi: 10.1128/jb.176.23.7320-7327.1994.</w:t>
      </w:r>
    </w:p>
    <w:p w14:paraId="11F71DDD" w14:textId="77777777" w:rsidR="00E80B1D" w:rsidRPr="00E80B1D" w:rsidRDefault="00E80B1D" w:rsidP="00AE77EE">
      <w:pPr>
        <w:rPr>
          <w:noProof/>
        </w:rPr>
      </w:pPr>
      <w:r w:rsidRPr="00E80B1D">
        <w:rPr>
          <w:noProof/>
        </w:rPr>
        <w:t>[9]</w:t>
      </w:r>
      <w:r w:rsidRPr="00E80B1D">
        <w:rPr>
          <w:noProof/>
        </w:rPr>
        <w:tab/>
        <w:t xml:space="preserve">A. Jones, H. M. Davies, and T. A. Voelker, “Palmitoyl-acyl carrier protein (ACP) thioesterase and the evolutionary origin of plant acyl-ACP thioesterases,” </w:t>
      </w:r>
      <w:r w:rsidRPr="00E80B1D">
        <w:rPr>
          <w:i/>
          <w:iCs/>
          <w:noProof/>
        </w:rPr>
        <w:t>Plant Cell</w:t>
      </w:r>
      <w:r w:rsidRPr="00E80B1D">
        <w:rPr>
          <w:noProof/>
        </w:rPr>
        <w:t>, 1995, doi: 10.1105/tpc.7.3.359.</w:t>
      </w:r>
    </w:p>
    <w:p w14:paraId="504169E5" w14:textId="77777777" w:rsidR="00E80B1D" w:rsidRPr="00E80B1D" w:rsidRDefault="00E80B1D" w:rsidP="00AE77EE">
      <w:pPr>
        <w:rPr>
          <w:noProof/>
        </w:rPr>
      </w:pPr>
      <w:r w:rsidRPr="00E80B1D">
        <w:rPr>
          <w:noProof/>
        </w:rPr>
        <w:t>[10]</w:t>
      </w:r>
      <w:r w:rsidRPr="00E80B1D">
        <w:rPr>
          <w:noProof/>
        </w:rPr>
        <w:tab/>
        <w:t xml:space="preserve">L. Yuan, T. A. Voelker, and D. J. Hawkins, “Modification of the substrate specificity of an acyl-acyl carrier protein thioesterase by protein engineering,” </w:t>
      </w:r>
      <w:r w:rsidRPr="00E80B1D">
        <w:rPr>
          <w:i/>
          <w:iCs/>
          <w:noProof/>
        </w:rPr>
        <w:t>Proc. Natl. Acad. Sci. U. S. A.</w:t>
      </w:r>
      <w:r w:rsidRPr="00E80B1D">
        <w:rPr>
          <w:noProof/>
        </w:rPr>
        <w:t>, 1995, doi: 10.1073/pnas.92.23.10639.</w:t>
      </w:r>
    </w:p>
    <w:p w14:paraId="78886262" w14:textId="77777777" w:rsidR="00E80B1D" w:rsidRPr="00E80B1D" w:rsidRDefault="00E80B1D" w:rsidP="00AE77EE">
      <w:pPr>
        <w:rPr>
          <w:noProof/>
        </w:rPr>
      </w:pPr>
      <w:r w:rsidRPr="00E80B1D">
        <w:rPr>
          <w:noProof/>
        </w:rPr>
        <w:lastRenderedPageBreak/>
        <w:t>[11]</w:t>
      </w:r>
      <w:r w:rsidRPr="00E80B1D">
        <w:rPr>
          <w:noProof/>
        </w:rPr>
        <w:tab/>
        <w:t xml:space="preserve">S. F. Altschul and W. M. and D. J. L. , Thomas L. Madden, Alejandro A. Schäffer1, Jinghui Zhang, Zheng Zhang2, “Gapped BLAST and PSI-BLAST: a new generation of protein database search programs Stephen,” </w:t>
      </w:r>
      <w:r w:rsidRPr="00E80B1D">
        <w:rPr>
          <w:i/>
          <w:iCs/>
          <w:noProof/>
        </w:rPr>
        <w:t>Nucleic Acids Res.</w:t>
      </w:r>
      <w:r w:rsidRPr="00E80B1D">
        <w:rPr>
          <w:noProof/>
        </w:rPr>
        <w:t>, vol. 25, no. 17, pp. 3389–3402, 1997.</w:t>
      </w:r>
    </w:p>
    <w:p w14:paraId="233354E5" w14:textId="77777777" w:rsidR="00E80B1D" w:rsidRPr="00E80B1D" w:rsidRDefault="00E80B1D" w:rsidP="00AE77EE">
      <w:pPr>
        <w:rPr>
          <w:noProof/>
        </w:rPr>
      </w:pPr>
      <w:r w:rsidRPr="00E80B1D">
        <w:rPr>
          <w:noProof/>
        </w:rPr>
        <w:t>[12]</w:t>
      </w:r>
      <w:r w:rsidRPr="00E80B1D">
        <w:rPr>
          <w:noProof/>
        </w:rPr>
        <w:tab/>
        <w:t xml:space="preserve">A. M. Waterhouse, J. B. Procter, D. M. A. Martin, M. Clamp, and G. J. Barton, “Jalview Version 2-A multiple sequence alignment editor and analysis workbench,” </w:t>
      </w:r>
      <w:r w:rsidRPr="00E80B1D">
        <w:rPr>
          <w:i/>
          <w:iCs/>
          <w:noProof/>
        </w:rPr>
        <w:t>Bioinformatics</w:t>
      </w:r>
      <w:r w:rsidRPr="00E80B1D">
        <w:rPr>
          <w:noProof/>
        </w:rPr>
        <w:t>, vol. 25, no. 9, pp. 1189–1191, 2009, doi: 10.1093/bioinformatics/btp033.</w:t>
      </w:r>
    </w:p>
    <w:p w14:paraId="034CA272" w14:textId="77777777" w:rsidR="00E80B1D" w:rsidRPr="00E80B1D" w:rsidRDefault="00E80B1D" w:rsidP="00AE77EE">
      <w:pPr>
        <w:rPr>
          <w:noProof/>
        </w:rPr>
      </w:pPr>
      <w:r w:rsidRPr="00E80B1D">
        <w:rPr>
          <w:noProof/>
        </w:rPr>
        <w:t>[13]</w:t>
      </w:r>
      <w:r w:rsidRPr="00E80B1D">
        <w:rPr>
          <w:noProof/>
        </w:rPr>
        <w:tab/>
        <w:t xml:space="preserve">D. Jurafsky and J. H. Martin, “Language Modeling with N- grams,” </w:t>
      </w:r>
      <w:r w:rsidRPr="00E80B1D">
        <w:rPr>
          <w:i/>
          <w:iCs/>
          <w:noProof/>
        </w:rPr>
        <w:t>Speech Lang. Process.</w:t>
      </w:r>
      <w:r w:rsidRPr="00E80B1D">
        <w:rPr>
          <w:noProof/>
        </w:rPr>
        <w:t>, 2016.</w:t>
      </w:r>
    </w:p>
    <w:p w14:paraId="2E00AD4E" w14:textId="77777777" w:rsidR="00E80B1D" w:rsidRPr="00E80B1D" w:rsidRDefault="00E80B1D" w:rsidP="00AE77EE">
      <w:pPr>
        <w:rPr>
          <w:noProof/>
        </w:rPr>
      </w:pPr>
      <w:r w:rsidRPr="00E80B1D">
        <w:rPr>
          <w:noProof/>
        </w:rPr>
        <w:t>[14]</w:t>
      </w:r>
      <w:r w:rsidRPr="00E80B1D">
        <w:rPr>
          <w:noProof/>
        </w:rPr>
        <w:tab/>
        <w:t xml:space="preserve">A. Krizhevsky, I. Sutskever, and H. Geoffrey E., “Imagenet,” </w:t>
      </w:r>
      <w:r w:rsidRPr="00E80B1D">
        <w:rPr>
          <w:i/>
          <w:iCs/>
          <w:noProof/>
        </w:rPr>
        <w:t>Adv. Neural Inf. Process. Syst. 25</w:t>
      </w:r>
      <w:r w:rsidRPr="00E80B1D">
        <w:rPr>
          <w:noProof/>
        </w:rPr>
        <w:t>, 2012, doi: 10.1109/5.726791.</w:t>
      </w:r>
    </w:p>
    <w:p w14:paraId="6B056486" w14:textId="77777777" w:rsidR="00E80B1D" w:rsidRPr="00E80B1D" w:rsidRDefault="00E80B1D" w:rsidP="00AE77EE">
      <w:pPr>
        <w:rPr>
          <w:noProof/>
        </w:rPr>
      </w:pPr>
      <w:r w:rsidRPr="00E80B1D">
        <w:rPr>
          <w:noProof/>
        </w:rPr>
        <w:t>[15]</w:t>
      </w:r>
      <w:r w:rsidRPr="00E80B1D">
        <w:rPr>
          <w:noProof/>
        </w:rPr>
        <w:tab/>
        <w:t xml:space="preserve">M. van Smeden </w:t>
      </w:r>
      <w:r w:rsidRPr="00E80B1D">
        <w:rPr>
          <w:i/>
          <w:iCs/>
          <w:noProof/>
        </w:rPr>
        <w:t>et al.</w:t>
      </w:r>
      <w:r w:rsidRPr="00E80B1D">
        <w:rPr>
          <w:noProof/>
        </w:rPr>
        <w:t xml:space="preserve">, “Sample size for binary logistic prediction models: Beyond events per variable criteria,” </w:t>
      </w:r>
      <w:r w:rsidRPr="00E80B1D">
        <w:rPr>
          <w:i/>
          <w:iCs/>
          <w:noProof/>
        </w:rPr>
        <w:t>Stat. Methods Med. Res.</w:t>
      </w:r>
      <w:r w:rsidRPr="00E80B1D">
        <w:rPr>
          <w:noProof/>
        </w:rPr>
        <w:t>, 2019, doi: 10.1177/0962280218784726.</w:t>
      </w:r>
    </w:p>
    <w:p w14:paraId="48EE5BB2" w14:textId="77777777" w:rsidR="00E80B1D" w:rsidRPr="00E80B1D" w:rsidRDefault="00E80B1D" w:rsidP="00AE77EE">
      <w:pPr>
        <w:rPr>
          <w:noProof/>
        </w:rPr>
      </w:pPr>
      <w:r w:rsidRPr="00E80B1D">
        <w:rPr>
          <w:noProof/>
        </w:rPr>
        <w:t>[16]</w:t>
      </w:r>
      <w:r w:rsidRPr="00E80B1D">
        <w:rPr>
          <w:noProof/>
        </w:rPr>
        <w:tab/>
        <w:t xml:space="preserve">C. Cortes and V. Vapnik, “Support-Vector Networks,” </w:t>
      </w:r>
      <w:r w:rsidRPr="00E80B1D">
        <w:rPr>
          <w:i/>
          <w:iCs/>
          <w:noProof/>
        </w:rPr>
        <w:t>Mach. Learn.</w:t>
      </w:r>
      <w:r w:rsidRPr="00E80B1D">
        <w:rPr>
          <w:noProof/>
        </w:rPr>
        <w:t>, 1995, doi: 10.1023/A:1022627411411.</w:t>
      </w:r>
    </w:p>
    <w:p w14:paraId="7B408E9B" w14:textId="77777777" w:rsidR="00E80B1D" w:rsidRPr="00E80B1D" w:rsidRDefault="00E80B1D" w:rsidP="00AE77EE">
      <w:pPr>
        <w:rPr>
          <w:noProof/>
        </w:rPr>
      </w:pPr>
      <w:r w:rsidRPr="00E80B1D">
        <w:rPr>
          <w:noProof/>
        </w:rPr>
        <w:t>[17]</w:t>
      </w:r>
      <w:r w:rsidRPr="00E80B1D">
        <w:rPr>
          <w:noProof/>
        </w:rPr>
        <w:tab/>
        <w:t xml:space="preserve">S. Developers, “Support Vector Machines — scikit-learn 0.17.1 documentation,” </w:t>
      </w:r>
      <w:r w:rsidRPr="00E80B1D">
        <w:rPr>
          <w:i/>
          <w:iCs/>
          <w:noProof/>
        </w:rPr>
        <w:t>http://scikit-learn.org</w:t>
      </w:r>
      <w:r w:rsidRPr="00E80B1D">
        <w:rPr>
          <w:noProof/>
        </w:rPr>
        <w:t>, 2014. .</w:t>
      </w:r>
    </w:p>
    <w:p w14:paraId="76ABD36E" w14:textId="77777777" w:rsidR="00E80B1D" w:rsidRPr="00E80B1D" w:rsidRDefault="00E80B1D" w:rsidP="00AE77EE">
      <w:pPr>
        <w:rPr>
          <w:noProof/>
        </w:rPr>
      </w:pPr>
      <w:r w:rsidRPr="00E80B1D">
        <w:rPr>
          <w:noProof/>
        </w:rPr>
        <w:t>[18]</w:t>
      </w:r>
      <w:r w:rsidRPr="00E80B1D">
        <w:rPr>
          <w:noProof/>
        </w:rPr>
        <w:tab/>
        <w:t xml:space="preserve">Z. Chen </w:t>
      </w:r>
      <w:r w:rsidRPr="00E80B1D">
        <w:rPr>
          <w:i/>
          <w:iCs/>
          <w:noProof/>
        </w:rPr>
        <w:t>et al.</w:t>
      </w:r>
      <w:r w:rsidRPr="00E80B1D">
        <w:rPr>
          <w:noProof/>
        </w:rPr>
        <w:t xml:space="preserve">, “IFeature: A Python package and web server for features extraction and selection from protein and peptide sequences,” </w:t>
      </w:r>
      <w:r w:rsidRPr="00E80B1D">
        <w:rPr>
          <w:i/>
          <w:iCs/>
          <w:noProof/>
        </w:rPr>
        <w:t>Bioinformatics</w:t>
      </w:r>
      <w:r w:rsidRPr="00E80B1D">
        <w:rPr>
          <w:noProof/>
        </w:rPr>
        <w:t>, 2018, doi: 10.1093/bioinformatics/bty140.</w:t>
      </w:r>
    </w:p>
    <w:p w14:paraId="38DB1E5E" w14:textId="77777777" w:rsidR="00E80B1D" w:rsidRPr="00E80B1D" w:rsidRDefault="00E80B1D" w:rsidP="00AE77EE">
      <w:pPr>
        <w:rPr>
          <w:noProof/>
        </w:rPr>
      </w:pPr>
      <w:r w:rsidRPr="00E80B1D">
        <w:rPr>
          <w:noProof/>
        </w:rPr>
        <w:t>[19]</w:t>
      </w:r>
      <w:r w:rsidRPr="00E80B1D">
        <w:rPr>
          <w:noProof/>
        </w:rPr>
        <w:tab/>
        <w:t xml:space="preserve">I. Dubchak, I. Muchnik, C. Mayor, I. Dralyuk, and S. H. Kim, “Recognition of a protein fold in the context of the SCOP classification,” </w:t>
      </w:r>
      <w:r w:rsidRPr="00E80B1D">
        <w:rPr>
          <w:i/>
          <w:iCs/>
          <w:noProof/>
        </w:rPr>
        <w:t>Proteins Struct. Funct. Genet.</w:t>
      </w:r>
      <w:r w:rsidRPr="00E80B1D">
        <w:rPr>
          <w:noProof/>
        </w:rPr>
        <w:t>, 1999, doi: 10.1002/(SICI)1097-0134(19990601)35:4&lt;401::AID-PROT3&gt;3.0.CO;2-K.</w:t>
      </w:r>
    </w:p>
    <w:p w14:paraId="4928DC48" w14:textId="77777777" w:rsidR="00E80B1D" w:rsidRPr="00E80B1D" w:rsidRDefault="00E80B1D" w:rsidP="00AE77EE">
      <w:pPr>
        <w:rPr>
          <w:noProof/>
        </w:rPr>
      </w:pPr>
      <w:r w:rsidRPr="00E80B1D">
        <w:rPr>
          <w:noProof/>
        </w:rPr>
        <w:t>[20]</w:t>
      </w:r>
      <w:r w:rsidRPr="00E80B1D">
        <w:rPr>
          <w:noProof/>
        </w:rPr>
        <w:tab/>
        <w:t xml:space="preserve">K. Tomii and M. Kanehisa, “Analysis of amino acid indices and mutation matrices for sequence comparison and structure prediction of proteins,” </w:t>
      </w:r>
      <w:r w:rsidRPr="00E80B1D">
        <w:rPr>
          <w:i/>
          <w:iCs/>
          <w:noProof/>
        </w:rPr>
        <w:t>Protein Eng.</w:t>
      </w:r>
      <w:r w:rsidRPr="00E80B1D">
        <w:rPr>
          <w:noProof/>
        </w:rPr>
        <w:t>, 1996, doi: 10.1093/protein/9.1.27.</w:t>
      </w:r>
    </w:p>
    <w:p w14:paraId="3F9791B8" w14:textId="77777777" w:rsidR="00E80B1D" w:rsidRPr="00E80B1D" w:rsidRDefault="00E80B1D" w:rsidP="00AE77EE">
      <w:pPr>
        <w:rPr>
          <w:noProof/>
        </w:rPr>
      </w:pPr>
      <w:r w:rsidRPr="00E80B1D">
        <w:rPr>
          <w:noProof/>
        </w:rPr>
        <w:t>[21]</w:t>
      </w:r>
      <w:r w:rsidRPr="00E80B1D">
        <w:rPr>
          <w:noProof/>
        </w:rPr>
        <w:tab/>
        <w:t xml:space="preserve">B. Niu </w:t>
      </w:r>
      <w:r w:rsidRPr="00E80B1D">
        <w:rPr>
          <w:i/>
          <w:iCs/>
          <w:noProof/>
        </w:rPr>
        <w:t>et al.</w:t>
      </w:r>
      <w:r w:rsidRPr="00E80B1D">
        <w:rPr>
          <w:noProof/>
        </w:rPr>
        <w:t xml:space="preserve">, “Prediction of substrate-enzyme-product interaction based on molecular descriptors and physicochemical properties,” </w:t>
      </w:r>
      <w:r w:rsidRPr="00E80B1D">
        <w:rPr>
          <w:i/>
          <w:iCs/>
          <w:noProof/>
        </w:rPr>
        <w:t>Biomed Res. Int.</w:t>
      </w:r>
      <w:r w:rsidRPr="00E80B1D">
        <w:rPr>
          <w:noProof/>
        </w:rPr>
        <w:t>, 2013, doi: 10.1155/2013/674215.</w:t>
      </w:r>
    </w:p>
    <w:p w14:paraId="34BE1856" w14:textId="77777777" w:rsidR="00E80B1D" w:rsidRPr="00E80B1D" w:rsidRDefault="00E80B1D" w:rsidP="00AE77EE">
      <w:pPr>
        <w:rPr>
          <w:noProof/>
        </w:rPr>
      </w:pPr>
      <w:r w:rsidRPr="00E80B1D">
        <w:rPr>
          <w:noProof/>
        </w:rPr>
        <w:t>[22]</w:t>
      </w:r>
      <w:r w:rsidRPr="00E80B1D">
        <w:rPr>
          <w:noProof/>
        </w:rPr>
        <w:tab/>
        <w:t>T. G. Dietterich, “Ensemble methods in machine learning,” 2000, doi: 10.1007/3-540-45014-9_1.</w:t>
      </w:r>
    </w:p>
    <w:p w14:paraId="7BB86292" w14:textId="77777777" w:rsidR="00E80B1D" w:rsidRPr="00E80B1D" w:rsidRDefault="00E80B1D" w:rsidP="00AE77EE">
      <w:pPr>
        <w:rPr>
          <w:noProof/>
        </w:rPr>
      </w:pPr>
      <w:r w:rsidRPr="00E80B1D">
        <w:rPr>
          <w:noProof/>
        </w:rPr>
        <w:t>[23]</w:t>
      </w:r>
      <w:r w:rsidRPr="00E80B1D">
        <w:rPr>
          <w:noProof/>
        </w:rPr>
        <w:tab/>
        <w:t xml:space="preserve">D. Marbach </w:t>
      </w:r>
      <w:r w:rsidRPr="00E80B1D">
        <w:rPr>
          <w:i/>
          <w:iCs/>
          <w:noProof/>
        </w:rPr>
        <w:t>et al.</w:t>
      </w:r>
      <w:r w:rsidRPr="00E80B1D">
        <w:rPr>
          <w:noProof/>
        </w:rPr>
        <w:t xml:space="preserve">, “Wisdom of crowds for robust gene network inference,” </w:t>
      </w:r>
      <w:r w:rsidRPr="00E80B1D">
        <w:rPr>
          <w:i/>
          <w:iCs/>
          <w:noProof/>
        </w:rPr>
        <w:t>Nat. Methods</w:t>
      </w:r>
      <w:r w:rsidRPr="00E80B1D">
        <w:rPr>
          <w:noProof/>
        </w:rPr>
        <w:t>, 2012, doi: 10.1038/nmeth.2016.</w:t>
      </w:r>
    </w:p>
    <w:p w14:paraId="27B2A492" w14:textId="6BAA783E" w:rsidR="00BE268B" w:rsidRPr="00453F80" w:rsidRDefault="00BE268B" w:rsidP="00AE77EE">
      <w:r>
        <w:fldChar w:fldCharType="end"/>
      </w:r>
    </w:p>
    <w:p w14:paraId="19E1A434" w14:textId="09595CC8" w:rsidR="00BE268B" w:rsidRDefault="00BE268B" w:rsidP="00AE77EE">
      <w:r>
        <w:lastRenderedPageBreak/>
        <w:br w:type="page"/>
      </w:r>
    </w:p>
    <w:p w14:paraId="1DC1B461" w14:textId="366944C0" w:rsidR="0034447C" w:rsidRDefault="0034447C" w:rsidP="00AE77EE">
      <w:pPr>
        <w:pStyle w:val="Heading2"/>
      </w:pPr>
      <w:bookmarkStart w:id="18" w:name="_Ref49440553"/>
      <w:bookmarkStart w:id="19" w:name="one-hot-encoded"/>
      <w:bookmarkStart w:id="20" w:name="_Ref49437234"/>
      <w:bookmarkStart w:id="21" w:name="_Ref49440155"/>
      <w:r>
        <w:lastRenderedPageBreak/>
        <w:t>Appendix A</w:t>
      </w:r>
      <w:bookmarkEnd w:id="18"/>
    </w:p>
    <w:p w14:paraId="4ED0616E" w14:textId="79D93B37" w:rsidR="0034447C" w:rsidRPr="009E6F50" w:rsidRDefault="0034447C" w:rsidP="00DA10F2">
      <w:pPr>
        <w:pStyle w:val="Heading3"/>
      </w:pPr>
      <w:r w:rsidRPr="009E6F50">
        <w:t>One-Hot Encoded</w:t>
      </w:r>
      <w:bookmarkEnd w:id="19"/>
    </w:p>
    <w:p w14:paraId="2B368B02" w14:textId="77777777" w:rsidR="0034447C" w:rsidRPr="00453F80" w:rsidRDefault="0034447C" w:rsidP="00AE77EE">
      <w:pPr>
        <w:pStyle w:val="BodyText"/>
      </w:pPr>
      <w:r w:rsidRPr="00453F80">
        <w:t xml:space="preserve">Each amino acid can be represented as a one-hot encoded vector. Since there are 20 amino acids, a vector of length 20 is defined with each index represented by an amino acid. For a specific amino acid, the index corresponding to that amino acid will be 1 and every other index will be zero. If A is a vector whose index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453F80">
        <w:t xml:space="preserve"> is represented by a specific amino acid </w:t>
      </w:r>
      <m:oMath>
        <m:r>
          <m:rPr>
            <m:sty m:val="p"/>
          </m:rPr>
          <w:rPr>
            <w:rFonts w:ascii="Cambria Math" w:hAnsi="Cambria Math"/>
          </w:rPr>
          <m:t>a</m:t>
        </m:r>
      </m:oMath>
      <w:r w:rsidRPr="00453F80">
        <w:t>, then</w:t>
      </w:r>
      <w:r>
        <w:t xml:space="preserve"> to represent the amino acid a,</w:t>
      </w:r>
    </w:p>
    <w:p w14:paraId="667FA198" w14:textId="77777777" w:rsidR="0034447C" w:rsidRPr="002F4F52" w:rsidRDefault="0034447C" w:rsidP="00AE77EE">
      <w:pPr>
        <w:pStyle w:val="BodyText"/>
      </w:pPr>
      <m:oMathPara>
        <m:oMath>
          <m:r>
            <m:rPr>
              <m:sty m:val="p"/>
            </m:rPr>
            <w:rPr>
              <w:rFonts w:ascii="Cambria Math" w:hAnsi="Cambria Math"/>
            </w:rPr>
            <m:t>A[i]=</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1,</m:t>
                    </m:r>
                  </m:e>
                  <m:e>
                    <m:r>
                      <m:rPr>
                        <m:nor/>
                      </m:rPr>
                      <m:t>if</m:t>
                    </m:r>
                    <m:r>
                      <m:rPr>
                        <m:sty m:val="p"/>
                      </m:rPr>
                      <w:rPr>
                        <w:rFonts w:ascii="Cambria Math" w:hAnsi="Cambria Math"/>
                      </w:rPr>
                      <m:t> i=</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mr>
                <m:mr>
                  <m:e>
                    <m:r>
                      <m:rPr>
                        <m:sty m:val="p"/>
                      </m:rPr>
                      <w:rPr>
                        <w:rFonts w:ascii="Cambria Math" w:hAnsi="Cambria Math"/>
                      </w:rPr>
                      <m:t>0,</m:t>
                    </m:r>
                  </m:e>
                  <m:e>
                    <m:r>
                      <m:rPr>
                        <m:nor/>
                      </m:rPr>
                      <m:t>otherwise</m:t>
                    </m:r>
                  </m:e>
                </m:mr>
              </m:m>
            </m:e>
          </m:d>
        </m:oMath>
      </m:oMathPara>
    </w:p>
    <w:p w14:paraId="5B80DE33" w14:textId="057F6593" w:rsidR="0034447C" w:rsidRPr="00453F80" w:rsidRDefault="0034447C" w:rsidP="00AE77EE">
      <w:pPr>
        <w:pStyle w:val="BodyText"/>
      </w:pPr>
      <w:r>
        <w:t>Thus, a</w:t>
      </w:r>
      <w:r w:rsidRPr="00453F80">
        <w:t xml:space="preserve"> sequence of length N can be represented as a N*20 matrix. This representation of a sequence is not only highly inefficient, but it also fails to capture the contextual information in the data.</w:t>
      </w:r>
    </w:p>
    <w:p w14:paraId="26B6D32E" w14:textId="77777777" w:rsidR="0034447C" w:rsidRDefault="0034447C" w:rsidP="00AE77EE">
      <w:pPr>
        <w:rPr>
          <w:rFonts w:eastAsiaTheme="majorEastAsia"/>
          <w:color w:val="4472C4" w:themeColor="accent1"/>
          <w:sz w:val="28"/>
          <w:szCs w:val="28"/>
        </w:rPr>
      </w:pPr>
      <w:r>
        <w:br w:type="page"/>
      </w:r>
    </w:p>
    <w:p w14:paraId="017003B9" w14:textId="2B3B8DAC" w:rsidR="00BE268B" w:rsidRPr="00BE268B" w:rsidRDefault="00BE268B" w:rsidP="00AE77EE">
      <w:pPr>
        <w:pStyle w:val="Heading2"/>
      </w:pPr>
      <w:r>
        <w:lastRenderedPageBreak/>
        <w:t>Appendix</w:t>
      </w:r>
      <w:bookmarkEnd w:id="20"/>
      <w:r w:rsidR="0034447C">
        <w:t xml:space="preserve"> B</w:t>
      </w:r>
      <w:bookmarkEnd w:id="21"/>
    </w:p>
    <w:p w14:paraId="2E2F3029" w14:textId="77777777" w:rsidR="00BE268B" w:rsidRPr="00E465D2" w:rsidRDefault="00BE268B" w:rsidP="00DA10F2">
      <w:pPr>
        <w:pStyle w:val="Heading3"/>
      </w:pPr>
      <w:bookmarkStart w:id="22" w:name="linear-regression-assumptions"/>
      <w:r w:rsidRPr="00536A6E">
        <w:t>Linear Regression Assumptions</w:t>
      </w:r>
      <w:bookmarkEnd w:id="22"/>
    </w:p>
    <w:p w14:paraId="63576EE2" w14:textId="77777777" w:rsidR="00BE268B" w:rsidRPr="00453F80" w:rsidRDefault="00BE268B" w:rsidP="00AE77EE">
      <w:pPr>
        <w:pStyle w:val="BodyText"/>
      </w:pPr>
      <w:r w:rsidRPr="00453F80">
        <w:t>Linear Regression assumes that:</w:t>
      </w:r>
    </w:p>
    <w:p w14:paraId="2C45B3B6" w14:textId="77777777" w:rsidR="00BE268B" w:rsidRPr="00714B70" w:rsidRDefault="00BE268B" w:rsidP="00AE77EE">
      <w:pPr>
        <w:pStyle w:val="BodyText"/>
        <w:numPr>
          <w:ilvl w:val="0"/>
          <w:numId w:val="13"/>
        </w:numPr>
      </w:pPr>
      <w:r w:rsidRPr="00714B70">
        <w:t>There exists a linear relationship between the independent variable, x, and the dependent variable, y.</w:t>
      </w:r>
    </w:p>
    <w:p w14:paraId="090C1E45" w14:textId="77777777" w:rsidR="00BE268B" w:rsidRPr="00714B70" w:rsidRDefault="00BE268B" w:rsidP="00AE77EE">
      <w:pPr>
        <w:pStyle w:val="BodyText"/>
        <w:numPr>
          <w:ilvl w:val="0"/>
          <w:numId w:val="13"/>
        </w:numPr>
      </w:pPr>
      <w:r w:rsidRPr="00714B70">
        <w:t xml:space="preserve">The residuals are independent. </w:t>
      </w:r>
    </w:p>
    <w:p w14:paraId="30F1E5AE" w14:textId="77777777" w:rsidR="00BE268B" w:rsidRPr="00714B70" w:rsidRDefault="00BE268B" w:rsidP="00AE77EE">
      <w:pPr>
        <w:pStyle w:val="BodyText"/>
        <w:numPr>
          <w:ilvl w:val="0"/>
          <w:numId w:val="13"/>
        </w:numPr>
      </w:pPr>
      <w:r w:rsidRPr="00714B70">
        <w:t>The residuals have constant variance at every level of x.</w:t>
      </w:r>
    </w:p>
    <w:p w14:paraId="4B0508EB" w14:textId="77777777" w:rsidR="00BE268B" w:rsidRPr="00714B70" w:rsidRDefault="00BE268B" w:rsidP="00AE77EE">
      <w:pPr>
        <w:pStyle w:val="BodyText"/>
        <w:numPr>
          <w:ilvl w:val="0"/>
          <w:numId w:val="13"/>
        </w:numPr>
      </w:pPr>
      <w:r w:rsidRPr="00714B70">
        <w:t>The residuals of the model are normally distributed.</w:t>
      </w:r>
    </w:p>
    <w:p w14:paraId="1B340EDE" w14:textId="77777777" w:rsidR="00BE268B" w:rsidRPr="00453F80" w:rsidRDefault="00BE268B" w:rsidP="00DA10F2">
      <w:pPr>
        <w:pStyle w:val="Heading3"/>
      </w:pPr>
      <w:bookmarkStart w:id="23" w:name="naive-bayes-assumptions"/>
      <w:r w:rsidRPr="00453F80">
        <w:t>Naive-Bayes Assumptions</w:t>
      </w:r>
      <w:bookmarkEnd w:id="23"/>
    </w:p>
    <w:p w14:paraId="372B18EA" w14:textId="77777777" w:rsidR="00BE268B" w:rsidRPr="00453F80" w:rsidRDefault="00BE268B" w:rsidP="00AE77EE">
      <w:pPr>
        <w:pStyle w:val="BodyText"/>
      </w:pPr>
      <w:r w:rsidRPr="00453F80">
        <w:t>Naive Bayes classifier assumes that:</w:t>
      </w:r>
    </w:p>
    <w:p w14:paraId="0B67A0AD" w14:textId="77777777" w:rsidR="00BE268B" w:rsidRPr="00453F80" w:rsidRDefault="00BE268B" w:rsidP="00AE77EE">
      <w:pPr>
        <w:pStyle w:val="BodyText"/>
        <w:numPr>
          <w:ilvl w:val="0"/>
          <w:numId w:val="14"/>
        </w:numPr>
      </w:pPr>
      <w:r w:rsidRPr="00453F80">
        <w:t>The effect of the value of a predictor (x) on a given class (c) is independent of the values of other predictors.</w:t>
      </w:r>
    </w:p>
    <w:p w14:paraId="218BD442" w14:textId="77777777" w:rsidR="00BE268B" w:rsidRPr="00453F80" w:rsidRDefault="00BE268B" w:rsidP="00AE77EE">
      <w:pPr>
        <w:pStyle w:val="BodyText"/>
        <w:numPr>
          <w:ilvl w:val="0"/>
          <w:numId w:val="14"/>
        </w:numPr>
      </w:pPr>
      <w:r w:rsidRPr="00453F80">
        <w:t>The data is independent and identically distributed.</w:t>
      </w:r>
    </w:p>
    <w:p w14:paraId="0C5A9F6D" w14:textId="77777777" w:rsidR="00BE268B" w:rsidRPr="00453F80" w:rsidRDefault="00BE268B" w:rsidP="00DA10F2">
      <w:pPr>
        <w:pStyle w:val="Heading3"/>
      </w:pPr>
      <w:bookmarkStart w:id="24" w:name="support-vector-machine-assumptions"/>
      <w:r w:rsidRPr="00453F80">
        <w:t>Support Vector Machine Assumptions</w:t>
      </w:r>
      <w:bookmarkEnd w:id="24"/>
    </w:p>
    <w:p w14:paraId="0BA2DBF6" w14:textId="77777777" w:rsidR="00BE268B" w:rsidRPr="00453F80" w:rsidRDefault="00BE268B" w:rsidP="00AE77EE">
      <w:pPr>
        <w:pStyle w:val="BodyText"/>
      </w:pPr>
      <w:r w:rsidRPr="00453F80">
        <w:t>Sup</w:t>
      </w:r>
      <w:r>
        <w:t>p</w:t>
      </w:r>
      <w:r w:rsidRPr="00453F80">
        <w:t>ort Vector Machine classification problem assumes that:</w:t>
      </w:r>
    </w:p>
    <w:p w14:paraId="01DD2B29" w14:textId="77777777" w:rsidR="00BE268B" w:rsidRPr="00453F80" w:rsidRDefault="00BE268B" w:rsidP="00AE77EE">
      <w:pPr>
        <w:pStyle w:val="BodyText"/>
        <w:numPr>
          <w:ilvl w:val="0"/>
          <w:numId w:val="15"/>
        </w:numPr>
      </w:pPr>
      <w:r w:rsidRPr="00453F80">
        <w:t>The data is independent and identically distributed.</w:t>
      </w:r>
    </w:p>
    <w:p w14:paraId="1CCD7F9D" w14:textId="77777777" w:rsidR="00BE268B" w:rsidRPr="00453F80" w:rsidRDefault="00BE268B" w:rsidP="00DA10F2">
      <w:pPr>
        <w:pStyle w:val="Heading3"/>
      </w:pPr>
      <w:bookmarkStart w:id="25" w:name="logistic-regression-assumptions"/>
      <w:r w:rsidRPr="00453F80">
        <w:t>Logistic Regression Assumptions</w:t>
      </w:r>
      <w:bookmarkEnd w:id="25"/>
    </w:p>
    <w:p w14:paraId="12A57AF7" w14:textId="77777777" w:rsidR="00BE268B" w:rsidRPr="00453F80" w:rsidRDefault="00BE268B" w:rsidP="00AE77EE">
      <w:pPr>
        <w:pStyle w:val="BodyText"/>
      </w:pPr>
      <w:r w:rsidRPr="00453F80">
        <w:t>Logistic Regression requires that:</w:t>
      </w:r>
    </w:p>
    <w:p w14:paraId="716B0070" w14:textId="77777777" w:rsidR="00BE268B" w:rsidRPr="00453F80" w:rsidRDefault="00BE268B" w:rsidP="00AE77EE">
      <w:pPr>
        <w:pStyle w:val="BodyText"/>
        <w:numPr>
          <w:ilvl w:val="0"/>
          <w:numId w:val="15"/>
        </w:numPr>
      </w:pPr>
      <w:r w:rsidRPr="00453F80">
        <w:t>The data is independent of each other.</w:t>
      </w:r>
    </w:p>
    <w:p w14:paraId="30FCB70F" w14:textId="77777777" w:rsidR="00BE268B" w:rsidRPr="00453F80" w:rsidRDefault="00BE268B" w:rsidP="00AE77EE">
      <w:pPr>
        <w:pStyle w:val="BodyText"/>
        <w:numPr>
          <w:ilvl w:val="0"/>
          <w:numId w:val="15"/>
        </w:numPr>
      </w:pPr>
      <w:r w:rsidRPr="00453F80">
        <w:t>There is little or no multicollinearity among the independent variables.</w:t>
      </w:r>
    </w:p>
    <w:p w14:paraId="6A07835A" w14:textId="77777777" w:rsidR="00BE268B" w:rsidRPr="00453F80" w:rsidRDefault="00BE268B" w:rsidP="00AE77EE">
      <w:pPr>
        <w:pStyle w:val="BodyText"/>
        <w:numPr>
          <w:ilvl w:val="0"/>
          <w:numId w:val="15"/>
        </w:numPr>
      </w:pPr>
      <w:r w:rsidRPr="00453F80">
        <w:t>Assumes linearity of independent variables and log odds.</w:t>
      </w:r>
    </w:p>
    <w:p w14:paraId="27A2DE19" w14:textId="77777777" w:rsidR="00BE268B" w:rsidRPr="00BE268B" w:rsidRDefault="00BE268B" w:rsidP="00AE77EE"/>
    <w:sectPr w:rsidR="00BE268B" w:rsidRPr="00BE268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imes">
    <w:altName w:val="﷽﷽﷽﷽﷽﷽Ą"/>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577B6E"/>
    <w:multiLevelType w:val="hybridMultilevel"/>
    <w:tmpl w:val="F0CA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D3132"/>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5157770"/>
    <w:multiLevelType w:val="hybridMultilevel"/>
    <w:tmpl w:val="2E14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47E4"/>
    <w:multiLevelType w:val="hybridMultilevel"/>
    <w:tmpl w:val="D1D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E440E"/>
    <w:multiLevelType w:val="hybridMultilevel"/>
    <w:tmpl w:val="0F7A2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5C6AB8"/>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F85655B"/>
    <w:multiLevelType w:val="hybridMultilevel"/>
    <w:tmpl w:val="3C5A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B5658"/>
    <w:multiLevelType w:val="hybridMultilevel"/>
    <w:tmpl w:val="6FA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508A2"/>
    <w:multiLevelType w:val="hybridMultilevel"/>
    <w:tmpl w:val="E3E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5F0"/>
    <w:multiLevelType w:val="hybridMultilevel"/>
    <w:tmpl w:val="193EC48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65AA2"/>
    <w:multiLevelType w:val="hybridMultilevel"/>
    <w:tmpl w:val="B51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B4FFB"/>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38500F1F"/>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3B8B7A67"/>
    <w:multiLevelType w:val="hybridMultilevel"/>
    <w:tmpl w:val="7606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858A3"/>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45E532DF"/>
    <w:multiLevelType w:val="hybridMultilevel"/>
    <w:tmpl w:val="F34E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17C50"/>
    <w:multiLevelType w:val="hybridMultilevel"/>
    <w:tmpl w:val="01AE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104CA"/>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4EE85402"/>
    <w:multiLevelType w:val="hybridMultilevel"/>
    <w:tmpl w:val="CFE2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31830"/>
    <w:multiLevelType w:val="hybridMultilevel"/>
    <w:tmpl w:val="B9F2F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5F1A00"/>
    <w:multiLevelType w:val="hybridMultilevel"/>
    <w:tmpl w:val="4EB4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75236F"/>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5FA21A95"/>
    <w:multiLevelType w:val="hybridMultilevel"/>
    <w:tmpl w:val="EB26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AC1350"/>
    <w:multiLevelType w:val="hybridMultilevel"/>
    <w:tmpl w:val="95D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B60"/>
    <w:multiLevelType w:val="hybridMultilevel"/>
    <w:tmpl w:val="D8F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4749D"/>
    <w:multiLevelType w:val="hybridMultilevel"/>
    <w:tmpl w:val="C446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0584E"/>
    <w:multiLevelType w:val="hybridMultilevel"/>
    <w:tmpl w:val="39B0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5"/>
  </w:num>
  <w:num w:numId="10">
    <w:abstractNumId w:val="6"/>
  </w:num>
  <w:num w:numId="11">
    <w:abstractNumId w:val="3"/>
  </w:num>
  <w:num w:numId="12">
    <w:abstractNumId w:val="11"/>
  </w:num>
  <w:num w:numId="13">
    <w:abstractNumId w:val="4"/>
  </w:num>
  <w:num w:numId="14">
    <w:abstractNumId w:val="24"/>
  </w:num>
  <w:num w:numId="15">
    <w:abstractNumId w:val="16"/>
  </w:num>
  <w:num w:numId="16">
    <w:abstractNumId w:val="25"/>
  </w:num>
  <w:num w:numId="17">
    <w:abstractNumId w:val="20"/>
  </w:num>
  <w:num w:numId="18">
    <w:abstractNumId w:val="14"/>
  </w:num>
  <w:num w:numId="19">
    <w:abstractNumId w:val="2"/>
  </w:num>
  <w:num w:numId="20">
    <w:abstractNumId w:val="21"/>
  </w:num>
  <w:num w:numId="21">
    <w:abstractNumId w:val="13"/>
  </w:num>
  <w:num w:numId="22">
    <w:abstractNumId w:val="18"/>
  </w:num>
  <w:num w:numId="23">
    <w:abstractNumId w:val="22"/>
  </w:num>
  <w:num w:numId="24">
    <w:abstractNumId w:val="8"/>
  </w:num>
  <w:num w:numId="25">
    <w:abstractNumId w:val="27"/>
  </w:num>
  <w:num w:numId="26">
    <w:abstractNumId w:val="26"/>
  </w:num>
  <w:num w:numId="27">
    <w:abstractNumId w:val="7"/>
  </w:num>
  <w:num w:numId="28">
    <w:abstractNumId w:val="5"/>
  </w:num>
  <w:num w:numId="29">
    <w:abstractNumId w:val="1"/>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C"/>
    <w:rsid w:val="00010445"/>
    <w:rsid w:val="00036FE9"/>
    <w:rsid w:val="000D3D65"/>
    <w:rsid w:val="0010202A"/>
    <w:rsid w:val="001112AE"/>
    <w:rsid w:val="001571ED"/>
    <w:rsid w:val="00161467"/>
    <w:rsid w:val="001B1909"/>
    <w:rsid w:val="001C3A11"/>
    <w:rsid w:val="001D360C"/>
    <w:rsid w:val="001E3CB1"/>
    <w:rsid w:val="001E7A11"/>
    <w:rsid w:val="001F6A5B"/>
    <w:rsid w:val="00201C2F"/>
    <w:rsid w:val="00223244"/>
    <w:rsid w:val="0023009D"/>
    <w:rsid w:val="00275AFA"/>
    <w:rsid w:val="0028464D"/>
    <w:rsid w:val="002A3A76"/>
    <w:rsid w:val="002E1EA0"/>
    <w:rsid w:val="002E4AB0"/>
    <w:rsid w:val="002F140F"/>
    <w:rsid w:val="00300CF5"/>
    <w:rsid w:val="00312C8A"/>
    <w:rsid w:val="003371E9"/>
    <w:rsid w:val="003424C2"/>
    <w:rsid w:val="0034447C"/>
    <w:rsid w:val="00371E1D"/>
    <w:rsid w:val="003752E5"/>
    <w:rsid w:val="00394C46"/>
    <w:rsid w:val="003C4032"/>
    <w:rsid w:val="003D2382"/>
    <w:rsid w:val="003F71AC"/>
    <w:rsid w:val="00405D4F"/>
    <w:rsid w:val="00410FBC"/>
    <w:rsid w:val="004231A6"/>
    <w:rsid w:val="00443097"/>
    <w:rsid w:val="00456479"/>
    <w:rsid w:val="004728C8"/>
    <w:rsid w:val="004A2F8B"/>
    <w:rsid w:val="004C5F9A"/>
    <w:rsid w:val="004D5B9E"/>
    <w:rsid w:val="004F124A"/>
    <w:rsid w:val="0050585B"/>
    <w:rsid w:val="00541D73"/>
    <w:rsid w:val="00555F14"/>
    <w:rsid w:val="0057168F"/>
    <w:rsid w:val="005A3D95"/>
    <w:rsid w:val="005D5129"/>
    <w:rsid w:val="005E4DFB"/>
    <w:rsid w:val="0061562E"/>
    <w:rsid w:val="00691477"/>
    <w:rsid w:val="006B66A0"/>
    <w:rsid w:val="006C530B"/>
    <w:rsid w:val="00712668"/>
    <w:rsid w:val="0076325C"/>
    <w:rsid w:val="00763717"/>
    <w:rsid w:val="00771BE9"/>
    <w:rsid w:val="00774EC3"/>
    <w:rsid w:val="00792500"/>
    <w:rsid w:val="007B3D48"/>
    <w:rsid w:val="00802660"/>
    <w:rsid w:val="00826D4D"/>
    <w:rsid w:val="00845A8F"/>
    <w:rsid w:val="008C0611"/>
    <w:rsid w:val="008F2525"/>
    <w:rsid w:val="00901A3F"/>
    <w:rsid w:val="009241F0"/>
    <w:rsid w:val="00951CFC"/>
    <w:rsid w:val="00952EA0"/>
    <w:rsid w:val="00964074"/>
    <w:rsid w:val="009869C2"/>
    <w:rsid w:val="009B08D5"/>
    <w:rsid w:val="009C7923"/>
    <w:rsid w:val="009E6F50"/>
    <w:rsid w:val="00A02ED2"/>
    <w:rsid w:val="00A41316"/>
    <w:rsid w:val="00A44B16"/>
    <w:rsid w:val="00A55470"/>
    <w:rsid w:val="00A6260E"/>
    <w:rsid w:val="00A824EB"/>
    <w:rsid w:val="00AC7005"/>
    <w:rsid w:val="00AE2B92"/>
    <w:rsid w:val="00AE77EE"/>
    <w:rsid w:val="00B13B75"/>
    <w:rsid w:val="00B31892"/>
    <w:rsid w:val="00B62807"/>
    <w:rsid w:val="00BA035B"/>
    <w:rsid w:val="00BB2A79"/>
    <w:rsid w:val="00BE268B"/>
    <w:rsid w:val="00C17264"/>
    <w:rsid w:val="00C173DF"/>
    <w:rsid w:val="00C34585"/>
    <w:rsid w:val="00C3701A"/>
    <w:rsid w:val="00C515E3"/>
    <w:rsid w:val="00C66B01"/>
    <w:rsid w:val="00C752BA"/>
    <w:rsid w:val="00C827F9"/>
    <w:rsid w:val="00C87786"/>
    <w:rsid w:val="00D145E3"/>
    <w:rsid w:val="00D2423B"/>
    <w:rsid w:val="00D340EA"/>
    <w:rsid w:val="00D64097"/>
    <w:rsid w:val="00D86468"/>
    <w:rsid w:val="00DA10F2"/>
    <w:rsid w:val="00DF489D"/>
    <w:rsid w:val="00E23909"/>
    <w:rsid w:val="00E31E90"/>
    <w:rsid w:val="00E80B1D"/>
    <w:rsid w:val="00EB445D"/>
    <w:rsid w:val="00F334EF"/>
    <w:rsid w:val="00F349D8"/>
    <w:rsid w:val="00F70A72"/>
    <w:rsid w:val="00F77FA7"/>
    <w:rsid w:val="00FA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CD2"/>
  <w15:chartTrackingRefBased/>
  <w15:docId w15:val="{D975C9D7-E539-4F48-B4FF-4A8B33A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EE"/>
    <w:pPr>
      <w:spacing w:before="180" w:beforeAutospacing="1" w:after="180" w:afterAutospacing="1"/>
      <w:jc w:val="lowKashida"/>
    </w:pPr>
    <w:rPr>
      <w:rFonts w:ascii="Times New Roman" w:hAnsi="Times New Roman"/>
      <w:color w:val="000000" w:themeColor="text1"/>
    </w:rPr>
  </w:style>
  <w:style w:type="paragraph" w:styleId="Heading1">
    <w:name w:val="heading 1"/>
    <w:basedOn w:val="Normal"/>
    <w:next w:val="BodyText"/>
    <w:link w:val="Heading1Char"/>
    <w:uiPriority w:val="9"/>
    <w:qFormat/>
    <w:rsid w:val="00410FBC"/>
    <w:pPr>
      <w:keepNext/>
      <w:keepLines/>
      <w:spacing w:before="480" w:after="100"/>
      <w:jc w:val="both"/>
      <w:outlineLvl w:val="0"/>
    </w:pPr>
    <w:rPr>
      <w:rFonts w:eastAsiaTheme="majorEastAsia"/>
      <w:b/>
      <w:sz w:val="32"/>
      <w:szCs w:val="32"/>
    </w:rPr>
  </w:style>
  <w:style w:type="paragraph" w:styleId="Heading2">
    <w:name w:val="heading 2"/>
    <w:basedOn w:val="Normal"/>
    <w:next w:val="Normal"/>
    <w:link w:val="Heading2Char"/>
    <w:uiPriority w:val="9"/>
    <w:unhideWhenUsed/>
    <w:qFormat/>
    <w:rsid w:val="00410FBC"/>
    <w:pPr>
      <w:keepNext/>
      <w:keepLines/>
      <w:tabs>
        <w:tab w:val="left" w:pos="3706"/>
      </w:tabs>
      <w:spacing w:before="100" w:after="100"/>
      <w:jc w:val="both"/>
      <w:outlineLvl w:val="1"/>
    </w:pPr>
    <w:rPr>
      <w:rFonts w:eastAsiaTheme="majorEastAsia"/>
      <w:color w:val="4472C4" w:themeColor="accent1"/>
      <w:sz w:val="28"/>
      <w:szCs w:val="28"/>
    </w:rPr>
  </w:style>
  <w:style w:type="paragraph" w:styleId="Heading3">
    <w:name w:val="heading 3"/>
    <w:basedOn w:val="Normal"/>
    <w:next w:val="Normal"/>
    <w:link w:val="Heading3Char"/>
    <w:uiPriority w:val="9"/>
    <w:unhideWhenUsed/>
    <w:qFormat/>
    <w:rsid w:val="00DA10F2"/>
    <w:pPr>
      <w:keepNext/>
      <w:keepLines/>
      <w:spacing w:before="40"/>
      <w:outlineLvl w:val="2"/>
    </w:pPr>
    <w:rPr>
      <w:rFonts w:eastAsiaTheme="majorEastAsia"/>
      <w:color w:val="4472C4" w:themeColor="accent1"/>
      <w:u w:val="single"/>
    </w:rPr>
  </w:style>
  <w:style w:type="paragraph" w:styleId="Heading4">
    <w:name w:val="heading 4"/>
    <w:basedOn w:val="Normal"/>
    <w:next w:val="Normal"/>
    <w:link w:val="Heading4Char"/>
    <w:uiPriority w:val="9"/>
    <w:unhideWhenUsed/>
    <w:qFormat/>
    <w:rsid w:val="009E6F50"/>
    <w:pPr>
      <w:keepNext/>
      <w:keepLines/>
      <w:spacing w:before="40"/>
      <w:outlineLvl w:val="3"/>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BC"/>
    <w:rPr>
      <w:rFonts w:ascii="Times New Roman" w:eastAsiaTheme="majorEastAsia" w:hAnsi="Times New Roman" w:cs="Times New Roman"/>
      <w:b/>
      <w:color w:val="000000" w:themeColor="text1"/>
      <w:sz w:val="32"/>
      <w:szCs w:val="32"/>
    </w:rPr>
  </w:style>
  <w:style w:type="paragraph" w:styleId="BodyText">
    <w:name w:val="Body Text"/>
    <w:basedOn w:val="Normal"/>
    <w:link w:val="BodyTextChar"/>
    <w:qFormat/>
    <w:rsid w:val="00410FBC"/>
  </w:style>
  <w:style w:type="character" w:customStyle="1" w:styleId="BodyTextChar">
    <w:name w:val="Body Text Char"/>
    <w:basedOn w:val="DefaultParagraphFont"/>
    <w:link w:val="BodyText"/>
    <w:rsid w:val="00410FBC"/>
    <w:rPr>
      <w:rFonts w:ascii="Times New Roman" w:hAnsi="Times New Roman"/>
      <w:color w:val="000000" w:themeColor="text1"/>
    </w:rPr>
  </w:style>
  <w:style w:type="character" w:styleId="CommentReference">
    <w:name w:val="annotation reference"/>
    <w:basedOn w:val="DefaultParagraphFont"/>
    <w:uiPriority w:val="99"/>
    <w:semiHidden/>
    <w:unhideWhenUsed/>
    <w:rsid w:val="00410FBC"/>
    <w:rPr>
      <w:sz w:val="16"/>
      <w:szCs w:val="16"/>
    </w:rPr>
  </w:style>
  <w:style w:type="paragraph" w:styleId="CommentText">
    <w:name w:val="annotation text"/>
    <w:basedOn w:val="Normal"/>
    <w:link w:val="CommentTextChar"/>
    <w:uiPriority w:val="99"/>
    <w:semiHidden/>
    <w:unhideWhenUsed/>
    <w:rsid w:val="00410FBC"/>
    <w:pPr>
      <w:spacing w:before="100" w:after="100"/>
    </w:pPr>
    <w:rPr>
      <w:sz w:val="20"/>
      <w:szCs w:val="20"/>
    </w:rPr>
  </w:style>
  <w:style w:type="character" w:customStyle="1" w:styleId="CommentTextChar">
    <w:name w:val="Comment Text Char"/>
    <w:basedOn w:val="DefaultParagraphFont"/>
    <w:link w:val="CommentText"/>
    <w:uiPriority w:val="99"/>
    <w:semiHidden/>
    <w:rsid w:val="00410FBC"/>
    <w:rPr>
      <w:rFonts w:ascii="Times New Roman" w:hAnsi="Times New Roman"/>
      <w:color w:val="000000" w:themeColor="text1"/>
      <w:sz w:val="20"/>
      <w:szCs w:val="20"/>
    </w:rPr>
  </w:style>
  <w:style w:type="character" w:customStyle="1" w:styleId="nlm-addr-line">
    <w:name w:val="nlm-addr-line"/>
    <w:basedOn w:val="DefaultParagraphFont"/>
    <w:rsid w:val="00410FBC"/>
  </w:style>
  <w:style w:type="paragraph" w:styleId="BalloonText">
    <w:name w:val="Balloon Text"/>
    <w:basedOn w:val="Normal"/>
    <w:link w:val="BalloonTextChar"/>
    <w:uiPriority w:val="99"/>
    <w:semiHidden/>
    <w:unhideWhenUsed/>
    <w:rsid w:val="00410FBC"/>
    <w:rPr>
      <w:sz w:val="18"/>
      <w:szCs w:val="18"/>
    </w:rPr>
  </w:style>
  <w:style w:type="character" w:customStyle="1" w:styleId="BalloonTextChar">
    <w:name w:val="Balloon Text Char"/>
    <w:basedOn w:val="DefaultParagraphFont"/>
    <w:link w:val="BalloonText"/>
    <w:uiPriority w:val="99"/>
    <w:semiHidden/>
    <w:rsid w:val="00410FBC"/>
    <w:rPr>
      <w:rFonts w:ascii="Times New Roman" w:eastAsia="Times New Roman" w:hAnsi="Times New Roman" w:cs="Times New Roman"/>
      <w:sz w:val="18"/>
      <w:szCs w:val="18"/>
    </w:rPr>
  </w:style>
  <w:style w:type="paragraph" w:styleId="Revision">
    <w:name w:val="Revision"/>
    <w:hidden/>
    <w:uiPriority w:val="99"/>
    <w:semiHidden/>
    <w:rsid w:val="00410F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10FBC"/>
    <w:rPr>
      <w:rFonts w:ascii="Times New Roman" w:eastAsiaTheme="majorEastAsia" w:hAnsi="Times New Roman" w:cs="Times New Roman"/>
      <w:color w:val="4472C4" w:themeColor="accent1"/>
      <w:sz w:val="28"/>
      <w:szCs w:val="28"/>
    </w:rPr>
  </w:style>
  <w:style w:type="paragraph" w:customStyle="1" w:styleId="Compact">
    <w:name w:val="Compact"/>
    <w:basedOn w:val="Normal"/>
    <w:qFormat/>
    <w:rsid w:val="00410FBC"/>
    <w:pPr>
      <w:jc w:val="both"/>
    </w:pPr>
  </w:style>
  <w:style w:type="paragraph" w:styleId="ListParagraph">
    <w:name w:val="List Paragraph"/>
    <w:basedOn w:val="Normal"/>
    <w:qFormat/>
    <w:rsid w:val="00691477"/>
    <w:pPr>
      <w:ind w:left="720"/>
      <w:contextualSpacing/>
    </w:pPr>
  </w:style>
  <w:style w:type="paragraph" w:styleId="Caption">
    <w:name w:val="caption"/>
    <w:basedOn w:val="Normal"/>
    <w:next w:val="Normal"/>
    <w:link w:val="CaptionChar"/>
    <w:unhideWhenUsed/>
    <w:qFormat/>
    <w:rsid w:val="008F2525"/>
    <w:pPr>
      <w:spacing w:after="200"/>
      <w:jc w:val="center"/>
    </w:pPr>
    <w:rPr>
      <w:b/>
      <w:bCs/>
      <w:sz w:val="18"/>
      <w:szCs w:val="18"/>
    </w:rPr>
  </w:style>
  <w:style w:type="character" w:customStyle="1" w:styleId="Heading3Char">
    <w:name w:val="Heading 3 Char"/>
    <w:basedOn w:val="DefaultParagraphFont"/>
    <w:link w:val="Heading3"/>
    <w:uiPriority w:val="9"/>
    <w:rsid w:val="00DA10F2"/>
    <w:rPr>
      <w:rFonts w:ascii="Times New Roman" w:eastAsiaTheme="majorEastAsia" w:hAnsi="Times New Roman"/>
      <w:color w:val="4472C4" w:themeColor="accent1"/>
      <w:u w:val="single"/>
    </w:rPr>
  </w:style>
  <w:style w:type="character" w:customStyle="1" w:styleId="CaptionChar">
    <w:name w:val="Caption Char"/>
    <w:basedOn w:val="DefaultParagraphFont"/>
    <w:link w:val="Caption"/>
    <w:rsid w:val="008F2525"/>
    <w:rPr>
      <w:rFonts w:ascii="Times New Roman" w:eastAsia="Times New Roman" w:hAnsi="Times New Roman" w:cs="Times New Roman"/>
      <w:b/>
      <w:bCs/>
      <w:color w:val="000000" w:themeColor="text1"/>
      <w:sz w:val="18"/>
      <w:szCs w:val="18"/>
    </w:rPr>
  </w:style>
  <w:style w:type="paragraph" w:customStyle="1" w:styleId="FirstParagraph">
    <w:name w:val="First Paragraph"/>
    <w:basedOn w:val="BodyText"/>
    <w:next w:val="BodyText"/>
    <w:qFormat/>
    <w:rsid w:val="009E6F50"/>
  </w:style>
  <w:style w:type="character" w:customStyle="1" w:styleId="VerbatimChar">
    <w:name w:val="Verbatim Char"/>
    <w:basedOn w:val="CaptionChar"/>
    <w:link w:val="SourceCode"/>
    <w:rsid w:val="009E6F50"/>
    <w:rPr>
      <w:rFonts w:ascii="Consolas" w:eastAsia="Times New Roman" w:hAnsi="Consolas" w:cs="Times New Roman"/>
      <w:b/>
      <w:bCs w:val="0"/>
      <w:iCs/>
      <w:color w:val="000000" w:themeColor="text1"/>
      <w:sz w:val="22"/>
      <w:szCs w:val="18"/>
    </w:rPr>
  </w:style>
  <w:style w:type="paragraph" w:customStyle="1" w:styleId="SourceCode">
    <w:name w:val="Source Code"/>
    <w:basedOn w:val="Normal"/>
    <w:link w:val="VerbatimChar"/>
    <w:rsid w:val="009E6F50"/>
    <w:pPr>
      <w:wordWrap w:val="0"/>
      <w:spacing w:before="100" w:after="200"/>
    </w:pPr>
    <w:rPr>
      <w:rFonts w:ascii="Consolas" w:hAnsi="Consolas"/>
      <w:b/>
      <w:iCs/>
      <w:sz w:val="22"/>
      <w:szCs w:val="18"/>
    </w:rPr>
  </w:style>
  <w:style w:type="character" w:customStyle="1" w:styleId="Heading4Char">
    <w:name w:val="Heading 4 Char"/>
    <w:basedOn w:val="DefaultParagraphFont"/>
    <w:link w:val="Heading4"/>
    <w:uiPriority w:val="9"/>
    <w:rsid w:val="009E6F50"/>
    <w:rPr>
      <w:rFonts w:asciiTheme="majorHAnsi" w:eastAsiaTheme="majorEastAsia" w:hAnsiTheme="majorHAnsi" w:cstheme="majorBidi"/>
      <w:i/>
      <w:iCs/>
      <w:color w:val="4472C4" w:themeColor="accent1"/>
    </w:rPr>
  </w:style>
  <w:style w:type="paragraph" w:customStyle="1" w:styleId="CaptionedFigure">
    <w:name w:val="Captioned Figure"/>
    <w:basedOn w:val="Normal"/>
    <w:rsid w:val="00826D4D"/>
    <w:pPr>
      <w:keepNext/>
      <w:spacing w:before="100" w:after="200"/>
    </w:pPr>
  </w:style>
  <w:style w:type="table" w:styleId="TableGrid">
    <w:name w:val="Table Grid"/>
    <w:basedOn w:val="TableNormal"/>
    <w:rsid w:val="0082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C26D-8A36-564A-B1FD-B629BB51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13365</Words>
  <Characters>76185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46</cp:revision>
  <dcterms:created xsi:type="dcterms:W3CDTF">2020-11-22T02:49:00Z</dcterms:created>
  <dcterms:modified xsi:type="dcterms:W3CDTF">2020-11-23T19:57:00Z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