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Jindra†, Brian F. Pfleger†,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436A3AE0" w:rsidR="00FE6EB8" w:rsidRDefault="00FE6EB8" w:rsidP="00D75FCC">
      <w:pPr>
        <w:pStyle w:val="Heading2"/>
      </w:pPr>
    </w:p>
    <w:p w14:paraId="5D617D23" w14:textId="6CAC1C86" w:rsidR="00B469DE" w:rsidRDefault="00B469DE" w:rsidP="00B469DE">
      <w:r>
        <w:t>**abstract??***</w:t>
      </w:r>
    </w:p>
    <w:p w14:paraId="21CF2815" w14:textId="77777777" w:rsidR="00B469DE" w:rsidRPr="00B469DE" w:rsidRDefault="00B469DE" w:rsidP="00B469DE"/>
    <w:p w14:paraId="51035624" w14:textId="46E6253D" w:rsidR="006E16CF" w:rsidRPr="005930BC" w:rsidRDefault="006E16CF" w:rsidP="00D75FCC">
      <w:pPr>
        <w:pStyle w:val="Heading2"/>
      </w:pPr>
      <w:r w:rsidRPr="005930BC">
        <w:t>Introduction</w:t>
      </w:r>
    </w:p>
    <w:p w14:paraId="62EA4BFD" w14:textId="4DA48765"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w:t>
      </w:r>
      <w:r w:rsidR="006859F7">
        <w:t xml:space="preserve">s, </w:t>
      </w:r>
      <w:r w:rsidRPr="006E16CF">
        <w:t xml:space="preserve">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3D447C33"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C32DB7">
        <w:t>protein</w:t>
      </w:r>
      <w:r w:rsidR="007748C3" w:rsidRPr="00B5516B">
        <w:t xml:space="preserve"> </w:t>
      </w:r>
      <w:r w:rsidR="003432D1" w:rsidRPr="00B5516B">
        <w:t>functional group</w:t>
      </w:r>
      <w:r w:rsidR="007748C3" w:rsidRPr="00B5516B">
        <w:t>s</w:t>
      </w:r>
      <w:r w:rsidR="009C46D7" w:rsidRPr="00B5516B">
        <w:t xml:space="preserve">, including </w:t>
      </w:r>
      <w:r w:rsidR="00C32DB7">
        <w:t xml:space="preserve">enzyme </w:t>
      </w:r>
      <w:r w:rsidR="009C46D7" w:rsidRPr="00B5516B">
        <w:t>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w:t>
      </w:r>
      <w:r w:rsidRPr="006E16CF">
        <w:lastRenderedPageBreak/>
        <w:t xml:space="preserve">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w:t>
      </w:r>
      <w:r w:rsidR="00B469DE">
        <w:t>and</w:t>
      </w:r>
      <w:r w:rsidRPr="006E16CF">
        <w:t xml:space="preserve">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cylases, lactate </w:t>
      </w:r>
      <w:r w:rsidR="005020FA">
        <w:t>vs.</w:t>
      </w:r>
      <w:r w:rsidR="00006D63" w:rsidRPr="006E16CF">
        <w:t xml:space="preserve"> malate dehydrogenases,</w:t>
      </w:r>
      <w:r w:rsidR="005020FA">
        <w:t xml:space="preserve"> or</w:t>
      </w:r>
      <w:r w:rsidR="00006D63" w:rsidRPr="006E16CF">
        <w:t xml:space="preserve"> trypsins </w:t>
      </w:r>
      <w:r w:rsidR="005020FA">
        <w:t>vs.</w:t>
      </w:r>
      <w:r w:rsidR="00006D63" w:rsidRPr="006E16CF">
        <w:t xml:space="preserve"> chymotrypsins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w:t>
      </w:r>
      <w:r w:rsidRPr="006E16CF">
        <w:lastRenderedPageBreak/>
        <w:t xml:space="preserve">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29AD9E2"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Jakkola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Ratsch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Dubchak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F3E31">
        <w:t xml:space="preserve">The third category of protein feature extraction technique, </w:t>
      </w:r>
      <w:r w:rsidR="00F048D7">
        <w:t>N-gram representation</w:t>
      </w:r>
      <w:r w:rsidR="00FF3E31">
        <w:t xml:space="preserve">, </w:t>
      </w:r>
      <w:r w:rsidR="00F048D7">
        <w:t>is derived from Language models</w:t>
      </w:r>
      <w:r w:rsidR="00206617">
        <w:t xml:space="preserve"> </w:t>
      </w:r>
      <w:r w:rsidR="00206617">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C9147F">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C9147F">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3314FC5D"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Camoglu et. al used a decision tree based ensemble classifier to classify protein in the SCOP database and showed how it is possible to attain much lower error rates using the ensemble </w:t>
      </w:r>
      <w:r w:rsidRPr="006E16CF">
        <w:lastRenderedPageBreak/>
        <w:t xml:space="preserve">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Diplaris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58642EB2"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for novel, uncharacterized</w:t>
      </w:r>
      <w:r w:rsidR="007C0F87">
        <w:t xml:space="preserve">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w:t>
      </w:r>
      <w:r w:rsidR="00B469DE">
        <w:t xml:space="preserve">(a total of *X???*) </w:t>
      </w:r>
      <w:r w:rsidR="006E16CF" w:rsidRPr="006E16CF">
        <w:t>and they were categorized into three different classes</w:t>
      </w:r>
      <w:r w:rsidR="00F9195A">
        <w:t xml:space="preserve"> based on their substrate specificity</w:t>
      </w:r>
      <w:r>
        <w:t xml:space="preserve"> as</w:t>
      </w:r>
      <w:r w:rsidR="00F9195A">
        <w:t xml:space="preserve"> </w:t>
      </w:r>
      <w:r>
        <w:t xml:space="preserve">(i)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w:t>
      </w:r>
      <w:r w:rsidR="00FD0280">
        <w:t>enzyme</w:t>
      </w:r>
      <w:r w:rsidR="006E16CF" w:rsidRPr="006E16CF">
        <w:t xml:space="preserve"> primary sequences</w:t>
      </w:r>
      <w:r>
        <w:t>. A</w:t>
      </w:r>
      <w:r w:rsidR="006E16CF" w:rsidRPr="006E16CF">
        <w:t xml:space="preserve"> meta learner </w:t>
      </w:r>
      <w:r>
        <w:t xml:space="preserve">was subsequently applied </w:t>
      </w:r>
      <w:r w:rsidR="006E16CF" w:rsidRPr="006E16CF">
        <w:t xml:space="preserve">which </w:t>
      </w:r>
      <w:r w:rsidR="00C47D21">
        <w:t xml:space="preserve">automatically selects </w:t>
      </w:r>
      <w:r w:rsidR="00B469DE">
        <w:t xml:space="preserve">the top </w:t>
      </w:r>
      <w:r w:rsidR="00C47D21">
        <w:t>five base learner</w:t>
      </w:r>
      <w:r w:rsidR="00086253">
        <w:t>s</w:t>
      </w:r>
      <w:r w:rsidR="00C47D21">
        <w:t xml:space="preserve">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04F6822B" w:rsidR="00A349B7" w:rsidRDefault="009F0B50" w:rsidP="00D75FCC">
      <w:r>
        <w:t>Noisy, high-dimensional, imbalanced</w:t>
      </w:r>
      <w:r w:rsidR="00131486">
        <w:t>,</w:t>
      </w:r>
      <w:r>
        <w:t xml:space="preserve"> small to medium sized functionally characterized datasets occur frequently in protein classification domain </w:t>
      </w:r>
      <w:r w:rsidR="00C9147F">
        <w:fldChar w:fldCharType="begin" w:fldLock="1"/>
      </w:r>
      <w:r w:rsidR="00712D85">
        <w:instrText>ADDIN CSL_CITATION {"citationItems":[{"id":"ITEM-1","itemData":{"DOI":"10.1016/j.jbi.2004.07.008","ISSN":"15320464","PMID":"15465476","abstract":"We consider the problem of classification in noisy, high-dimensional, and class-imbalanced protein datasets. In order to design a complete classification system, we use a three-stage machine learning framework consisting of a feature selection stage, a method addressing noise and class-imbalance, and a method for combining biologically related tasks through a prior-knowledge based clustering. In the first stage, we employ Fisher's permutation test as a feature selection filter. Comparisons with the alternative criteria show that it may be favorable for typical protein datasets. In the second stage, noise and class imbalance are addressed by using minority class over-sampling, majority class under-sampling, and ensemble learning. The performance of logistic regression models, decision trees, and neural networks is systematically evaluated. The experimental results show that in many cases ensembles of logistic regression classifiers may outperform more expressive models due to their robustness to noise and low sample density in a high-dimensional feature space. However, ensembles of neural networks may be the best solution for large datasets. In the third stage, we use prior knowledge to partition unlabeled data such that the class distributions among non-overlapping clusters significantly differ. In our experiments, training classifiers specialized to the class distributions of each cluster resulted in a further decrease in classification error. © 2004 Elsevier Inc. All rights reserved.","author":[{"dropping-particle":"","family":"Radivojac","given":"Predrag","non-dropping-particle":"","parse-names":false,"suffix":""},{"dropping-particle":"V.","family":"Chawla","given":"Nitesh","non-dropping-particle":"","parse-names":false,"suffix":""},{"dropping-particle":"","family":"Dunker","given":"A. Keith","non-dropping-particle":"","parse-names":false,"suffix":""},{"dropping-particle":"","family":"Obradovic","given":"Zoran","non-dropping-particle":"","parse-names":false,"suffix":""}],"container-title":"Journal of Biomedical Informatics","id":"ITEM-1","issued":{"date-parts":[["2004"]]},"title":"Classification and knowledge discovery in protein databases","type":"article-journal"},"uris":["http://www.mendeley.com/documents/?uuid=0ee7be8d-06d5-4131-9aad-d7577168e47f"]}],"mendeley":{"formattedCitation":"[54]","plainTextFormattedCitation":"[54]","previouslyFormattedCitation":"[54]"},"properties":{"noteIndex":0},"schema":"https://github.com/citation-style-language/schema/raw/master/csl-citation.json"}</w:instrText>
      </w:r>
      <w:r w:rsidR="00C9147F">
        <w:fldChar w:fldCharType="separate"/>
      </w:r>
      <w:r w:rsidR="00C9147F" w:rsidRPr="00C9147F">
        <w:rPr>
          <w:noProof/>
        </w:rPr>
        <w:t>[54]</w:t>
      </w:r>
      <w:r w:rsidR="00C9147F">
        <w:fldChar w:fldCharType="end"/>
      </w:r>
      <w:r>
        <w:t xml:space="preserve"> as well as computational biology in general</w:t>
      </w:r>
      <w:r w:rsidR="00C9147F">
        <w:t xml:space="preserve"> </w:t>
      </w:r>
      <w:r w:rsidR="00712D85">
        <w:fldChar w:fldCharType="begin" w:fldLock="1"/>
      </w:r>
      <w:r w:rsidR="00567114">
        <w:instrText>ADDIN CSL_CITATION {"citationItems":[{"id":"ITEM-1","itemData":{"DOI":"10.1016/j.artmed.2016.12.003","ISSN":"18732860","PMID":"28363456","abstract":"Motivation Single-centre studies in medical domain are often characterised by limited samples due to the complexity and high costs of patient data collection. Machine learning methods for regression modelling of small datasets (less than 10 observations per predictor variable) remain scarce. Our work bridges this gap by developing a novel framework for application of artificial neural networks (NNs) for regression tasks involving small medical datasets. Methods In order to address the sporadic fluctuations and validation issues that appear in regression NNs trained on small datasets, the method of multiple runs and surrogate data analysis were proposed in this work. The approach was compared to the state-of-the-art ensemble NNs; the effect of dataset size on NN performance was also investigated. Results The proposed framework was applied for the prediction of compressive strength (CS) of femoral trabecular bone in patients suffering from severe osteoarthritis. The NN model was able to estimate the CS of osteoarthritic trabecular bone from its structural and biological properties with a standard error of 0.85 MPa. When evaluated on independent test samples, the NN achieved accuracy of 98.3%, outperforming an ensemble NN model by 11%. We reproduce this result on CS data of another porous solid (concrete) and demonstrate that the proposed framework allows for an NN modelled with as few as 56 samples to generalise on 300 independent test samples with 86.5% accuracy, which is comparable to the performance of an NN developed with 18 times larger dataset (1030 samples). Conclusion The significance of this work is two-fold: the practical application allows for non-destructive prediction of bone fracture risk, while the novel methodology extends beyond the task considered in this study and provides a general framework for application of regression NNs to medical problems characterised by limited dataset sizes.","author":[{"dropping-particle":"","family":"Shaikhina","given":"Torgyn","non-dropping-particle":"","parse-names":false,"suffix":""},{"dropping-particle":"","family":"Khovanova","given":"Natalia A.","non-dropping-particle":"","parse-names":false,"suffix":""}],"container-title":"Artificial Intelligence in Medicine","id":"ITEM-1","issued":{"date-parts":[["2017"]]},"title":"Handling limited datasets with neural networks in medical applications: A small-data approach","type":"article-journal"},"uris":["http://www.mendeley.com/documents/?uuid=c1864828-8fc4-43d0-94fe-8fad583328a7"]}],"mendeley":{"formattedCitation":"[55]","plainTextFormattedCitation":"[55]","previouslyFormattedCitation":"[55]"},"properties":{"noteIndex":0},"schema":"https://github.com/citation-style-language/schema/raw/master/csl-citation.json"}</w:instrText>
      </w:r>
      <w:r w:rsidR="00712D85">
        <w:fldChar w:fldCharType="separate"/>
      </w:r>
      <w:r w:rsidR="00712D85" w:rsidRPr="00712D85">
        <w:rPr>
          <w:noProof/>
        </w:rPr>
        <w:t>[55]</w:t>
      </w:r>
      <w:r w:rsidR="00712D85">
        <w:fldChar w:fldCharType="end"/>
      </w:r>
      <w:r>
        <w:t xml:space="preserve">. </w:t>
      </w:r>
      <w:r w:rsidR="00BF3C99">
        <w:t xml:space="preserve">Our dataset is an ideal representation of the majority of computational biology datasets that exhibit these attributes. </w:t>
      </w:r>
      <w:r w:rsidR="00C10757">
        <w:t xml:space="preserve">The TE sequences in the characterized </w:t>
      </w:r>
      <w:r w:rsidR="007C54DC">
        <w:t>data</w:t>
      </w:r>
      <w:r w:rsidR="00C10757">
        <w:t>set are also highly similar in terms of sequence identity</w:t>
      </w:r>
      <w:r w:rsidR="00076959">
        <w:t xml:space="preserve"> (ranging from 22.05 to 99.68) but</w:t>
      </w:r>
      <w:r w:rsidR="00C10757">
        <w:t xml:space="preserve"> exhibit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E8071A">
        <w:t xml:space="preserve">It is assumed that ML algorithms require abundant training data to be generalizable. An ML model trained on small, high dimensional dataset often leads to overfitting which results in high error rates on test set </w:t>
      </w:r>
      <w:r w:rsidR="00E8071A">
        <w:fldChar w:fldCharType="begin" w:fldLock="1"/>
      </w:r>
      <w:r w:rsidR="00E8071A">
        <w:instrText>ADDIN CSL_CITATION {"citationItems":[{"id":"ITEM-1","itemData":{"DOI":"10.1016/j.neuroimage.2017.06.061","ISSN":"10959572","PMID":"28655633","abstract":"Predictive models ground many state-of-the-art developments in statistical brain image analysis: decoding, MVPA, searchlight, or extraction of biomarkers. The principled approach to establish their validity and usefulness is cross-validation, testing prediction on unseen data. Here, I would like to raise awareness on error bars of cross-validation, which are often underestimated. Simple experiments show that sample sizes of many neuroimaging studies inherently lead to large error bars, eg ±10% for 100 samples. The standard error across folds strongly underestimates them. These large error bars compromise the reliability of conclusions drawn with predictive models, such as biomarkers or methods developments where, unlike with cognitive neuroimaging MVPA approaches, more samples cannot be acquired by repeating the experiment across many subjects. Solutions to increase sample size must be investigated, tackling possible increases in heterogeneity of the data.","author":[{"dropping-particle":"","family":"Varoquaux","given":"Gaël","non-dropping-particle":"","parse-names":false,"suffix":""}],"container-title":"NeuroImage","id":"ITEM-1","issued":{"date-parts":[["2018"]]},"title":"Cross-validation failure: Small sample sizes lead to large error bars","type":"article"},"uris":["http://www.mendeley.com/documents/?uuid=6cf31a31-7d68-4e2e-a5e7-feb8743a370e"]}],"mendeley":{"formattedCitation":"[56]","plainTextFormattedCitation":"[56]","previouslyFormattedCitation":"[56]"},"properties":{"noteIndex":0},"schema":"https://github.com/citation-style-language/schema/raw/master/csl-citation.json"}</w:instrText>
      </w:r>
      <w:r w:rsidR="00E8071A">
        <w:fldChar w:fldCharType="separate"/>
      </w:r>
      <w:r w:rsidR="00E8071A" w:rsidRPr="00567114">
        <w:rPr>
          <w:noProof/>
        </w:rPr>
        <w:t>[56]</w:t>
      </w:r>
      <w:r w:rsidR="00E8071A">
        <w:fldChar w:fldCharType="end"/>
      </w:r>
      <w:r w:rsidR="00E8071A">
        <w:t xml:space="preserve">. </w:t>
      </w:r>
      <w:r w:rsidR="006265CD">
        <w:t>Although there have been previous efforts to create classification models that perform well across multiple protein classification datasets</w:t>
      </w:r>
      <w:r w:rsidR="00A50105">
        <w:t xml:space="preserve"> </w:t>
      </w:r>
      <w:r w:rsidR="00940F5B">
        <w:t xml:space="preserve">and application areas </w:t>
      </w:r>
      <w:r w:rsidR="00497D8E">
        <w:fldChar w:fldCharType="begin" w:fldLock="1"/>
      </w:r>
      <w:r w:rsidR="00163A6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497D8E">
        <w:fldChar w:fldCharType="separate"/>
      </w:r>
      <w:r w:rsidR="00497D8E" w:rsidRPr="00497D8E">
        <w:rPr>
          <w:noProof/>
        </w:rPr>
        <w:t>[36]</w:t>
      </w:r>
      <w:r w:rsidR="00497D8E">
        <w:fldChar w:fldCharType="end"/>
      </w:r>
      <w:r w:rsidR="006265CD">
        <w:t xml:space="preserve">, </w:t>
      </w:r>
      <w:r w:rsidR="00A50105">
        <w:t xml:space="preserve">methods that explicitly deal with the challenges </w:t>
      </w:r>
      <w:r w:rsidR="00940F5B">
        <w:t xml:space="preserve">of high-dimensionality, small size, dataset imbalance and sequence similarity </w:t>
      </w:r>
      <w:r w:rsidR="00A50105">
        <w:t>remain sparse.</w:t>
      </w:r>
      <w:r w:rsidR="006265CD">
        <w:t xml:space="preserve"> </w:t>
      </w:r>
      <w:r w:rsidR="00BF3C99">
        <w:t>Our developed framework is carefully designed to address these issues at every stage of its pipeline.</w:t>
      </w:r>
    </w:p>
    <w:p w14:paraId="7D54312A" w14:textId="77777777" w:rsidR="00A349B7" w:rsidRDefault="00A349B7" w:rsidP="00D75FCC"/>
    <w:p w14:paraId="6DCF09EC" w14:textId="7C166DF4"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w:t>
      </w:r>
      <w:r w:rsidR="001F1E28" w:rsidRPr="006E16CF">
        <w:lastRenderedPageBreak/>
        <w:t xml:space="preserve">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497D8E">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[57]","plainTextFormattedCitation":"[57]","previouslyFormattedCitation":"[57]"},"properties":{"noteIndex":0},"schema":"https://github.com/citation-style-language/schema/raw/master/csl-citation.json"}</w:instrText>
      </w:r>
      <w:r w:rsidR="001F1E28" w:rsidRPr="006E16CF">
        <w:fldChar w:fldCharType="separate"/>
      </w:r>
      <w:r w:rsidR="00567114" w:rsidRPr="00567114">
        <w:rPr>
          <w:noProof/>
        </w:rPr>
        <w:t>[57]</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0.81)</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71041AD2"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Pr="006E16CF">
        <w:t>5</w:t>
      </w:r>
      <w:r w:rsidR="003B700C">
        <w:t>, the standard deviation of accuracy distribution was 0.06 which demonstrates the model’s robustness to training set</w:t>
      </w:r>
      <w:r w:rsidRPr="006E16CF">
        <w:t>. The mean precision score of the model across the simulations for the medium chain TEs, the product of interest, was 0.</w:t>
      </w:r>
      <w:r w:rsidR="003B700C">
        <w:t>9</w:t>
      </w:r>
      <w:r w:rsidR="00212D9D">
        <w:t xml:space="preserve"> while it was 0.79 for the long-chained TE and 0.69 for the TEs of mixed specificity</w:t>
      </w:r>
      <w:r w:rsidRPr="006E16CF">
        <w:t xml:space="preserve">. </w:t>
      </w:r>
      <w:r w:rsidR="008F39FB">
        <w:t>Substrate specificity prediction of TEs from their primary sequence remain</w:t>
      </w:r>
      <w:r w:rsidR="001A3FC4">
        <w:t>s</w:t>
      </w:r>
      <w:r w:rsidR="008F39FB">
        <w:t xml:space="preserve"> elusive. To the best of our knowledge, there is no computational method capable of performing accurate large scale categorization of </w:t>
      </w:r>
      <w:r w:rsidR="005A2D00">
        <w:t xml:space="preserve">plant acyl </w:t>
      </w:r>
      <w:r w:rsidR="008F39FB">
        <w:t>TEs</w:t>
      </w:r>
      <w:r w:rsidR="008F39FB" w:rsidRPr="006E16CF">
        <w:t xml:space="preserve"> </w:t>
      </w:r>
      <w:r w:rsidR="008F39FB">
        <w:t xml:space="preserve">into their substrate specificity groups. </w:t>
      </w:r>
      <w:r w:rsidRPr="006E16CF">
        <w:t xml:space="preserve">We </w:t>
      </w:r>
      <w:r w:rsidR="002809AE">
        <w:t xml:space="preserve">overcame this limitation by </w:t>
      </w:r>
      <w:r w:rsidRPr="006E16CF">
        <w:t>us</w:t>
      </w:r>
      <w:r w:rsidR="002809AE">
        <w:t>ing</w:t>
      </w:r>
      <w:r w:rsidRPr="006E16CF">
        <w:t xml:space="preserve"> th</w:t>
      </w:r>
      <w:r w:rsidR="008A698D">
        <w:t xml:space="preserve">e </w:t>
      </w:r>
      <w:r w:rsidR="00027CF3">
        <w:t xml:space="preserve">developed </w:t>
      </w:r>
      <w:r w:rsidR="008A698D">
        <w:t>ensemble</w:t>
      </w:r>
      <w:r w:rsidRPr="006E16CF">
        <w:t xml:space="preserve"> m</w:t>
      </w:r>
      <w:r w:rsidR="00027CF3">
        <w:t>ethod</w:t>
      </w:r>
      <w:r w:rsidRPr="006E16CF">
        <w:t xml:space="preserve"> to identify </w:t>
      </w:r>
      <w:r w:rsidR="003B700C">
        <w:t>medium chain</w:t>
      </w:r>
      <w:r w:rsidRPr="006E16CF">
        <w:t xml:space="preserve"> acyl-ACP TE among a set of uncharacterized TE</w:t>
      </w:r>
      <w:r w:rsidR="0092242E">
        <w:t>s</w:t>
      </w:r>
      <w:r w:rsidRPr="006E16CF">
        <w:t xml:space="preserve"> from select plants known to have predominantly decanoyl chains in their seed oils.</w:t>
      </w:r>
      <w:r w:rsidR="00FE1671">
        <w:t xml:space="preserve"> </w:t>
      </w:r>
      <w:r w:rsidRPr="006E16CF">
        <w:t>This study</w:t>
      </w:r>
      <w:r w:rsidR="00FB1F72">
        <w:t xml:space="preserve"> 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r>
        <w:t>Methods</w:t>
      </w:r>
    </w:p>
    <w:p w14:paraId="4B910682" w14:textId="77777777" w:rsidR="00320921" w:rsidRPr="005930BC" w:rsidRDefault="00320921" w:rsidP="00D75FCC">
      <w:pPr>
        <w:pStyle w:val="Heading3"/>
      </w:pPr>
      <w:r w:rsidRPr="005930BC">
        <w:t>Dataset Compilation</w:t>
      </w:r>
    </w:p>
    <w:p w14:paraId="15B383AB" w14:textId="141ED79F"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C9147F">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[51]–[53]"},"properties":{"noteIndex":0},"schema":"https://github.com/citation-style-language/schema/raw/master/csl-citation.json"}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2" w:name="_Feature_Extraction"/>
      <w:bookmarkEnd w:id="2"/>
      <w:r>
        <w:lastRenderedPageBreak/>
        <w:t>Feature Extraction</w:t>
      </w:r>
    </w:p>
    <w:p w14:paraId="4944E187" w14:textId="5E984B15"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w:t>
      </w:r>
      <w:r w:rsidR="007F3577">
        <w:t>are</w:t>
      </w:r>
      <w:r w:rsidR="00E079DB">
        <w:t xml:space="preserve">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3"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3"/>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0978554F" w:rsidR="00B852C2" w:rsidRDefault="002379EB" w:rsidP="00D75FCC">
            <w:r>
              <w:fldChar w:fldCharType="begin" w:fldLock="1"/>
            </w:r>
            <w:r w:rsidR="00497D8E">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[58]","plainTextFormattedCitation":"[58]","previouslyFormattedCitation":"[58]"},"properties":{"noteIndex":0},"schema":"https://github.com/citation-style-language/schema/raw/master/csl-citation.json"}</w:instrText>
            </w:r>
            <w:r>
              <w:fldChar w:fldCharType="separate"/>
            </w:r>
            <w:r w:rsidR="00567114" w:rsidRPr="00567114">
              <w:rPr>
                <w:noProof/>
              </w:rPr>
              <w:t>[58]</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BB7A4CE" w:rsidR="00B852C2" w:rsidRDefault="00A70136" w:rsidP="00D75FCC">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10B22886"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1BF63AFD" w:rsidR="00B852C2" w:rsidRDefault="005B154A" w:rsidP="00D75FCC">
            <w:r>
              <w:fldChar w:fldCharType="begin" w:fldLock="1"/>
            </w:r>
            <w:r w:rsidR="00497D8E">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[60]","plainTextFormattedCitation":"[60]","previouslyFormattedCitation":"[60]"},"properties":{"noteIndex":0},"schema":"https://github.com/citation-style-language/schema/raw/master/csl-citation.json"}</w:instrText>
            </w:r>
            <w:r>
              <w:fldChar w:fldCharType="separate"/>
            </w:r>
            <w:r w:rsidR="00567114" w:rsidRPr="00567114">
              <w:rPr>
                <w:noProof/>
              </w:rPr>
              <w:t>[60]</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128DE97B"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119F3F55" w14:textId="77777777" w:rsidTr="00B852C2">
        <w:tc>
          <w:tcPr>
            <w:tcW w:w="2337" w:type="dxa"/>
          </w:tcPr>
          <w:p w14:paraId="3ADEC8B7" w14:textId="02983B1C" w:rsidR="00B852C2" w:rsidRDefault="00CC4172" w:rsidP="00D75FCC">
            <w:r>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4F3927EF" w:rsidR="00B852C2" w:rsidRDefault="005B154A"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444BDD42" w:rsidR="00B852C2" w:rsidRDefault="00B8059B"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34DC4EF6" w:rsidR="00B852C2" w:rsidRDefault="00B8059B" w:rsidP="00D75FCC">
            <w:r>
              <w:fldChar w:fldCharType="begin" w:fldLock="1"/>
            </w:r>
            <w:r w:rsidR="00497D8E">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[62]","plainTextFormattedCitation":"[62]","previouslyFormattedCitation":"[62]"},"properties":{"noteIndex":0},"schema":"https://github.com/citation-style-language/schema/raw/master/csl-citation.json"}</w:instrText>
            </w:r>
            <w:r>
              <w:fldChar w:fldCharType="separate"/>
            </w:r>
            <w:r w:rsidR="00567114" w:rsidRPr="00567114">
              <w:rPr>
                <w:noProof/>
              </w:rPr>
              <w:t>[62]</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4984DD04"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184F08A2"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3E16B7D9"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4F5CC89C" w:rsidR="00B852C2" w:rsidRDefault="00B8059B" w:rsidP="00D75FCC">
            <w:r>
              <w:fldChar w:fldCharType="begin" w:fldLock="1"/>
            </w:r>
            <w:r w:rsidR="00497D8E">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[64]","plainTextFormattedCitation":"[64]","previouslyFormattedCitation":"[64]"},"properties":{"noteIndex":0},"schema":"https://github.com/citation-style-language/schema/raw/master/csl-citation.json"}</w:instrText>
            </w:r>
            <w:r>
              <w:fldChar w:fldCharType="separate"/>
            </w:r>
            <w:r w:rsidR="00567114" w:rsidRPr="00567114">
              <w:rPr>
                <w:noProof/>
              </w:rPr>
              <w:t>[64]</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16D3D41E" w:rsidR="00B852C2" w:rsidRDefault="00B8059B" w:rsidP="00D75FCC">
            <w:r>
              <w:fldChar w:fldCharType="begin" w:fldLock="1"/>
            </w:r>
            <w:r w:rsidR="00497D8E">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[65]","plainTextFormattedCitation":"[65]","previouslyFormattedCitation":"[65]"},"properties":{"noteIndex":0},"schema":"https://github.com/citation-style-language/schema/raw/master/csl-citation.json"}</w:instrText>
            </w:r>
            <w:r>
              <w:fldChar w:fldCharType="separate"/>
            </w:r>
            <w:r w:rsidR="00567114" w:rsidRPr="00567114">
              <w:rPr>
                <w:noProof/>
              </w:rPr>
              <w:t>[65]</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09842FAC" w:rsidR="00B852C2" w:rsidRDefault="00B8059B" w:rsidP="00D75FCC">
            <w:r>
              <w:fldChar w:fldCharType="begin" w:fldLock="1"/>
            </w:r>
            <w:r w:rsidR="00497D8E">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[66]","plainTextFormattedCitation":"[66]","previouslyFormattedCitation":"[66]"},"properties":{"noteIndex":0},"schema":"https://github.com/citation-style-language/schema/raw/master/csl-citation.json"}</w:instrText>
            </w:r>
            <w:r>
              <w:fldChar w:fldCharType="separate"/>
            </w:r>
            <w:r w:rsidR="00567114" w:rsidRPr="00567114">
              <w:rPr>
                <w:noProof/>
              </w:rPr>
              <w:t>[66]</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4D5A3B60"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3982511A"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6E117346"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770B529B" w:rsidR="00B852C2" w:rsidRDefault="00030EE4" w:rsidP="00D75FCC">
            <w:r>
              <w:fldChar w:fldCharType="begin" w:fldLock="1"/>
            </w:r>
            <w:r w:rsidR="00497D8E">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[70]","plainTextFormattedCitation":"[70]","previouslyFormattedCitation":"[70]"},"properties":{"noteIndex":0},"schema":"https://github.com/citation-style-language/schema/raw/master/csl-citation.json"}</w:instrText>
            </w:r>
            <w:r>
              <w:fldChar w:fldCharType="separate"/>
            </w:r>
            <w:r w:rsidR="00567114" w:rsidRPr="00567114">
              <w:rPr>
                <w:noProof/>
              </w:rPr>
              <w:t>[70]</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6C86B75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3D6448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460E63B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51310382"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5EFBAC68"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554C5CF3" w:rsidR="00B852C2" w:rsidRDefault="00241A2F"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CEA9BD8"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610C2AF0"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33833431" w:rsidR="00B852C2" w:rsidRDefault="00BD74AE" w:rsidP="00D75FCC">
            <w:r>
              <w:fldChar w:fldCharType="begin" w:fldLock="1"/>
            </w:r>
            <w:r w:rsidR="00497D8E">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[73]","plainTextFormattedCitation":"[73]","previouslyFormattedCitation":"[73]"},"properties":{"noteIndex":0},"schema":"https://github.com/citation-style-language/schema/raw/master/csl-citation.json"}</w:instrText>
            </w:r>
            <w:r>
              <w:fldChar w:fldCharType="separate"/>
            </w:r>
            <w:r w:rsidR="00567114" w:rsidRPr="00567114">
              <w:rPr>
                <w:noProof/>
              </w:rPr>
              <w:t>[73]</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366C356A" w:rsidR="00B852C2" w:rsidRDefault="00A7297A" w:rsidP="00D75FCC">
            <w:r>
              <w:fldChar w:fldCharType="begin" w:fldLock="1"/>
            </w:r>
            <w:r w:rsidR="00497D8E">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[74]","plainTextFormattedCitation":"[74]","previouslyFormattedCitation":"[74]"},"properties":{"noteIndex":0},"schema":"https://github.com/citation-style-language/schema/raw/master/csl-citation.json"}</w:instrText>
            </w:r>
            <w:r>
              <w:fldChar w:fldCharType="separate"/>
            </w:r>
            <w:r w:rsidR="00567114" w:rsidRPr="00567114">
              <w:rPr>
                <w:noProof/>
              </w:rPr>
              <w:t>[74]</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BD50B2B" w:rsidR="00B852C2" w:rsidRDefault="00777848" w:rsidP="00D75FCC">
            <w:r>
              <w:fldChar w:fldCharType="begin" w:fldLock="1"/>
            </w:r>
            <w:r w:rsidR="00497D8E">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[75]","plainTextFormattedCitation":"[75]","previouslyFormattedCitation":"[75]"},"properties":{"noteIndex":0},"schema":"https://github.com/citation-style-language/schema/raw/master/csl-citation.json"}</w:instrText>
            </w:r>
            <w:r>
              <w:fldChar w:fldCharType="separate"/>
            </w:r>
            <w:r w:rsidR="00567114" w:rsidRPr="00567114">
              <w:rPr>
                <w:noProof/>
              </w:rPr>
              <w:t>[75]</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3606DDC6" w:rsidR="00B852C2" w:rsidRDefault="00777848" w:rsidP="00D75FCC">
            <w:r>
              <w:fldChar w:fldCharType="begin" w:fldLock="1"/>
            </w:r>
            <w:r w:rsidR="00497D8E">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[76]","plainTextFormattedCitation":"[76]","previouslyFormattedCitation":"[76]"},"properties":{"noteIndex":0},"schema":"https://github.com/citation-style-language/schema/raw/master/csl-citation.json"}</w:instrText>
            </w:r>
            <w:r>
              <w:fldChar w:fldCharType="separate"/>
            </w:r>
            <w:r w:rsidR="00567114" w:rsidRPr="00567114">
              <w:rPr>
                <w:noProof/>
              </w:rPr>
              <w:t>[76]</w:t>
            </w:r>
            <w:r>
              <w:fldChar w:fldCharType="end"/>
            </w:r>
          </w:p>
        </w:tc>
      </w:tr>
      <w:tr w:rsidR="00B852C2" w14:paraId="748033E8" w14:textId="77777777" w:rsidTr="00B852C2">
        <w:tc>
          <w:tcPr>
            <w:tcW w:w="2337" w:type="dxa"/>
          </w:tcPr>
          <w:p w14:paraId="604E44A8" w14:textId="4862629B" w:rsidR="00B852C2" w:rsidRDefault="00CC4172" w:rsidP="00D75FCC">
            <w:r>
              <w:lastRenderedPageBreak/>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15DBDF4"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71A99183"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06C95D7"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6DD2A384"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2550E6CA"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6CE2FF09" w:rsidR="00B852C2" w:rsidRDefault="00777848" w:rsidP="00D75FCC">
            <w:r>
              <w:fldChar w:fldCharType="begin" w:fldLock="1"/>
            </w:r>
            <w:r w:rsidR="00497D8E">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[79]","plainTextFormattedCitation":"[79]","previouslyFormattedCitation":"[79]"},"properties":{"noteIndex":0},"schema":"https://github.com/citation-style-language/schema/raw/master/csl-citation.json"}</w:instrText>
            </w:r>
            <w:r>
              <w:fldChar w:fldCharType="separate"/>
            </w:r>
            <w:r w:rsidR="00567114" w:rsidRPr="00567114">
              <w:rPr>
                <w:noProof/>
              </w:rPr>
              <w:t>[79]</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B59F82A"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53F1FCC4"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3072F24" w:rsidR="00B852C2" w:rsidRDefault="00716D69" w:rsidP="00D75FCC">
            <w:r>
              <w:fldChar w:fldCharType="begin" w:fldLock="1"/>
            </w:r>
            <w:r w:rsidR="00497D8E">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[81]","plainTextFormattedCitation":"[81]","previouslyFormattedCitation":"[81]"},"properties":{"noteIndex":0},"schema":"https://github.com/citation-style-language/schema/raw/master/csl-citation.json"}</w:instrText>
            </w:r>
            <w:r>
              <w:fldChar w:fldCharType="separate"/>
            </w:r>
            <w:r w:rsidR="00567114" w:rsidRPr="00567114">
              <w:rPr>
                <w:noProof/>
              </w:rPr>
              <w:t>[81]</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6C7CCEA8" w:rsidR="00B852C2" w:rsidRDefault="00716D69" w:rsidP="00D75FCC">
            <w:r>
              <w:fldChar w:fldCharType="begin" w:fldLock="1"/>
            </w:r>
            <w:r w:rsidR="00497D8E">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[82]","plainTextFormattedCitation":"[82]","previouslyFormattedCitation":"[82]"},"properties":{"noteIndex":0},"schema":"https://github.com/citation-style-language/schema/raw/master/csl-citation.json"}</w:instrText>
            </w:r>
            <w:r>
              <w:fldChar w:fldCharType="separate"/>
            </w:r>
            <w:r w:rsidR="00567114" w:rsidRPr="00567114">
              <w:rPr>
                <w:noProof/>
              </w:rPr>
              <w:t>[82]</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7E13946D" w:rsidR="00B852C2" w:rsidRDefault="00DC5C9D" w:rsidP="00D75FCC">
            <w:r>
              <w:fldChar w:fldCharType="begin" w:fldLock="1"/>
            </w:r>
            <w:r w:rsidR="00497D8E">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[83]","plainTextFormattedCitation":"[83]","previouslyFormattedCitation":"[83]"},"properties":{"noteIndex":0},"schema":"https://github.com/citation-style-language/schema/raw/master/csl-citation.json"}</w:instrText>
            </w:r>
            <w:r>
              <w:fldChar w:fldCharType="separate"/>
            </w:r>
            <w:r w:rsidR="00567114" w:rsidRPr="00567114">
              <w:rPr>
                <w:noProof/>
              </w:rPr>
              <w:t>[83]</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10429322" w:rsidR="00B852C2" w:rsidRDefault="00DC5C9D" w:rsidP="00D75FCC">
            <w:r>
              <w:fldChar w:fldCharType="begin" w:fldLock="1"/>
            </w:r>
            <w:r w:rsidR="00497D8E">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497D8E">
              <w:rPr>
                <w:rFonts w:ascii="Cambria Math" w:hAnsi="Cambria Math" w:cs="Cambria Math"/>
              </w:rPr>
              <w:instrText>∼</w:instrText>
            </w:r>
            <w:r w:rsidR="00497D8E">
              <w:instrText>6.83%, 0.88%</w:instrText>
            </w:r>
            <w:r w:rsidR="00497D8E">
              <w:rPr>
                <w:rFonts w:ascii="Cambria Math" w:hAnsi="Cambria Math" w:cs="Cambria Math"/>
              </w:rPr>
              <w:instrText>∼</w:instrText>
            </w:r>
            <w:r w:rsidR="00497D8E">
              <w:instrText>5.33%, and 0.10</w:instrText>
            </w:r>
            <w:r w:rsidR="00497D8E">
              <w:rPr>
                <w:rFonts w:ascii="Cambria Math" w:hAnsi="Cambria Math" w:cs="Cambria Math"/>
              </w:rPr>
              <w:instrText>∼</w:instrText>
            </w:r>
            <w:r w:rsidR="00497D8E">
              <w:instrText>0.23 in terms of overall accuracy, specificity, and Matthew's correlation coefficient, respectively. Most notably, compared to other approaches, RNAProB significantly improves sensitivity by 7.0%</w:instrText>
            </w:r>
            <w:r w:rsidR="00497D8E">
              <w:rPr>
                <w:rFonts w:ascii="Cambria Math" w:hAnsi="Cambria Math" w:cs="Cambria Math"/>
              </w:rPr>
              <w:instrText>∼</w:instrText>
            </w:r>
            <w:r w:rsidR="00497D8E">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[84]","plainTextFormattedCitation":"[84]","previouslyFormattedCitation":"[84]"},"properties":{"noteIndex":0},"schema":"https://github.com/citation-style-language/schema/raw/master/csl-citation.json"}</w:instrText>
            </w:r>
            <w:r>
              <w:fldChar w:fldCharType="separate"/>
            </w:r>
            <w:r w:rsidR="00567114" w:rsidRPr="00567114">
              <w:rPr>
                <w:noProof/>
              </w:rPr>
              <w:t>[84]</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595BF67A" w:rsidR="00B852C2"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4069717C" w:rsidR="00F837B3"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77F6271C"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97D8E">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[86]","plainTextFormattedCitation":"[86]","previouslyFormattedCitation":"[86]"},"properties":{"noteIndex":0},"schema":"https://github.com/citation-style-language/schema/raw/master/csl-citation.json"}</w:instrText>
      </w:r>
      <w:r w:rsidR="00435250">
        <w:fldChar w:fldCharType="separate"/>
      </w:r>
      <w:r w:rsidR="00567114" w:rsidRPr="00567114">
        <w:rPr>
          <w:noProof/>
        </w:rPr>
        <w:t>[86]</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B469DE"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B469DE"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mismatches,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B469DE"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4"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4189DC37" w:rsidR="00435250" w:rsidRPr="00435250" w:rsidRDefault="00435250" w:rsidP="00D75FCC">
      <w:r>
        <w:t xml:space="preserve">Two n-gram based methods, described below, were used in our ensemble model. They were all implemented using python’s numpy package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[87]","plainTextFormattedCitation":"[87]","previouslyFormattedCitation":"[87]"},"properties":{"noteIndex":0},"schema":"https://github.com/citation-style-language/schema/raw/master/csl-citation.json"}</w:instrText>
      </w:r>
      <w:r>
        <w:fldChar w:fldCharType="separate"/>
      </w:r>
      <w:r w:rsidR="00567114" w:rsidRPr="00567114">
        <w:rPr>
          <w:noProof/>
        </w:rPr>
        <w:t>[87]</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4"/>
    </w:p>
    <w:p w14:paraId="5897407C" w14:textId="447DC696" w:rsidR="00320921" w:rsidRDefault="00251011" w:rsidP="00D75FCC">
      <w:r w:rsidRPr="00453F80">
        <w:t>This representation is similar to the N-gram representation for language models</w:t>
      </w:r>
      <w:r>
        <w:t xml:space="preserve"> </w:t>
      </w:r>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063AB434"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r>
        <w:t xml:space="preserve">. </w:t>
      </w:r>
    </w:p>
    <w:p w14:paraId="27CBC8ED" w14:textId="77777777" w:rsidR="004909A7" w:rsidRDefault="004909A7" w:rsidP="00D75FCC"/>
    <w:p w14:paraId="4F2401B1" w14:textId="53D43A9E" w:rsidR="006807CA" w:rsidRDefault="005C4449" w:rsidP="00D75FCC">
      <w:pPr>
        <w:pStyle w:val="Heading5"/>
        <w:rPr>
          <w:rFonts w:eastAsiaTheme="minorEastAsia"/>
        </w:rPr>
      </w:pPr>
      <w:bookmarkStart w:id="5" w:name="_Amino_Acid_Composition"/>
      <w:bookmarkEnd w:id="5"/>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types.</w:t>
      </w:r>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6" w:name="_Composition_of_k-spaced"/>
      <w:bookmarkEnd w:id="6"/>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B469DE"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7" w:name="_Tri-Peptide_Composition_(TPC)"/>
      <w:bookmarkEnd w:id="7"/>
      <w:r>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8" w:name="_Di-Peptide_Composition_(DPC)"/>
      <w:bookmarkEnd w:id="8"/>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B469DE"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B469DE"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peptide.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lastRenderedPageBreak/>
        <w:t>Moran Correlation (Moran)</w:t>
      </w:r>
    </w:p>
    <w:p w14:paraId="7EB1EC9D" w14:textId="06A25A96"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497D8E">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[88]","plainTextFormattedCitation":"[88]","previouslyFormattedCitation":"[88]"},"properties":{"noteIndex":0},"schema":"https://github.com/citation-style-language/schema/raw/master/csl-citation.json"}</w:instrText>
      </w:r>
      <w:r w:rsidR="005A1606">
        <w:fldChar w:fldCharType="separate"/>
      </w:r>
      <w:r w:rsidR="00567114" w:rsidRPr="00567114">
        <w:rPr>
          <w:noProof/>
        </w:rPr>
        <w:t>[88]</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lastRenderedPageBreak/>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lastRenderedPageBreak/>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B469DE"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B469DE"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B469DE"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B469DE"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B469DE"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B469DE"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as:</w:t>
      </w:r>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B469DE"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B469DE"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B469DE"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as:</w:t>
      </w:r>
    </w:p>
    <w:p w14:paraId="616C6222" w14:textId="15FDAECF" w:rsidR="006F14A3" w:rsidRDefault="006F14A3" w:rsidP="00D75FCC"/>
    <w:p w14:paraId="402809B9" w14:textId="69A2893E" w:rsidR="006F14A3" w:rsidRPr="006F14A3" w:rsidRDefault="00B469DE"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B469DE"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121BF32A" w:rsidR="00C87CF0" w:rsidRDefault="00264BF4" w:rsidP="00D75FCC">
      <w:pPr>
        <w:rPr>
          <w:rFonts w:eastAsiaTheme="minorEastAsia"/>
        </w:rPr>
      </w:pPr>
      <w:r>
        <w:t>21 feature extraction techniques were derived from the PSSM profile</w:t>
      </w:r>
      <w:r w:rsidR="00E434D3">
        <w:t>s</w:t>
      </w:r>
      <w:r>
        <w:t xml:space="preserve"> of TE sequences. </w:t>
      </w:r>
      <w:r w:rsidR="00E434D3">
        <w:t xml:space="preserve">PSSM profile of a sequence is constructed from multiple sequence alignment of the highest scoring hits </w:t>
      </w:r>
      <w:r w:rsidR="00E434D3">
        <w:lastRenderedPageBreak/>
        <w:t>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497D8E">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497D8E">
        <w:rPr>
          <w:rFonts w:ascii="Cambria Math" w:hAnsi="Cambria Math" w:cs="Cambria Math"/>
        </w:rPr>
        <w:instrText>∼</w:instrText>
      </w:r>
      <w:r w:rsidR="00497D8E">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[89]","plainTextFormattedCitation":"[89]","previouslyFormattedCitation":"[89]"},"properties":{"noteIndex":0},"schema":"https://github.com/citation-style-language/schema/raw/master/csl-citation.json"}</w:instrText>
      </w:r>
      <w:r w:rsidR="00544156">
        <w:fldChar w:fldCharType="separate"/>
      </w:r>
      <w:r w:rsidR="00567114" w:rsidRPr="00567114">
        <w:rPr>
          <w:noProof/>
        </w:rPr>
        <w:t>[89]</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9" w:name="_Amino_Acid_Composition_1"/>
      <w:bookmarkEnd w:id="9"/>
      <w:r>
        <w:t>Amino Acid Composition using PSSM profiles (AAC</w:t>
      </w:r>
      <w:r w:rsidR="00055654">
        <w:t>-</w:t>
      </w:r>
      <w:r>
        <w:t>PSSM)</w:t>
      </w:r>
      <w:r w:rsidR="006A7A12">
        <w:t xml:space="preserve"> </w:t>
      </w:r>
    </w:p>
    <w:p w14:paraId="78F82237" w14:textId="3413D949"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B469DE"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D75FCC"/>
    <w:p w14:paraId="49C6AF02" w14:textId="1A07010F" w:rsidR="00835BFF" w:rsidRDefault="00835BFF" w:rsidP="00D75FCC">
      <w:pPr>
        <w:pStyle w:val="Heading5"/>
      </w:pPr>
      <w:bookmarkStart w:id="10" w:name="_Di-Peptide_Composition_using"/>
      <w:bookmarkEnd w:id="10"/>
      <w:r>
        <w:t>Di-Peptide Composition using PSSM profiles (DPC</w:t>
      </w:r>
      <w:r w:rsidR="00055654">
        <w:t>-</w:t>
      </w:r>
      <w:r>
        <w:t xml:space="preserve">PSSM) </w:t>
      </w:r>
    </w:p>
    <w:p w14:paraId="6634B3B8" w14:textId="56908DE0" w:rsidR="00835BFF" w:rsidRDefault="00835BFF" w:rsidP="00D75FCC">
      <w:r>
        <w:t>DPC</w:t>
      </w:r>
      <w:r w:rsidR="00055654">
        <w:t>-</w:t>
      </w:r>
      <w:r>
        <w:t xml:space="preserve">PSSM uses the numerical values of the PSSM matrix instead of the actual count of di-peptides as in </w:t>
      </w:r>
      <w:r w:rsidR="005D1CDB">
        <w:t xml:space="preserve">traditional </w:t>
      </w:r>
      <w:r>
        <w:t xml:space="preserve">DPC to calculate frequency of each dipeptide.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B469DE"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1" w:name="_PSSM_Auto-Covariance_(PSSM-AC)"/>
      <w:bookmarkEnd w:id="11"/>
      <w:r>
        <w:lastRenderedPageBreak/>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7F54F83F"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163A6C">
        <w:fldChar w:fldCharType="begin" w:fldLock="1"/>
      </w:r>
      <w:r w:rsidR="00163A6C">
        <w:instrText>ADDIN CSL_CITATION {"citationItems":[{"id":"ITEM-1","itemData":{"DOI":"10.1093/protein/gzg044","ISSN":"02692139","PMID":"12826723","abstract":"It is well known that there are some similarities among various naturally occurring amino acids. Thus, the complexity in protein systems could be reduced by sorting these amino acids with similarities into groups and then protein sequences can be simplified by reduced alphabets. This paper discusses how to group similar amino acids and whether there is a minimal amino acid alphabet by which proteins can be folded. Various reduced alphabets are obtained by reserving the maximal information for the simplified protein sequence compared with the parent sequence using global sequence alignment. With these reduced alphabets and simplified similarity matrices, we achieve recognition of the protein fold based on the similarity score of the sequence alignment. The coverage in dataset SCOP40 for various levels of reduction on the amino acid types is obtained, which is the number of homologous pairs detected by program BLAST to the number marked by SCOP40. For the reduced alphabets containing 10 types of amino acids, the ability to detect distantly related folds remains almost at the same level as that by the alphabet of 20 types of amino acids, which implies that 10 types of amino acids may be the degree of freedom for characterizing the complexity in proteins.","author":[{"dropping-particle":"","family":"Li","given":"Tanping","non-dropping-particle":"","parse-names":false,"suffix":""},{"dropping-particle":"","family":"Fan","given":"Ke","non-dropping-particle":"","parse-names":false,"suffix":""},{"dropping-particle":"","family":"Wang","given":"Jun","non-dropping-particle":"","parse-names":false,"suffix":""},{"dropping-particle":"","family":"Wang","given":"Wei","non-dropping-particle":"","parse-names":false,"suffix":""}],"container-title":"Protein Engineering","id":"ITEM-1","issued":{"date-parts":[["2003"]]},"title":"Reduction of protein sequence complexity by residue grouping","type":"article-journal"},"uris":["http://www.mendeley.com/documents/?uuid=45d927d2-de69-4e29-93b6-6239e4bc5050"]}],"mendeley":{"formattedCitation":"[90]","plainTextFormattedCitation":"[90]"},"properties":{"noteIndex":0},"schema":"https://github.com/citation-style-language/schema/raw/master/csl-citation.json"}</w:instrText>
      </w:r>
      <w:r w:rsidR="00163A6C">
        <w:fldChar w:fldCharType="separate"/>
      </w:r>
      <w:r w:rsidR="00163A6C" w:rsidRPr="00163A6C">
        <w:rPr>
          <w:noProof/>
        </w:rPr>
        <w:t>[90]</w:t>
      </w:r>
      <w:r w:rsidR="00163A6C">
        <w:fldChar w:fldCharType="end"/>
      </w:r>
      <w:r w:rsidR="00805D5C">
        <w:t xml:space="preserve"> </w:t>
      </w:r>
      <w:r>
        <w:t>which is described as follows:</w:t>
      </w:r>
    </w:p>
    <w:p w14:paraId="1336C108" w14:textId="77777777" w:rsidR="00EF63B2" w:rsidRDefault="00EF63B2" w:rsidP="00D75FCC"/>
    <w:p w14:paraId="27D9AA86" w14:textId="77777777" w:rsidR="00EF63B2" w:rsidRPr="00EF63B2" w:rsidRDefault="00B469DE"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B469DE"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B469DE"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B469DE"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B469DE"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2" w:name="_EDP"/>
      <w:bookmarkEnd w:id="12"/>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subsequently calculated as follows:</w:t>
      </w:r>
    </w:p>
    <w:p w14:paraId="010C581C" w14:textId="77777777" w:rsidR="00715CF2" w:rsidRDefault="00715CF2" w:rsidP="00D75FCC"/>
    <w:p w14:paraId="44003BA1" w14:textId="44A6FE2B" w:rsidR="000B37BE" w:rsidRPr="00715CF2" w:rsidRDefault="00B469DE"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B469DE"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sequence. The ED-PSSM matrix is used to calculate EDP feature vector as follows:</w:t>
      </w:r>
    </w:p>
    <w:p w14:paraId="4918764B" w14:textId="4A7EF47C" w:rsidR="003E0020" w:rsidRDefault="003E0020" w:rsidP="00D75FCC"/>
    <w:p w14:paraId="03761FB4" w14:textId="371E55E4" w:rsidR="003E0020" w:rsidRPr="003E0020" w:rsidRDefault="00B469DE"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3" w:name="_EEDP"/>
      <w:bookmarkEnd w:id="13"/>
      <w:r>
        <w:rPr>
          <w:rFonts w:eastAsiaTheme="minorEastAsia"/>
        </w:rPr>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B469DE"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w:t>
      </w:r>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4" w:name="_TPC"/>
      <w:bookmarkStart w:id="15" w:name="_TPC-PSSM"/>
      <w:bookmarkEnd w:id="14"/>
      <w:bookmarkEnd w:id="15"/>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B469DE"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sequence.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0DC0D085" w:rsidR="00A264A1" w:rsidRDefault="00485A0F" w:rsidP="00D75FCC">
      <w:pPr>
        <w:pStyle w:val="Heading5"/>
      </w:pPr>
      <w:r>
        <w:t>k-separated-bigrams</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B469DE"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length of the protein sequence.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6" w:name="_D-FPSSM"/>
      <w:bookmarkEnd w:id="16"/>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B469DE"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D75FCC"/>
    <w:p w14:paraId="4E2FAA54" w14:textId="2E803598" w:rsidR="00CD3158" w:rsidRDefault="00CD3158" w:rsidP="00D75FCC">
      <w:pPr>
        <w:pStyle w:val="Heading5"/>
      </w:pPr>
      <w:r>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B469DE"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element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as:</w:t>
      </w:r>
      <w:r>
        <w:t xml:space="preserve"> </w:t>
      </w:r>
    </w:p>
    <w:p w14:paraId="07786028" w14:textId="77777777" w:rsidR="00C75574" w:rsidRDefault="00C75574" w:rsidP="00D75FCC"/>
    <w:p w14:paraId="24CC8B40" w14:textId="48197B21" w:rsidR="00C75574" w:rsidRPr="00CD3158" w:rsidRDefault="00B469DE"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B469DE"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B469DE"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B469DE"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B469DE"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B469DE"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B469DE"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B469DE"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B469DE"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B469DE"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B469DE"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matri</w:t>
      </w:r>
      <w:r w:rsidR="00B271BE">
        <w:t>x.</w:t>
      </w:r>
    </w:p>
    <w:p w14:paraId="70323BFA" w14:textId="5233E44D" w:rsidR="00B271BE" w:rsidRDefault="00B271BE" w:rsidP="00D75FCC"/>
    <w:p w14:paraId="2BCA3737" w14:textId="3712E747" w:rsidR="00B271BE" w:rsidRDefault="004C5A41" w:rsidP="00D75FCC">
      <w:pPr>
        <w:pStyle w:val="Heading5"/>
      </w:pPr>
      <w:r>
        <w:lastRenderedPageBreak/>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B469DE"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profile.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B469DE"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block.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B469DE"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w:t>
      </w:r>
      <w:r w:rsidR="002A39E0">
        <w:lastRenderedPageBreak/>
        <w:t xml:space="preserve">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47089D32"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163A6C">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[91]","plainTextFormattedCitation":"[91]","previouslyFormattedCitation":"[90]"},"properties":{"noteIndex":0},"schema":"https://github.com/citation-style-language/schema/raw/master/csl-citation.json"}</w:instrText>
      </w:r>
      <w:r>
        <w:fldChar w:fldCharType="separate"/>
      </w:r>
      <w:r w:rsidR="00163A6C" w:rsidRPr="00163A6C">
        <w:rPr>
          <w:noProof/>
        </w:rPr>
        <w:t>[91]</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163A6C">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[92]","plainTextFormattedCitation":"[92]","previouslyFormattedCitation":"[91]"},"properties":{"noteIndex":0},"schema":"https://github.com/citation-style-language/schema/raw/master/csl-citation.json"}</w:instrText>
      </w:r>
      <w:r w:rsidR="003D052E">
        <w:fldChar w:fldCharType="separate"/>
      </w:r>
      <w:r w:rsidR="00163A6C" w:rsidRPr="00163A6C">
        <w:rPr>
          <w:noProof/>
        </w:rPr>
        <w:t>[92]</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7"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7"/>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18" w:name="_Model_Training"/>
      <w:bookmarkEnd w:id="18"/>
      <w:r>
        <w:lastRenderedPageBreak/>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19" w:name="_The_Meta_Learner"/>
      <w:bookmarkEnd w:id="19"/>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B469DE"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0"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0"/>
      <w:r>
        <w:t>: The hyperparameters of each base learner are dependent on the learning algorithm used to train it. The learning algorithm dependent hyperparameters are displayed here.</w:t>
      </w:r>
    </w:p>
    <w:tbl>
      <w:tblPr>
        <w:tblStyle w:val="TableGrid"/>
        <w:tblW w:w="10800" w:type="dxa"/>
        <w:tblInd w:w="-185" w:type="dxa"/>
        <w:tblLook w:val="04A0" w:firstRow="1" w:lastRow="0" w:firstColumn="1" w:lastColumn="0" w:noHBand="0" w:noVBand="1"/>
      </w:tblPr>
      <w:tblGrid>
        <w:gridCol w:w="2160"/>
        <w:gridCol w:w="2071"/>
        <w:gridCol w:w="2339"/>
        <w:gridCol w:w="2070"/>
        <w:gridCol w:w="2160"/>
      </w:tblGrid>
      <w:tr w:rsidR="009400FC" w14:paraId="552DD2E1" w14:textId="77777777" w:rsidTr="009400F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400F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400F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400F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4B86A535" w14:textId="77777777" w:rsidR="007020DD" w:rsidRPr="007020DD" w:rsidRDefault="007020DD" w:rsidP="007020DD">
      <w:bookmarkStart w:id="21" w:name="_Model_Training_1"/>
      <w:bookmarkEnd w:id="21"/>
    </w:p>
    <w:p w14:paraId="0EA3B150" w14:textId="23F7D6D5" w:rsidR="00F31130" w:rsidRDefault="00F31130" w:rsidP="00D75FCC">
      <w:pPr>
        <w:pStyle w:val="Heading4"/>
      </w:pPr>
      <w:r>
        <w:t xml:space="preserve">Model </w:t>
      </w:r>
      <w:r w:rsidR="005368E6">
        <w:t>E</w:t>
      </w:r>
      <w:r>
        <w:t xml:space="preserve">valuation </w:t>
      </w:r>
      <w:r w:rsidR="005368E6">
        <w:t>M</w:t>
      </w:r>
      <w:r>
        <w:t>etrics</w:t>
      </w:r>
    </w:p>
    <w:p w14:paraId="36FF6D54" w14:textId="77777777" w:rsidR="00D91563" w:rsidRDefault="008503BE" w:rsidP="00F31130">
      <w:r>
        <w:t xml:space="preserve">We measured the performance of our model using three popular classification metrics, 1) accuracy score, 2) precision score </w:t>
      </w:r>
      <w:r w:rsidR="00D91563">
        <w:t>on the medium chain TE class, 3) recall score on the medium chain TE class. Accuracy score for a multi-class classification problem is defined as:</w:t>
      </w:r>
    </w:p>
    <w:p w14:paraId="4BB65F7E" w14:textId="77777777" w:rsidR="00D91563" w:rsidRDefault="00D91563" w:rsidP="00F31130"/>
    <w:p w14:paraId="0663722D" w14:textId="0281222E" w:rsidR="00F31130" w:rsidRPr="00D91563" w:rsidRDefault="00D91563" w:rsidP="00D91563">
      <w:pPr>
        <w:jc w:val="center"/>
        <w:rPr>
          <w:rFonts w:eastAsiaTheme="minorEastAsia"/>
        </w:rPr>
      </w:pPr>
      <m:oMathPara>
        <m:oMath>
          <m:r>
            <w:rPr>
              <w:rFonts w:ascii="Cambria Math" w:hAnsi="Cambria Math"/>
            </w:rPr>
            <m:t>acc</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bi"/>
                </m:rPr>
                <w:rPr>
                  <w:rFonts w:ascii="Cambria Math" w:hAnsi="Cambria Math"/>
                </w:rPr>
                <m:t>1</m:t>
              </m:r>
              <m:ctrlPr>
                <w:rPr>
                  <w:rFonts w:ascii="Cambria Math" w:hAnsi="Cambria Math"/>
                  <w:i/>
                </w:rPr>
              </m:ctrlPr>
            </m:e>
          </m:nary>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0F4AFFF" w14:textId="46107A1E" w:rsidR="00D91563" w:rsidRDefault="00D91563" w:rsidP="00D91563">
      <w:pPr>
        <w:rPr>
          <w:rFonts w:eastAsiaTheme="minorEastAsia"/>
        </w:rPr>
      </w:pPr>
    </w:p>
    <w:p w14:paraId="7958C6E2" w14:textId="196791D3" w:rsidR="00D91563" w:rsidRDefault="00D91563" w:rsidP="00D91563">
      <w:pPr>
        <w:rPr>
          <w:rFonts w:eastAsiaTheme="minorEastAsia"/>
        </w:rPr>
      </w:pPr>
      <w:r>
        <w:rPr>
          <w:rFonts w:eastAsiaTheme="minorEastAsia"/>
        </w:rPr>
        <w:lastRenderedPageBreak/>
        <w:t xml:space="preserve">Where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oMath>
      <w:r>
        <w:rPr>
          <w:rFonts w:eastAsiaTheme="minorEastAsia"/>
        </w:rPr>
        <w:t xml:space="preserve"> is the predicted value for sample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corresponding true sample, </w:t>
      </w:r>
      <m:oMath>
        <m:r>
          <w:rPr>
            <w:rFonts w:ascii="Cambria Math" w:eastAsiaTheme="minorEastAsia" w:hAnsi="Cambria Math"/>
          </w:rPr>
          <m:t>N</m:t>
        </m:r>
      </m:oMath>
      <w:r>
        <w:rPr>
          <w:rFonts w:eastAsiaTheme="minorEastAsia"/>
        </w:rPr>
        <w:t xml:space="preserve"> is the number of samples and </w:t>
      </w:r>
      <m:oMath>
        <m:r>
          <w:rPr>
            <w:rFonts w:ascii="Cambria Math" w:eastAsiaTheme="minorEastAsia" w:hAnsi="Cambria Math"/>
          </w:rPr>
          <m:t>1</m:t>
        </m:r>
      </m:oMath>
      <w:r>
        <w:rPr>
          <w:rFonts w:eastAsiaTheme="minorEastAsia"/>
        </w:rPr>
        <w:t xml:space="preserve"> is an indicator function that is equals to 1 if a certain condition is true and 0 otherwise. Precision score for a class </w:t>
      </w:r>
      <m:oMath>
        <m:r>
          <w:rPr>
            <w:rFonts w:ascii="Cambria Math" w:eastAsiaTheme="minorEastAsia" w:hAnsi="Cambria Math"/>
          </w:rPr>
          <m:t>i</m:t>
        </m:r>
      </m:oMath>
      <w:r>
        <w:rPr>
          <w:rFonts w:eastAsiaTheme="minorEastAsia"/>
        </w:rPr>
        <w:t xml:space="preserve"> is defined as:</w:t>
      </w:r>
    </w:p>
    <w:p w14:paraId="7ABE0076" w14:textId="77777777" w:rsidR="00D91563" w:rsidRDefault="00D91563" w:rsidP="00D91563">
      <w:pPr>
        <w:rPr>
          <w:rFonts w:eastAsiaTheme="minorEastAsia"/>
        </w:rPr>
      </w:pPr>
    </w:p>
    <w:p w14:paraId="2888356C" w14:textId="4905CDF1" w:rsidR="00D91563" w:rsidRDefault="00D91563" w:rsidP="00D91563">
      <w:pPr>
        <w:rPr>
          <w:rFonts w:eastAsiaTheme="minorEastAsia"/>
        </w:rPr>
      </w:pPr>
      <m:oMathPara>
        <m:oMath>
          <m:r>
            <w:rPr>
              <w:rFonts w:ascii="Cambria Math" w:eastAsiaTheme="minorEastAsia" w:hAnsi="Cambria Math"/>
            </w:rPr>
            <m:t>pre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den>
          </m:f>
        </m:oMath>
      </m:oMathPara>
    </w:p>
    <w:p w14:paraId="0129AF62" w14:textId="6624B031" w:rsidR="00D91563" w:rsidRDefault="00D91563" w:rsidP="00D91563">
      <w:pPr>
        <w:rPr>
          <w:rFonts w:eastAsiaTheme="minorEastAsia"/>
        </w:rPr>
      </w:pPr>
      <w:r>
        <w:rPr>
          <w:rFonts w:eastAsiaTheme="minorEastAsia"/>
        </w:rPr>
        <w:t xml:space="preserve">   </w:t>
      </w:r>
    </w:p>
    <w:p w14:paraId="25649B26" w14:textId="77777777" w:rsidR="00D91563" w:rsidRDefault="00D91563" w:rsidP="00D91563">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true positives for the </w:t>
      </w:r>
      <m:oMath>
        <m:r>
          <w:rPr>
            <w:rFonts w:ascii="Cambria Math" w:hAnsi="Cambria Math"/>
          </w:rPr>
          <m:t>i</m:t>
        </m:r>
      </m:oMath>
      <w:r>
        <w:t xml:space="preserve">-th class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false positives for the </w:t>
      </w:r>
      <m:oMath>
        <m:r>
          <w:rPr>
            <w:rFonts w:ascii="Cambria Math" w:hAnsi="Cambria Math"/>
          </w:rPr>
          <m:t>i</m:t>
        </m:r>
      </m:oMath>
      <w:r>
        <w:t>-th class. Recall score for a class I is defined as:</w:t>
      </w:r>
    </w:p>
    <w:p w14:paraId="7536688C" w14:textId="77777777" w:rsidR="00D91563" w:rsidRDefault="00D91563" w:rsidP="00D91563"/>
    <w:p w14:paraId="430D0CAF" w14:textId="6F09CA63" w:rsidR="00D91563" w:rsidRDefault="00D91563" w:rsidP="00D91563">
      <w:pPr>
        <w:jc w:val="center"/>
      </w:pPr>
      <m:oMathPara>
        <m:oMath>
          <m:r>
            <w:rPr>
              <w:rFonts w:ascii="Cambria Math" w:hAnsi="Cambria Math"/>
            </w:rPr>
            <m:t>re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oMath>
      </m:oMathPara>
    </w:p>
    <w:p w14:paraId="777A2158" w14:textId="3407E3E8" w:rsidR="00D91563" w:rsidRDefault="00D91563" w:rsidP="00D91563"/>
    <w:p w14:paraId="2DBEF8B9" w14:textId="3BBE6B5A" w:rsidR="00D91563" w:rsidRDefault="00D91563" w:rsidP="00D91563">
      <w:r>
        <w:t xml:space="preserve">Where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false negatives </w:t>
      </w:r>
      <w:r w:rsidR="000A59B2">
        <w:t xml:space="preserve">recorded for the </w:t>
      </w:r>
      <m:oMath>
        <m:r>
          <w:rPr>
            <w:rFonts w:ascii="Cambria Math" w:hAnsi="Cambria Math"/>
          </w:rPr>
          <m:t>i</m:t>
        </m:r>
      </m:oMath>
      <w:r w:rsidR="000A59B2">
        <w:t>-th class.</w:t>
      </w:r>
    </w:p>
    <w:p w14:paraId="6D489621" w14:textId="77777777" w:rsidR="00D91563" w:rsidRDefault="00D91563" w:rsidP="00D91563"/>
    <w:p w14:paraId="76BCD8A3" w14:textId="38D60AA7" w:rsidR="00320921" w:rsidRDefault="00320921" w:rsidP="00D75FCC">
      <w:pPr>
        <w:pStyle w:val="Heading4"/>
      </w:pPr>
      <w:r>
        <w:t>Model Training</w:t>
      </w:r>
    </w:p>
    <w:p w14:paraId="55E2BAF0" w14:textId="2814FB6D" w:rsidR="00DF0D8C" w:rsidRDefault="00320921" w:rsidP="00D75FCC">
      <w:r>
        <w:t xml:space="preserve">The model was trained using python’s numpy and scikit-learn modules </w:t>
      </w:r>
      <w:r>
        <w:fldChar w:fldCharType="begin" w:fldLock="1"/>
      </w:r>
      <w:r w:rsidR="00163A6C">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Python","type":"article-journal"},"uris":["http://www.mendeley.com/documents/?uuid=b8ff105b-84db-4d4c-9f7f-9aafb7368dc4"]}],"mendeley":{"formattedCitation":"[87], [93]","plainTextFormattedCitation":"[87], [93]","previouslyFormattedCitation":"[87], [92]"},"properties":{"noteIndex":0},"schema":"https://github.com/citation-style-language/schema/raw/master/csl-citation.json"}</w:instrText>
      </w:r>
      <w:r>
        <w:fldChar w:fldCharType="separate"/>
      </w:r>
      <w:r w:rsidR="00163A6C" w:rsidRPr="00163A6C">
        <w:rPr>
          <w:noProof/>
        </w:rPr>
        <w:t>[87], [93]</w:t>
      </w:r>
      <w:r>
        <w:fldChar w:fldCharType="end"/>
      </w:r>
      <w:r>
        <w:t xml:space="preserve">. </w:t>
      </w:r>
      <w:r w:rsidR="00DF0D8C">
        <w:t>Model training can be divided into five stages</w:t>
      </w:r>
      <w:r w:rsidR="00740FD8">
        <w:t xml:space="preserve"> described below</w:t>
      </w:r>
      <w:r w:rsidR="00DF0D8C">
        <w:t xml:space="preserve">. </w:t>
      </w:r>
    </w:p>
    <w:p w14:paraId="10CDD1D5" w14:textId="77777777" w:rsidR="00DF0D8C" w:rsidRDefault="00DF0D8C" w:rsidP="00D75FCC"/>
    <w:p w14:paraId="540BCADE" w14:textId="21147EF9" w:rsidR="00DF0D8C" w:rsidRDefault="00DF0D8C" w:rsidP="00D75FCC">
      <w:pPr>
        <w:pStyle w:val="Heading5"/>
      </w:pPr>
      <w:r>
        <w:t xml:space="preserve">Random seed assignment and dataset division </w:t>
      </w:r>
    </w:p>
    <w:p w14:paraId="47FEB37C" w14:textId="49B01FEB" w:rsidR="00DF0D8C" w:rsidRDefault="00320921" w:rsidP="00D75FCC">
      <w:r>
        <w:t>At first, a random seed was specified using numpy to reproduce results. The dataset of 116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2" w:name="_Model_Evaluation"/>
      <w:bookmarkStart w:id="23" w:name="_Ref65356577"/>
      <w:bookmarkEnd w:id="22"/>
      <w:r>
        <w:lastRenderedPageBreak/>
        <w:t>Model Evaluation</w:t>
      </w:r>
      <w:bookmarkEnd w:id="23"/>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4" w:name="_Results"/>
      <w:bookmarkEnd w:id="24"/>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39635817" w:rsidR="00EC5306" w:rsidRDefault="00710AFD" w:rsidP="00D75FCC">
      <w:r w:rsidRPr="00D75FCC">
        <w:t>We compared the performance of</w:t>
      </w:r>
      <w:r w:rsidR="00C44DA3">
        <w:t xml:space="preserve"> 47 different base models, each trained on </w:t>
      </w:r>
      <w:r w:rsidR="00996429">
        <w:t xml:space="preserve">a </w:t>
      </w:r>
      <w:r w:rsidR="00C44DA3">
        <w:t>unique</w:t>
      </w:r>
      <w:r w:rsidR="00F61F06" w:rsidRPr="00D75FCC">
        <w:t xml:space="preserve"> feature encode</w:t>
      </w:r>
      <w:r w:rsidR="00514D0B">
        <w:t>d representation</w:t>
      </w:r>
      <w:r w:rsidR="005952ED">
        <w:t xml:space="preserve"> of TE sequences</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D75FCC">
        <w:t xml:space="preserve">are </w:t>
      </w:r>
      <w:r w:rsidR="00EC5306">
        <w:t>DDE, CTriad, KSCTriad, TPC and Gappy Pair Kernel. The most accurate feature extraction technique DDE achieves a mean accuracy score of 0.8</w:t>
      </w:r>
      <w:r w:rsidR="00514D0B">
        <w:t>1</w:t>
      </w:r>
      <w:r w:rsidR="00EC5306">
        <w:t>, mean precision and mean recall score</w:t>
      </w:r>
      <w:r w:rsidR="007D6213">
        <w:t>s</w:t>
      </w:r>
      <w:r w:rsidR="00EC5306">
        <w:t xml:space="preserve"> of 0.89 and 0.9 respectively</w:t>
      </w:r>
      <w:r w:rsidR="006E5DF3">
        <w:t xml:space="preserve"> on medium chained TEs</w:t>
      </w:r>
      <w:r w:rsidR="00EC5306">
        <w:t xml:space="preserve">. It is interesting to note that the best pssm based feature extraction technique, </w:t>
      </w:r>
      <w:r w:rsidR="00CE7FAF">
        <w:t>S</w:t>
      </w:r>
      <w:r w:rsidR="00EC5306">
        <w:t>-</w:t>
      </w:r>
      <w:r w:rsidR="00CE7FAF">
        <w:t>FPSSM</w:t>
      </w:r>
      <w:r w:rsidR="00EC5306">
        <w:t xml:space="preserve"> is ranked 17</w:t>
      </w:r>
      <w:r w:rsidR="00EC5306" w:rsidRPr="00EC5306">
        <w:rPr>
          <w:vertAlign w:val="superscript"/>
        </w:rPr>
        <w:t>th</w:t>
      </w:r>
      <w:r w:rsidR="00EC5306">
        <w:t xml:space="preserve"> in terms of mean accuracy score among the 47 feature encoders, achieving a mean accuracy of 0.76.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5"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5"/>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5F7A8459" w:rsidR="00CD49D0" w:rsidRDefault="00743D80" w:rsidP="00D75FCC">
            <w:r>
              <w:t>DDE</w:t>
            </w:r>
          </w:p>
        </w:tc>
        <w:tc>
          <w:tcPr>
            <w:tcW w:w="2160" w:type="dxa"/>
          </w:tcPr>
          <w:p w14:paraId="4F88ACC5" w14:textId="06ACFF62" w:rsidR="00CD49D0" w:rsidRDefault="00743D80" w:rsidP="00D75FCC">
            <w:r>
              <w:t>0.81</w:t>
            </w:r>
          </w:p>
        </w:tc>
        <w:tc>
          <w:tcPr>
            <w:tcW w:w="2250" w:type="dxa"/>
          </w:tcPr>
          <w:p w14:paraId="4958F435" w14:textId="7C79823A" w:rsidR="00CD49D0" w:rsidRDefault="00024A1B" w:rsidP="00D75FCC">
            <w:r>
              <w:t>0.89</w:t>
            </w:r>
          </w:p>
        </w:tc>
        <w:tc>
          <w:tcPr>
            <w:tcW w:w="2245" w:type="dxa"/>
          </w:tcPr>
          <w:p w14:paraId="749D6BA5" w14:textId="3F1D24C0" w:rsidR="00CD49D0" w:rsidRDefault="00024A1B" w:rsidP="00D75FCC">
            <w:r>
              <w:t>0.9</w:t>
            </w:r>
          </w:p>
        </w:tc>
      </w:tr>
      <w:tr w:rsidR="00CD49D0" w14:paraId="3333DA7C" w14:textId="77777777" w:rsidTr="003B1D83">
        <w:tc>
          <w:tcPr>
            <w:tcW w:w="2695" w:type="dxa"/>
          </w:tcPr>
          <w:p w14:paraId="2AB677C0" w14:textId="3E023D44" w:rsidR="00CD49D0" w:rsidRDefault="00743D80" w:rsidP="00D75FCC">
            <w:r>
              <w:t>CTriad</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39CE1525" w:rsidR="00CD49D0" w:rsidRDefault="00024A1B" w:rsidP="00D75FCC">
            <w:r>
              <w:t>0.89</w:t>
            </w:r>
          </w:p>
        </w:tc>
      </w:tr>
      <w:tr w:rsidR="00CD49D0" w14:paraId="51690D39" w14:textId="77777777" w:rsidTr="003B1D83">
        <w:tc>
          <w:tcPr>
            <w:tcW w:w="2695" w:type="dxa"/>
          </w:tcPr>
          <w:p w14:paraId="67519FE9" w14:textId="2B9292CC" w:rsidR="00CD49D0" w:rsidRDefault="00743D80" w:rsidP="00D75FCC">
            <w:r>
              <w:t>KSCTriad</w:t>
            </w:r>
          </w:p>
        </w:tc>
        <w:tc>
          <w:tcPr>
            <w:tcW w:w="2160" w:type="dxa"/>
          </w:tcPr>
          <w:p w14:paraId="417097D1" w14:textId="59220502" w:rsidR="00CD49D0" w:rsidRDefault="00743D80" w:rsidP="00D75FCC">
            <w:r>
              <w:t>0.79</w:t>
            </w:r>
          </w:p>
        </w:tc>
        <w:tc>
          <w:tcPr>
            <w:tcW w:w="2250" w:type="dxa"/>
          </w:tcPr>
          <w:p w14:paraId="177D1587" w14:textId="4DCFDE9B" w:rsidR="00CD49D0" w:rsidRDefault="00024A1B" w:rsidP="00D75FCC">
            <w:r>
              <w:t>0.89</w:t>
            </w:r>
          </w:p>
        </w:tc>
        <w:tc>
          <w:tcPr>
            <w:tcW w:w="2245" w:type="dxa"/>
          </w:tcPr>
          <w:p w14:paraId="34AFA566" w14:textId="1CAE27F3" w:rsidR="00CD49D0" w:rsidRDefault="00024A1B" w:rsidP="00D75FCC">
            <w:r>
              <w:t>0.89</w:t>
            </w:r>
          </w:p>
        </w:tc>
      </w:tr>
      <w:tr w:rsidR="00CD49D0" w14:paraId="65584956" w14:textId="77777777" w:rsidTr="003B1D83">
        <w:tc>
          <w:tcPr>
            <w:tcW w:w="2695" w:type="dxa"/>
          </w:tcPr>
          <w:p w14:paraId="462D3560" w14:textId="41790B1F" w:rsidR="00CD49D0" w:rsidRDefault="00743D80" w:rsidP="00D75FCC">
            <w:r>
              <w:t>TPC</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259D94B4" w:rsidR="00CD49D0" w:rsidRDefault="00743D80" w:rsidP="00D75FCC">
            <w:r>
              <w:t xml:space="preserve">Gappy </w:t>
            </w:r>
            <w:r w:rsidR="00EB4DCC">
              <w:t xml:space="preserve">Pair </w:t>
            </w:r>
            <w:r>
              <w:t>Kernel</w:t>
            </w:r>
          </w:p>
        </w:tc>
        <w:tc>
          <w:tcPr>
            <w:tcW w:w="2160" w:type="dxa"/>
          </w:tcPr>
          <w:p w14:paraId="7D7CE7FC" w14:textId="74D9CBEC" w:rsidR="00CD49D0" w:rsidRDefault="00743D80" w:rsidP="00D75FCC">
            <w:r>
              <w:t>0.79</w:t>
            </w:r>
          </w:p>
        </w:tc>
        <w:tc>
          <w:tcPr>
            <w:tcW w:w="2250" w:type="dxa"/>
          </w:tcPr>
          <w:p w14:paraId="3BDCB87E" w14:textId="4C4B89D6" w:rsidR="00CD49D0" w:rsidRDefault="00024A1B" w:rsidP="00D75FCC">
            <w:r>
              <w:t>0.88</w:t>
            </w:r>
          </w:p>
        </w:tc>
        <w:tc>
          <w:tcPr>
            <w:tcW w:w="2245" w:type="dxa"/>
          </w:tcPr>
          <w:p w14:paraId="1D9E7CB0" w14:textId="6D1EBEFD" w:rsidR="00CD49D0" w:rsidRDefault="00024A1B" w:rsidP="00D75FCC">
            <w:r>
              <w:t>0.86</w:t>
            </w:r>
          </w:p>
        </w:tc>
      </w:tr>
      <w:tr w:rsidR="00CD49D0" w14:paraId="16025351" w14:textId="77777777" w:rsidTr="003B1D83">
        <w:tc>
          <w:tcPr>
            <w:tcW w:w="2695" w:type="dxa"/>
          </w:tcPr>
          <w:p w14:paraId="0D49C99B" w14:textId="05EA5C8B" w:rsidR="00CD49D0" w:rsidRDefault="00743D80" w:rsidP="00D75FCC">
            <w:r>
              <w:t>CKSAAP</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54EA9EF5" w:rsidR="00CD49D0" w:rsidRDefault="00743D80" w:rsidP="00D75FCC">
            <w:r>
              <w:t>Spectrum Kernel</w:t>
            </w:r>
          </w:p>
        </w:tc>
        <w:tc>
          <w:tcPr>
            <w:tcW w:w="2160" w:type="dxa"/>
          </w:tcPr>
          <w:p w14:paraId="10DC6408" w14:textId="1963642A" w:rsidR="00CD49D0" w:rsidRDefault="00743D80" w:rsidP="00D75FCC">
            <w:r>
              <w:t>0.79</w:t>
            </w:r>
          </w:p>
        </w:tc>
        <w:tc>
          <w:tcPr>
            <w:tcW w:w="2250" w:type="dxa"/>
          </w:tcPr>
          <w:p w14:paraId="71F636EF" w14:textId="5703908E" w:rsidR="00CD49D0" w:rsidRDefault="00024A1B" w:rsidP="00D75FCC">
            <w:r>
              <w:t>0.88</w:t>
            </w:r>
          </w:p>
        </w:tc>
        <w:tc>
          <w:tcPr>
            <w:tcW w:w="2245" w:type="dxa"/>
          </w:tcPr>
          <w:p w14:paraId="0DA6593A" w14:textId="10F7882C" w:rsidR="00CD49D0" w:rsidRDefault="00024A1B" w:rsidP="00D75FCC">
            <w:r>
              <w:t>0.86</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385AEF02" w:rsidR="00CD49D0" w:rsidRDefault="00743D80" w:rsidP="00D75FCC">
            <w:r>
              <w:t>Moran</w:t>
            </w:r>
          </w:p>
        </w:tc>
        <w:tc>
          <w:tcPr>
            <w:tcW w:w="2160" w:type="dxa"/>
          </w:tcPr>
          <w:p w14:paraId="323A48A9" w14:textId="6456A0FE" w:rsidR="00CD49D0" w:rsidRDefault="00743D80" w:rsidP="00D75FCC">
            <w:r>
              <w:t>0.78</w:t>
            </w:r>
          </w:p>
        </w:tc>
        <w:tc>
          <w:tcPr>
            <w:tcW w:w="2250" w:type="dxa"/>
          </w:tcPr>
          <w:p w14:paraId="010244C1" w14:textId="34D41861" w:rsidR="00CD49D0" w:rsidRDefault="00024A1B" w:rsidP="00D75FCC">
            <w:r>
              <w:t>0.90</w:t>
            </w:r>
          </w:p>
        </w:tc>
        <w:tc>
          <w:tcPr>
            <w:tcW w:w="2245" w:type="dxa"/>
          </w:tcPr>
          <w:p w14:paraId="4F144CEB" w14:textId="7B8B94B0" w:rsidR="00CD49D0" w:rsidRDefault="00024A1B" w:rsidP="00D75FCC">
            <w:r>
              <w:t>0.87</w:t>
            </w:r>
          </w:p>
        </w:tc>
      </w:tr>
      <w:tr w:rsidR="00CD49D0" w14:paraId="5616CBB3" w14:textId="77777777" w:rsidTr="003B1D83">
        <w:tc>
          <w:tcPr>
            <w:tcW w:w="2695" w:type="dxa"/>
          </w:tcPr>
          <w:p w14:paraId="68AEE4A0" w14:textId="187C0A2D" w:rsidR="00CD49D0" w:rsidRDefault="00743D80" w:rsidP="00D75FCC">
            <w:r>
              <w:t>Mismatch Kernel</w:t>
            </w:r>
          </w:p>
        </w:tc>
        <w:tc>
          <w:tcPr>
            <w:tcW w:w="2160" w:type="dxa"/>
          </w:tcPr>
          <w:p w14:paraId="1885BFB8" w14:textId="79C58C4B" w:rsidR="00CD49D0" w:rsidRDefault="00743D80" w:rsidP="00D75FCC">
            <w:r>
              <w:t>0.78</w:t>
            </w:r>
          </w:p>
        </w:tc>
        <w:tc>
          <w:tcPr>
            <w:tcW w:w="2250" w:type="dxa"/>
          </w:tcPr>
          <w:p w14:paraId="5E18B768" w14:textId="0884D7A4" w:rsidR="00CD49D0" w:rsidRDefault="00024A1B" w:rsidP="00D75FCC">
            <w:r>
              <w:t>0.89</w:t>
            </w:r>
          </w:p>
        </w:tc>
        <w:tc>
          <w:tcPr>
            <w:tcW w:w="2245" w:type="dxa"/>
          </w:tcPr>
          <w:p w14:paraId="7540E825" w14:textId="418B7239" w:rsidR="00CD49D0" w:rsidRDefault="00024A1B" w:rsidP="00D75FCC">
            <w:r>
              <w:t>0.88</w:t>
            </w:r>
          </w:p>
        </w:tc>
      </w:tr>
      <w:tr w:rsidR="00CD49D0" w14:paraId="1F5A340C" w14:textId="77777777" w:rsidTr="003B1D83">
        <w:tc>
          <w:tcPr>
            <w:tcW w:w="2695" w:type="dxa"/>
          </w:tcPr>
          <w:p w14:paraId="43918066" w14:textId="264757B1" w:rsidR="00CD49D0" w:rsidRDefault="00743D80" w:rsidP="00D75FCC">
            <w:r>
              <w:t>DPC</w:t>
            </w:r>
          </w:p>
        </w:tc>
        <w:tc>
          <w:tcPr>
            <w:tcW w:w="2160" w:type="dxa"/>
          </w:tcPr>
          <w:p w14:paraId="3FF791E3" w14:textId="6D4940F1" w:rsidR="00CD49D0" w:rsidRDefault="00743D80" w:rsidP="00D75FCC">
            <w:r>
              <w:t>0.78</w:t>
            </w:r>
          </w:p>
        </w:tc>
        <w:tc>
          <w:tcPr>
            <w:tcW w:w="2250" w:type="dxa"/>
          </w:tcPr>
          <w:p w14:paraId="17A47A39" w14:textId="42C561F0" w:rsidR="00CD49D0" w:rsidRDefault="00024A1B" w:rsidP="00D75FCC">
            <w:r>
              <w:t>0.89</w:t>
            </w:r>
          </w:p>
        </w:tc>
        <w:tc>
          <w:tcPr>
            <w:tcW w:w="2245" w:type="dxa"/>
          </w:tcPr>
          <w:p w14:paraId="1BF19E7F" w14:textId="308BF1AA" w:rsidR="00CD49D0" w:rsidRDefault="00024A1B" w:rsidP="00D75FCC">
            <w:r>
              <w:t>0.88</w:t>
            </w:r>
          </w:p>
        </w:tc>
      </w:tr>
      <w:tr w:rsidR="00CD49D0" w14:paraId="5C76AA56" w14:textId="77777777" w:rsidTr="003B1D83">
        <w:tc>
          <w:tcPr>
            <w:tcW w:w="2695" w:type="dxa"/>
          </w:tcPr>
          <w:p w14:paraId="628B75E4" w14:textId="1769F784" w:rsidR="00CD49D0" w:rsidRDefault="00743D80" w:rsidP="00D75FCC">
            <w:r>
              <w:t>Geary</w:t>
            </w:r>
          </w:p>
        </w:tc>
        <w:tc>
          <w:tcPr>
            <w:tcW w:w="2160" w:type="dxa"/>
          </w:tcPr>
          <w:p w14:paraId="1B369B40" w14:textId="63DD85F9" w:rsidR="00CD49D0" w:rsidRDefault="00743D80" w:rsidP="00D75FCC">
            <w:r>
              <w:t>0.78</w:t>
            </w:r>
          </w:p>
        </w:tc>
        <w:tc>
          <w:tcPr>
            <w:tcW w:w="2250" w:type="dxa"/>
          </w:tcPr>
          <w:p w14:paraId="18EE9D8D" w14:textId="48C0A928" w:rsidR="00CD49D0" w:rsidRDefault="00024A1B" w:rsidP="00D75FCC">
            <w:r>
              <w:t>0.9</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14B41011" w:rsidR="00CD49D0" w:rsidRDefault="00743D80" w:rsidP="00D75FCC">
            <w:r>
              <w:t>GTPC</w:t>
            </w:r>
          </w:p>
        </w:tc>
        <w:tc>
          <w:tcPr>
            <w:tcW w:w="2160" w:type="dxa"/>
          </w:tcPr>
          <w:p w14:paraId="51448D5E" w14:textId="2C27296F" w:rsidR="00CD49D0" w:rsidRDefault="00743D80" w:rsidP="00D75FCC">
            <w:r>
              <w:t>0.78</w:t>
            </w:r>
          </w:p>
        </w:tc>
        <w:tc>
          <w:tcPr>
            <w:tcW w:w="2250" w:type="dxa"/>
          </w:tcPr>
          <w:p w14:paraId="4DF0326E" w14:textId="5AB201BE" w:rsidR="00CD49D0" w:rsidRDefault="00024A1B" w:rsidP="00D75FCC">
            <w:r>
              <w:t>0.86</w:t>
            </w:r>
          </w:p>
        </w:tc>
        <w:tc>
          <w:tcPr>
            <w:tcW w:w="2245" w:type="dxa"/>
          </w:tcPr>
          <w:p w14:paraId="12CB734A" w14:textId="5D8855CB" w:rsidR="00CD49D0" w:rsidRDefault="00024A1B" w:rsidP="00D75FCC">
            <w:r>
              <w:t>0.86</w:t>
            </w:r>
          </w:p>
        </w:tc>
      </w:tr>
      <w:tr w:rsidR="00CD49D0" w14:paraId="5080B978" w14:textId="77777777" w:rsidTr="003B1D83">
        <w:tc>
          <w:tcPr>
            <w:tcW w:w="2695" w:type="dxa"/>
          </w:tcPr>
          <w:p w14:paraId="3FFA2A17" w14:textId="66622DB5" w:rsidR="00CD49D0" w:rsidRDefault="00743D80" w:rsidP="00D75FCC">
            <w:r>
              <w:t>CKSAAGP</w:t>
            </w:r>
          </w:p>
        </w:tc>
        <w:tc>
          <w:tcPr>
            <w:tcW w:w="2160" w:type="dxa"/>
          </w:tcPr>
          <w:p w14:paraId="7B2D90BD" w14:textId="6B548458" w:rsidR="00CD49D0" w:rsidRDefault="00743D80" w:rsidP="00D75FCC">
            <w:r>
              <w:t>0.77</w:t>
            </w:r>
          </w:p>
        </w:tc>
        <w:tc>
          <w:tcPr>
            <w:tcW w:w="2250" w:type="dxa"/>
          </w:tcPr>
          <w:p w14:paraId="1E16A171" w14:textId="77432D5B" w:rsidR="00CD49D0" w:rsidRDefault="00024A1B" w:rsidP="00D75FCC">
            <w:r>
              <w:t>0.84</w:t>
            </w:r>
          </w:p>
        </w:tc>
        <w:tc>
          <w:tcPr>
            <w:tcW w:w="2245" w:type="dxa"/>
          </w:tcPr>
          <w:p w14:paraId="653C2C6A" w14:textId="5A0D861C" w:rsidR="00CD49D0" w:rsidRDefault="00024A1B" w:rsidP="00D75FCC">
            <w:r>
              <w:t>0.85</w:t>
            </w:r>
          </w:p>
        </w:tc>
      </w:tr>
      <w:tr w:rsidR="00CD49D0" w14:paraId="0F63E700" w14:textId="77777777" w:rsidTr="003B1D83">
        <w:tc>
          <w:tcPr>
            <w:tcW w:w="2695" w:type="dxa"/>
          </w:tcPr>
          <w:p w14:paraId="75581E10" w14:textId="52DF7414" w:rsidR="00CD49D0" w:rsidRDefault="00743D80" w:rsidP="00D75FCC">
            <w:r>
              <w:t>S-FPSSM</w:t>
            </w:r>
          </w:p>
        </w:tc>
        <w:tc>
          <w:tcPr>
            <w:tcW w:w="2160" w:type="dxa"/>
          </w:tcPr>
          <w:p w14:paraId="5086341D" w14:textId="1857667E" w:rsidR="00CD49D0" w:rsidRDefault="00743D80" w:rsidP="00D75FCC">
            <w:r>
              <w:t>0.76</w:t>
            </w:r>
          </w:p>
        </w:tc>
        <w:tc>
          <w:tcPr>
            <w:tcW w:w="2250" w:type="dxa"/>
          </w:tcPr>
          <w:p w14:paraId="478A1061" w14:textId="7FCFC6AB" w:rsidR="00CD49D0" w:rsidRDefault="00024A1B" w:rsidP="00D75FCC">
            <w:r>
              <w:t>0.85</w:t>
            </w:r>
          </w:p>
        </w:tc>
        <w:tc>
          <w:tcPr>
            <w:tcW w:w="2245" w:type="dxa"/>
          </w:tcPr>
          <w:p w14:paraId="16A33CE5" w14:textId="6A6ABD44" w:rsidR="00CD49D0" w:rsidRDefault="00024A1B" w:rsidP="00D75FCC">
            <w:r>
              <w:t>0.87</w:t>
            </w:r>
          </w:p>
        </w:tc>
      </w:tr>
      <w:tr w:rsidR="00CD49D0" w14:paraId="7045A50B" w14:textId="77777777" w:rsidTr="003B1D83">
        <w:tc>
          <w:tcPr>
            <w:tcW w:w="2695" w:type="dxa"/>
          </w:tcPr>
          <w:p w14:paraId="06A19B42" w14:textId="3217F9E8" w:rsidR="00CD49D0" w:rsidRDefault="00743D80" w:rsidP="00D75FCC">
            <w:r>
              <w:t>RPM-PSSM</w:t>
            </w:r>
          </w:p>
        </w:tc>
        <w:tc>
          <w:tcPr>
            <w:tcW w:w="2160" w:type="dxa"/>
          </w:tcPr>
          <w:p w14:paraId="00CDE58F" w14:textId="0B85DE66" w:rsidR="00CD49D0" w:rsidRDefault="00743D80" w:rsidP="00D75FCC">
            <w:r>
              <w:t>0.76</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6EC37A74" w:rsidR="00CD49D0" w:rsidRDefault="00743D80" w:rsidP="00D75FCC">
            <w:r>
              <w:t>PSSM-Composition</w:t>
            </w:r>
          </w:p>
        </w:tc>
        <w:tc>
          <w:tcPr>
            <w:tcW w:w="2160" w:type="dxa"/>
          </w:tcPr>
          <w:p w14:paraId="47E678B8" w14:textId="44E09570" w:rsidR="00CD49D0" w:rsidRDefault="00743D80" w:rsidP="00D75FCC">
            <w:r>
              <w:t>0.75</w:t>
            </w:r>
          </w:p>
        </w:tc>
        <w:tc>
          <w:tcPr>
            <w:tcW w:w="2250" w:type="dxa"/>
          </w:tcPr>
          <w:p w14:paraId="6FB216E3" w14:textId="7D6BEFA1" w:rsidR="00CD49D0" w:rsidRDefault="00024A1B" w:rsidP="00D75FCC">
            <w:r>
              <w:t>0.83</w:t>
            </w:r>
          </w:p>
        </w:tc>
        <w:tc>
          <w:tcPr>
            <w:tcW w:w="2245" w:type="dxa"/>
          </w:tcPr>
          <w:p w14:paraId="1E24FFD3" w14:textId="56D41E85" w:rsidR="00CD49D0" w:rsidRDefault="00024A1B" w:rsidP="00D75FCC">
            <w:r>
              <w:t>0.87</w:t>
            </w:r>
          </w:p>
        </w:tc>
      </w:tr>
      <w:tr w:rsidR="00CD49D0" w14:paraId="59C9B7B9" w14:textId="77777777" w:rsidTr="003B1D83">
        <w:tc>
          <w:tcPr>
            <w:tcW w:w="2695" w:type="dxa"/>
          </w:tcPr>
          <w:p w14:paraId="4A000C29" w14:textId="7768A33C" w:rsidR="00CD49D0" w:rsidRDefault="00743D80" w:rsidP="00D75FCC">
            <w:r>
              <w:t>CTDD</w:t>
            </w:r>
          </w:p>
        </w:tc>
        <w:tc>
          <w:tcPr>
            <w:tcW w:w="2160" w:type="dxa"/>
          </w:tcPr>
          <w:p w14:paraId="7EDF631F" w14:textId="53AB7967" w:rsidR="00CD49D0" w:rsidRDefault="00743D80" w:rsidP="00D75FCC">
            <w:r>
              <w:t>0.74</w:t>
            </w:r>
          </w:p>
        </w:tc>
        <w:tc>
          <w:tcPr>
            <w:tcW w:w="2250" w:type="dxa"/>
          </w:tcPr>
          <w:p w14:paraId="5AEAA17C" w14:textId="56E02A82" w:rsidR="00CD49D0" w:rsidRDefault="00024A1B" w:rsidP="00D75FCC">
            <w:r>
              <w:t>0.82</w:t>
            </w:r>
          </w:p>
        </w:tc>
        <w:tc>
          <w:tcPr>
            <w:tcW w:w="2245" w:type="dxa"/>
          </w:tcPr>
          <w:p w14:paraId="7641EA62" w14:textId="14681069" w:rsidR="00CD49D0" w:rsidRDefault="00024A1B" w:rsidP="00D75FCC">
            <w:r>
              <w:t>0.85</w:t>
            </w:r>
          </w:p>
        </w:tc>
      </w:tr>
      <w:tr w:rsidR="00CD49D0" w14:paraId="28800CEF" w14:textId="77777777" w:rsidTr="003B1D83">
        <w:tc>
          <w:tcPr>
            <w:tcW w:w="2695" w:type="dxa"/>
          </w:tcPr>
          <w:p w14:paraId="2A9A1371" w14:textId="410A8B12" w:rsidR="00CD49D0" w:rsidRDefault="00743D80" w:rsidP="00D75FCC">
            <w:r>
              <w:t>CTDC</w:t>
            </w:r>
          </w:p>
        </w:tc>
        <w:tc>
          <w:tcPr>
            <w:tcW w:w="2160" w:type="dxa"/>
          </w:tcPr>
          <w:p w14:paraId="73E8AAB8" w14:textId="7B5DCC5C" w:rsidR="00CD49D0" w:rsidRDefault="00743D80" w:rsidP="00D75FCC">
            <w:r>
              <w:t>0.74</w:t>
            </w:r>
          </w:p>
        </w:tc>
        <w:tc>
          <w:tcPr>
            <w:tcW w:w="2250" w:type="dxa"/>
          </w:tcPr>
          <w:p w14:paraId="3FEA386C" w14:textId="71A26F01" w:rsidR="00CD49D0" w:rsidRDefault="00C62A38" w:rsidP="00D75FCC">
            <w:r>
              <w:t>0.81</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485DB08C" w:rsidR="00CD49D0" w:rsidRDefault="00743D80" w:rsidP="00D75FCC">
            <w:r>
              <w:t>QSOrder</w:t>
            </w:r>
          </w:p>
        </w:tc>
        <w:tc>
          <w:tcPr>
            <w:tcW w:w="2160" w:type="dxa"/>
          </w:tcPr>
          <w:p w14:paraId="7DA682BD" w14:textId="2653434D" w:rsidR="00CD49D0" w:rsidRDefault="00743D80" w:rsidP="00D75FCC">
            <w:r>
              <w:t>0.73</w:t>
            </w:r>
          </w:p>
        </w:tc>
        <w:tc>
          <w:tcPr>
            <w:tcW w:w="2250" w:type="dxa"/>
          </w:tcPr>
          <w:p w14:paraId="77F28238" w14:textId="667DC6C4" w:rsidR="00CD49D0" w:rsidRDefault="00C62A38" w:rsidP="00D75FCC">
            <w:r>
              <w:t>0.84</w:t>
            </w:r>
          </w:p>
        </w:tc>
        <w:tc>
          <w:tcPr>
            <w:tcW w:w="2245" w:type="dxa"/>
          </w:tcPr>
          <w:p w14:paraId="2D7A9E66" w14:textId="7D99565E" w:rsidR="00CD49D0" w:rsidRDefault="00C62A38" w:rsidP="00D75FCC">
            <w:r>
              <w:t>0.86</w:t>
            </w:r>
          </w:p>
        </w:tc>
      </w:tr>
      <w:tr w:rsidR="00CD49D0" w14:paraId="7E970683" w14:textId="77777777" w:rsidTr="003B1D83">
        <w:tc>
          <w:tcPr>
            <w:tcW w:w="2695" w:type="dxa"/>
          </w:tcPr>
          <w:p w14:paraId="3C1270E3" w14:textId="1EFD31A9" w:rsidR="00CD49D0" w:rsidRDefault="00743D80" w:rsidP="00D75FCC">
            <w:r>
              <w:t>SOCNumber</w:t>
            </w:r>
          </w:p>
        </w:tc>
        <w:tc>
          <w:tcPr>
            <w:tcW w:w="2160" w:type="dxa"/>
          </w:tcPr>
          <w:p w14:paraId="2A817DD2" w14:textId="7DBD3850" w:rsidR="00CD49D0" w:rsidRDefault="00743D80" w:rsidP="00D75FCC">
            <w:r>
              <w:t>0.73</w:t>
            </w:r>
          </w:p>
        </w:tc>
        <w:tc>
          <w:tcPr>
            <w:tcW w:w="2250" w:type="dxa"/>
          </w:tcPr>
          <w:p w14:paraId="44C4B476" w14:textId="425BD8F0" w:rsidR="00CD49D0" w:rsidRDefault="00C62A38" w:rsidP="00D75FCC">
            <w:r>
              <w:t>0.82</w:t>
            </w:r>
          </w:p>
        </w:tc>
        <w:tc>
          <w:tcPr>
            <w:tcW w:w="2245" w:type="dxa"/>
          </w:tcPr>
          <w:p w14:paraId="494BDE2B" w14:textId="21684EEA" w:rsidR="00CD49D0" w:rsidRDefault="00C62A38" w:rsidP="00D75FCC">
            <w:r>
              <w:t>0.80</w:t>
            </w:r>
          </w:p>
        </w:tc>
      </w:tr>
      <w:tr w:rsidR="00CD49D0" w14:paraId="7B9E6074" w14:textId="77777777" w:rsidTr="003B1D83">
        <w:tc>
          <w:tcPr>
            <w:tcW w:w="2695" w:type="dxa"/>
          </w:tcPr>
          <w:p w14:paraId="02E1C934" w14:textId="11C677D6" w:rsidR="00CD49D0" w:rsidRDefault="00743D80" w:rsidP="00D75FCC">
            <w:r>
              <w:t>APAAC</w:t>
            </w:r>
          </w:p>
        </w:tc>
        <w:tc>
          <w:tcPr>
            <w:tcW w:w="2160" w:type="dxa"/>
          </w:tcPr>
          <w:p w14:paraId="2AF07BE0" w14:textId="2D8814DD" w:rsidR="00CD49D0" w:rsidRDefault="00743D80" w:rsidP="00D75FCC">
            <w:r>
              <w:t>0.72</w:t>
            </w:r>
          </w:p>
        </w:tc>
        <w:tc>
          <w:tcPr>
            <w:tcW w:w="2250" w:type="dxa"/>
          </w:tcPr>
          <w:p w14:paraId="66CD0BC1" w14:textId="76683FAB" w:rsidR="00CD49D0" w:rsidRDefault="00C62A38" w:rsidP="00D75FCC">
            <w:r>
              <w:t>0.84</w:t>
            </w:r>
          </w:p>
        </w:tc>
        <w:tc>
          <w:tcPr>
            <w:tcW w:w="2245" w:type="dxa"/>
          </w:tcPr>
          <w:p w14:paraId="6348D19D" w14:textId="52D72E4A" w:rsidR="00CD49D0" w:rsidRDefault="00C62A38" w:rsidP="00D75FCC">
            <w:r>
              <w:t>0.86</w:t>
            </w:r>
          </w:p>
        </w:tc>
      </w:tr>
      <w:tr w:rsidR="00CD49D0" w14:paraId="0803FE96" w14:textId="77777777" w:rsidTr="003B1D83">
        <w:tc>
          <w:tcPr>
            <w:tcW w:w="2695" w:type="dxa"/>
          </w:tcPr>
          <w:p w14:paraId="05E73BFA" w14:textId="2E671B7B" w:rsidR="00CD49D0" w:rsidRDefault="00743D80" w:rsidP="00D75FCC">
            <w:r>
              <w:t>PAAC</w:t>
            </w:r>
          </w:p>
        </w:tc>
        <w:tc>
          <w:tcPr>
            <w:tcW w:w="2160" w:type="dxa"/>
          </w:tcPr>
          <w:p w14:paraId="12F4A6C9" w14:textId="1C391F58" w:rsidR="00CD49D0" w:rsidRDefault="00743D80" w:rsidP="00D75FCC">
            <w:r>
              <w:t>0.72</w:t>
            </w:r>
          </w:p>
        </w:tc>
        <w:tc>
          <w:tcPr>
            <w:tcW w:w="2250" w:type="dxa"/>
          </w:tcPr>
          <w:p w14:paraId="4EAF3301" w14:textId="58285157" w:rsidR="00CD49D0" w:rsidRDefault="00C62A38" w:rsidP="00D75FCC">
            <w:r>
              <w:t>0.84</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38536C76" w:rsidR="00CD49D0" w:rsidRDefault="00743D80" w:rsidP="00D75FCC">
            <w:r>
              <w:t>CTDT</w:t>
            </w:r>
          </w:p>
        </w:tc>
        <w:tc>
          <w:tcPr>
            <w:tcW w:w="2160" w:type="dxa"/>
          </w:tcPr>
          <w:p w14:paraId="6FF0BB85" w14:textId="27FE60EF" w:rsidR="00CD49D0" w:rsidRDefault="00743D80" w:rsidP="00D75FCC">
            <w:r>
              <w:t>0.72</w:t>
            </w:r>
          </w:p>
        </w:tc>
        <w:tc>
          <w:tcPr>
            <w:tcW w:w="2250" w:type="dxa"/>
          </w:tcPr>
          <w:p w14:paraId="0156DC79" w14:textId="29C9CFD8" w:rsidR="00CD49D0" w:rsidRDefault="00C62A38" w:rsidP="00D75FCC">
            <w:r>
              <w:t>0.82</w:t>
            </w:r>
          </w:p>
        </w:tc>
        <w:tc>
          <w:tcPr>
            <w:tcW w:w="2245" w:type="dxa"/>
          </w:tcPr>
          <w:p w14:paraId="7C54CADF" w14:textId="00A0B4B4" w:rsidR="00CD49D0" w:rsidRDefault="00C62A38" w:rsidP="00D75FCC">
            <w:r>
              <w:t>0.82</w:t>
            </w:r>
          </w:p>
        </w:tc>
      </w:tr>
      <w:tr w:rsidR="00CD49D0" w14:paraId="30E73E60" w14:textId="77777777" w:rsidTr="003B1D83">
        <w:tc>
          <w:tcPr>
            <w:tcW w:w="2695" w:type="dxa"/>
          </w:tcPr>
          <w:p w14:paraId="4AA889CA" w14:textId="4E78A7E1" w:rsidR="00CD49D0" w:rsidRDefault="00743D80" w:rsidP="00D75FCC">
            <w:r>
              <w:t>G</w:t>
            </w:r>
            <w:r w:rsidR="00156EAF">
              <w:t>AA</w:t>
            </w:r>
            <w:r>
              <w:t>-kmer</w:t>
            </w:r>
          </w:p>
        </w:tc>
        <w:tc>
          <w:tcPr>
            <w:tcW w:w="2160" w:type="dxa"/>
          </w:tcPr>
          <w:p w14:paraId="3EBAE067" w14:textId="5C2DF57D" w:rsidR="00CD49D0" w:rsidRDefault="00743D80" w:rsidP="00D75FCC">
            <w:r>
              <w:t>0.71</w:t>
            </w:r>
          </w:p>
        </w:tc>
        <w:tc>
          <w:tcPr>
            <w:tcW w:w="2250" w:type="dxa"/>
          </w:tcPr>
          <w:p w14:paraId="223F96FA" w14:textId="62591449" w:rsidR="00CD49D0" w:rsidRDefault="00C62A38" w:rsidP="00D75FCC">
            <w:r>
              <w:t>0.70</w:t>
            </w:r>
          </w:p>
        </w:tc>
        <w:tc>
          <w:tcPr>
            <w:tcW w:w="2245" w:type="dxa"/>
          </w:tcPr>
          <w:p w14:paraId="7C8FBA33" w14:textId="24A50238" w:rsidR="00CD49D0" w:rsidRDefault="00C62A38" w:rsidP="00D75FCC">
            <w:r>
              <w:t>0.90</w:t>
            </w:r>
          </w:p>
        </w:tc>
      </w:tr>
      <w:tr w:rsidR="00CD49D0" w14:paraId="7D1473F3" w14:textId="77777777" w:rsidTr="003B1D83">
        <w:tc>
          <w:tcPr>
            <w:tcW w:w="2695" w:type="dxa"/>
          </w:tcPr>
          <w:p w14:paraId="3250A87E" w14:textId="22B4BCEE" w:rsidR="00CD49D0" w:rsidRDefault="00743D80" w:rsidP="00D75FCC">
            <w:r>
              <w:t>AAC</w:t>
            </w:r>
          </w:p>
        </w:tc>
        <w:tc>
          <w:tcPr>
            <w:tcW w:w="2160" w:type="dxa"/>
          </w:tcPr>
          <w:p w14:paraId="5B5CA56A" w14:textId="21AFF1DD" w:rsidR="00CD49D0" w:rsidRDefault="00743D80" w:rsidP="00D75FCC">
            <w:r>
              <w:t>0.70</w:t>
            </w:r>
          </w:p>
        </w:tc>
        <w:tc>
          <w:tcPr>
            <w:tcW w:w="2250" w:type="dxa"/>
          </w:tcPr>
          <w:p w14:paraId="0C42C3D4" w14:textId="5C8A6B43" w:rsidR="00CD49D0" w:rsidRDefault="00C62A38" w:rsidP="00D75FCC">
            <w:r>
              <w:t>0.82</w:t>
            </w:r>
          </w:p>
        </w:tc>
        <w:tc>
          <w:tcPr>
            <w:tcW w:w="2245" w:type="dxa"/>
          </w:tcPr>
          <w:p w14:paraId="785F5A34" w14:textId="20CA42E0" w:rsidR="00CD49D0" w:rsidRDefault="00C62A38" w:rsidP="00D75FCC">
            <w:r>
              <w:t>0.85</w:t>
            </w:r>
          </w:p>
        </w:tc>
      </w:tr>
      <w:tr w:rsidR="00CD49D0" w14:paraId="5CB2A935" w14:textId="77777777" w:rsidTr="003B1D83">
        <w:tc>
          <w:tcPr>
            <w:tcW w:w="2695" w:type="dxa"/>
          </w:tcPr>
          <w:p w14:paraId="14B1233F" w14:textId="5D4113D9" w:rsidR="00CD49D0" w:rsidRDefault="00743D80" w:rsidP="00D75FCC">
            <w:r>
              <w:t>GDPC</w:t>
            </w:r>
          </w:p>
        </w:tc>
        <w:tc>
          <w:tcPr>
            <w:tcW w:w="2160" w:type="dxa"/>
          </w:tcPr>
          <w:p w14:paraId="6AA1E600" w14:textId="563868A7" w:rsidR="00CD49D0" w:rsidRDefault="00743D80" w:rsidP="00D75FCC">
            <w:r>
              <w:t>0.69</w:t>
            </w:r>
          </w:p>
        </w:tc>
        <w:tc>
          <w:tcPr>
            <w:tcW w:w="2250" w:type="dxa"/>
          </w:tcPr>
          <w:p w14:paraId="60017E17" w14:textId="7E1E271C" w:rsidR="00CD49D0" w:rsidRDefault="00C62A38" w:rsidP="00D75FCC">
            <w:r>
              <w:t>0.76</w:t>
            </w:r>
          </w:p>
        </w:tc>
        <w:tc>
          <w:tcPr>
            <w:tcW w:w="2245" w:type="dxa"/>
          </w:tcPr>
          <w:p w14:paraId="344F2E5E" w14:textId="702FCC91" w:rsidR="00CD49D0" w:rsidRDefault="00C62A38" w:rsidP="00D75FCC">
            <w:r>
              <w:t>0.77</w:t>
            </w:r>
          </w:p>
        </w:tc>
      </w:tr>
      <w:tr w:rsidR="00CD49D0" w14:paraId="18C8A95B" w14:textId="77777777" w:rsidTr="003B1D83">
        <w:tc>
          <w:tcPr>
            <w:tcW w:w="2695" w:type="dxa"/>
          </w:tcPr>
          <w:p w14:paraId="4D124705" w14:textId="217E3F56" w:rsidR="00CD49D0" w:rsidRDefault="00743D80" w:rsidP="00D75FCC">
            <w:r>
              <w:t>Kmer</w:t>
            </w:r>
          </w:p>
        </w:tc>
        <w:tc>
          <w:tcPr>
            <w:tcW w:w="2160" w:type="dxa"/>
          </w:tcPr>
          <w:p w14:paraId="513B72D1" w14:textId="11C17B78" w:rsidR="00CD49D0" w:rsidRDefault="00743D80" w:rsidP="00D75FCC">
            <w:r>
              <w:t>0.69</w:t>
            </w:r>
          </w:p>
        </w:tc>
        <w:tc>
          <w:tcPr>
            <w:tcW w:w="2250" w:type="dxa"/>
          </w:tcPr>
          <w:p w14:paraId="70B09A42" w14:textId="67A12EEA" w:rsidR="00CD49D0" w:rsidRDefault="00C62A38" w:rsidP="00D75FCC">
            <w:r>
              <w:t>0.66</w:t>
            </w:r>
          </w:p>
        </w:tc>
        <w:tc>
          <w:tcPr>
            <w:tcW w:w="2245" w:type="dxa"/>
          </w:tcPr>
          <w:p w14:paraId="421ACA1E" w14:textId="65F2719B" w:rsidR="00CD49D0" w:rsidRDefault="00C62A38" w:rsidP="00D75FCC">
            <w:r>
              <w:t>0.92</w:t>
            </w:r>
          </w:p>
        </w:tc>
      </w:tr>
      <w:tr w:rsidR="00CD49D0" w14:paraId="051CFFC3" w14:textId="77777777" w:rsidTr="003B1D83">
        <w:tc>
          <w:tcPr>
            <w:tcW w:w="2695" w:type="dxa"/>
          </w:tcPr>
          <w:p w14:paraId="6515D455" w14:textId="150AB14E" w:rsidR="00CD49D0" w:rsidRDefault="00743D80" w:rsidP="00D75FCC">
            <w:r>
              <w:t>Smoothed-PSSM</w:t>
            </w:r>
          </w:p>
        </w:tc>
        <w:tc>
          <w:tcPr>
            <w:tcW w:w="2160" w:type="dxa"/>
          </w:tcPr>
          <w:p w14:paraId="117FBDA3" w14:textId="70F4150C" w:rsidR="00CD49D0" w:rsidRDefault="00743D80" w:rsidP="00D75FCC">
            <w:r>
              <w:t>0.66</w:t>
            </w:r>
          </w:p>
        </w:tc>
        <w:tc>
          <w:tcPr>
            <w:tcW w:w="2250" w:type="dxa"/>
          </w:tcPr>
          <w:p w14:paraId="6C9ADA3F" w14:textId="1BA27C5E" w:rsidR="00CD49D0" w:rsidRDefault="00C62A38" w:rsidP="00D75FCC">
            <w:r>
              <w:t>0.62</w:t>
            </w:r>
          </w:p>
        </w:tc>
        <w:tc>
          <w:tcPr>
            <w:tcW w:w="2245" w:type="dxa"/>
          </w:tcPr>
          <w:p w14:paraId="0BB3A065" w14:textId="582F2D7A" w:rsidR="00CD49D0" w:rsidRDefault="00C62A38" w:rsidP="00D75FCC">
            <w:r>
              <w:t>0.93</w:t>
            </w:r>
          </w:p>
        </w:tc>
      </w:tr>
      <w:tr w:rsidR="00CD49D0" w14:paraId="4D4EE2D6" w14:textId="77777777" w:rsidTr="003B1D83">
        <w:tc>
          <w:tcPr>
            <w:tcW w:w="2695" w:type="dxa"/>
          </w:tcPr>
          <w:p w14:paraId="448C90BD" w14:textId="36BEEF90" w:rsidR="00CD49D0" w:rsidRDefault="00743D80" w:rsidP="00D75FCC">
            <w:r>
              <w:t>RPSSM</w:t>
            </w:r>
          </w:p>
        </w:tc>
        <w:tc>
          <w:tcPr>
            <w:tcW w:w="2160" w:type="dxa"/>
          </w:tcPr>
          <w:p w14:paraId="5F9985A4" w14:textId="75A61564" w:rsidR="00CD49D0" w:rsidRDefault="00743D80" w:rsidP="00D75FCC">
            <w:r>
              <w:t>0.66</w:t>
            </w:r>
          </w:p>
        </w:tc>
        <w:tc>
          <w:tcPr>
            <w:tcW w:w="2250" w:type="dxa"/>
          </w:tcPr>
          <w:p w14:paraId="1FA8BC65" w14:textId="3A3B7114" w:rsidR="00CD49D0" w:rsidRDefault="00C62A38" w:rsidP="00D75FCC">
            <w:r>
              <w:t>0.66</w:t>
            </w:r>
          </w:p>
        </w:tc>
        <w:tc>
          <w:tcPr>
            <w:tcW w:w="2245" w:type="dxa"/>
          </w:tcPr>
          <w:p w14:paraId="27504409" w14:textId="72E2D89D" w:rsidR="00CD49D0" w:rsidRDefault="00C62A38" w:rsidP="00D75FCC">
            <w:r>
              <w:t>0.85</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36B26A0D" w:rsidR="00CD49D0" w:rsidRDefault="00C62A38" w:rsidP="00D75FCC">
            <w:r>
              <w:t>0.72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57EF358A" w:rsidR="00CD49D0" w:rsidRDefault="00743D80" w:rsidP="00D75FCC">
            <w:r>
              <w:t>PSSM-AC</w:t>
            </w:r>
          </w:p>
        </w:tc>
        <w:tc>
          <w:tcPr>
            <w:tcW w:w="2160" w:type="dxa"/>
          </w:tcPr>
          <w:p w14:paraId="5E3D4616" w14:textId="5E33A3DB" w:rsidR="00CD49D0" w:rsidRDefault="00743D80" w:rsidP="00D75FCC">
            <w:r>
              <w:t>0.66</w:t>
            </w:r>
          </w:p>
        </w:tc>
        <w:tc>
          <w:tcPr>
            <w:tcW w:w="2250" w:type="dxa"/>
          </w:tcPr>
          <w:p w14:paraId="6FB6928E" w14:textId="42291150" w:rsidR="00CD49D0" w:rsidRDefault="00C62A38" w:rsidP="00D75FCC">
            <w:r>
              <w:t>0.75</w:t>
            </w:r>
          </w:p>
        </w:tc>
        <w:tc>
          <w:tcPr>
            <w:tcW w:w="2245" w:type="dxa"/>
          </w:tcPr>
          <w:p w14:paraId="4A214640" w14:textId="5A374713" w:rsidR="00CD49D0" w:rsidRDefault="00C62A38" w:rsidP="00D75FCC">
            <w:r>
              <w:t>0.84</w:t>
            </w:r>
          </w:p>
        </w:tc>
      </w:tr>
      <w:tr w:rsidR="00CD49D0" w14:paraId="2F64D018" w14:textId="77777777" w:rsidTr="003B1D83">
        <w:tc>
          <w:tcPr>
            <w:tcW w:w="2695" w:type="dxa"/>
          </w:tcPr>
          <w:p w14:paraId="44BD132F" w14:textId="1965E47D" w:rsidR="00CD49D0" w:rsidRDefault="00743D80" w:rsidP="00D75FCC">
            <w:r>
              <w:t>AATP</w:t>
            </w:r>
          </w:p>
        </w:tc>
        <w:tc>
          <w:tcPr>
            <w:tcW w:w="2160" w:type="dxa"/>
          </w:tcPr>
          <w:p w14:paraId="2495CF36" w14:textId="75AF6CB7" w:rsidR="00CD49D0" w:rsidRDefault="00743D80" w:rsidP="00D75FCC">
            <w:r>
              <w:t>0.66</w:t>
            </w:r>
          </w:p>
        </w:tc>
        <w:tc>
          <w:tcPr>
            <w:tcW w:w="2250" w:type="dxa"/>
          </w:tcPr>
          <w:p w14:paraId="223B1BFE" w14:textId="074A0E82" w:rsidR="00CD49D0" w:rsidRDefault="00C62A38" w:rsidP="00D75FCC">
            <w:r>
              <w:t>0.71</w:t>
            </w:r>
          </w:p>
        </w:tc>
        <w:tc>
          <w:tcPr>
            <w:tcW w:w="2245" w:type="dxa"/>
          </w:tcPr>
          <w:p w14:paraId="50AD9CCA" w14:textId="4D57689C" w:rsidR="00CD49D0" w:rsidRDefault="00C62A38" w:rsidP="00D75FCC">
            <w:r>
              <w:t>0.81</w:t>
            </w:r>
          </w:p>
        </w:tc>
      </w:tr>
      <w:tr w:rsidR="00CD49D0" w14:paraId="3E9EF1B1" w14:textId="77777777" w:rsidTr="003B1D83">
        <w:tc>
          <w:tcPr>
            <w:tcW w:w="2695" w:type="dxa"/>
          </w:tcPr>
          <w:p w14:paraId="498FF2F9" w14:textId="3FA971F0" w:rsidR="00CD49D0" w:rsidRDefault="00743D80" w:rsidP="00D75FCC">
            <w:r>
              <w:t>EEDP</w:t>
            </w:r>
          </w:p>
        </w:tc>
        <w:tc>
          <w:tcPr>
            <w:tcW w:w="2160" w:type="dxa"/>
          </w:tcPr>
          <w:p w14:paraId="32691486" w14:textId="3E746B3A" w:rsidR="00CD49D0" w:rsidRDefault="00743D80" w:rsidP="00D75FCC">
            <w:r>
              <w:t>0.65</w:t>
            </w:r>
          </w:p>
        </w:tc>
        <w:tc>
          <w:tcPr>
            <w:tcW w:w="2250" w:type="dxa"/>
          </w:tcPr>
          <w:p w14:paraId="044518E6" w14:textId="3A76966D" w:rsidR="00CD49D0" w:rsidRDefault="00C62A38" w:rsidP="00D75FCC">
            <w:r>
              <w:t>0.63</w:t>
            </w:r>
          </w:p>
        </w:tc>
        <w:tc>
          <w:tcPr>
            <w:tcW w:w="2245" w:type="dxa"/>
          </w:tcPr>
          <w:p w14:paraId="69D8D637" w14:textId="77452295" w:rsidR="00CD49D0" w:rsidRDefault="00C62A38" w:rsidP="00D75FCC">
            <w:r>
              <w:t>0.90</w:t>
            </w:r>
          </w:p>
        </w:tc>
      </w:tr>
      <w:tr w:rsidR="00CD49D0" w14:paraId="4509C381" w14:textId="77777777" w:rsidTr="003B1D83">
        <w:tc>
          <w:tcPr>
            <w:tcW w:w="2695" w:type="dxa"/>
          </w:tcPr>
          <w:p w14:paraId="72AAFAD9" w14:textId="262AF468" w:rsidR="00CD49D0" w:rsidRDefault="00743D80" w:rsidP="00D75FCC">
            <w:r>
              <w:t>MEDP</w:t>
            </w:r>
          </w:p>
        </w:tc>
        <w:tc>
          <w:tcPr>
            <w:tcW w:w="2160" w:type="dxa"/>
          </w:tcPr>
          <w:p w14:paraId="24665816" w14:textId="374B7C15" w:rsidR="00CD49D0" w:rsidRDefault="00743D80" w:rsidP="00D75FCC">
            <w:r>
              <w:t>0.65</w:t>
            </w:r>
          </w:p>
        </w:tc>
        <w:tc>
          <w:tcPr>
            <w:tcW w:w="2250" w:type="dxa"/>
          </w:tcPr>
          <w:p w14:paraId="054E0436" w14:textId="2AD2F7EF" w:rsidR="00CD49D0" w:rsidRDefault="00C62A38" w:rsidP="00D75FCC">
            <w:r>
              <w:t>0.63</w:t>
            </w:r>
          </w:p>
        </w:tc>
        <w:tc>
          <w:tcPr>
            <w:tcW w:w="2245" w:type="dxa"/>
          </w:tcPr>
          <w:p w14:paraId="1D043248" w14:textId="5D17C78D" w:rsidR="00CD49D0" w:rsidRDefault="00C62A38" w:rsidP="00D75FCC">
            <w:r>
              <w:t>0.91</w:t>
            </w:r>
          </w:p>
        </w:tc>
      </w:tr>
      <w:tr w:rsidR="00CD49D0" w14:paraId="251C572E" w14:textId="77777777" w:rsidTr="003B1D83">
        <w:tc>
          <w:tcPr>
            <w:tcW w:w="2695" w:type="dxa"/>
          </w:tcPr>
          <w:p w14:paraId="229E136B" w14:textId="52BAA3E8" w:rsidR="00CD49D0" w:rsidRDefault="00743D80" w:rsidP="00D75FCC">
            <w:r>
              <w:t>DP-PSSM</w:t>
            </w:r>
          </w:p>
        </w:tc>
        <w:tc>
          <w:tcPr>
            <w:tcW w:w="2160" w:type="dxa"/>
          </w:tcPr>
          <w:p w14:paraId="255BA466" w14:textId="5D9AD992" w:rsidR="00CD49D0" w:rsidRDefault="00743D80" w:rsidP="00D75FCC">
            <w:r>
              <w:t>0.64</w:t>
            </w:r>
          </w:p>
        </w:tc>
        <w:tc>
          <w:tcPr>
            <w:tcW w:w="2250" w:type="dxa"/>
          </w:tcPr>
          <w:p w14:paraId="47BE9D31" w14:textId="0840312E" w:rsidR="00CD49D0" w:rsidRDefault="00C62A38" w:rsidP="00D75FCC">
            <w:r>
              <w:t>0.60</w:t>
            </w:r>
          </w:p>
        </w:tc>
        <w:tc>
          <w:tcPr>
            <w:tcW w:w="2245" w:type="dxa"/>
          </w:tcPr>
          <w:p w14:paraId="76A14D38" w14:textId="06F6BD9D" w:rsidR="00CD49D0" w:rsidRDefault="00C62A38" w:rsidP="00D75FCC">
            <w:r>
              <w:t>0.93</w:t>
            </w:r>
          </w:p>
        </w:tc>
      </w:tr>
      <w:tr w:rsidR="00CD49D0" w14:paraId="31C6D74E" w14:textId="77777777" w:rsidTr="003B1D83">
        <w:tc>
          <w:tcPr>
            <w:tcW w:w="2695" w:type="dxa"/>
          </w:tcPr>
          <w:p w14:paraId="4B4940AC" w14:textId="34218599" w:rsidR="00CD49D0" w:rsidRDefault="00743D80" w:rsidP="00D75FCC">
            <w:r>
              <w:t>AB-PSSM</w:t>
            </w:r>
          </w:p>
        </w:tc>
        <w:tc>
          <w:tcPr>
            <w:tcW w:w="2160" w:type="dxa"/>
          </w:tcPr>
          <w:p w14:paraId="5442F2D4" w14:textId="33A00E39" w:rsidR="00CD49D0" w:rsidRDefault="00743D80" w:rsidP="00D75FCC">
            <w:r>
              <w:t>0.64</w:t>
            </w:r>
          </w:p>
        </w:tc>
        <w:tc>
          <w:tcPr>
            <w:tcW w:w="2250" w:type="dxa"/>
          </w:tcPr>
          <w:p w14:paraId="276AA1E2" w14:textId="2FFF957E" w:rsidR="00CD49D0" w:rsidRDefault="00C62A38" w:rsidP="00D75FCC">
            <w:r>
              <w:t>0.63</w:t>
            </w:r>
          </w:p>
        </w:tc>
        <w:tc>
          <w:tcPr>
            <w:tcW w:w="2245" w:type="dxa"/>
          </w:tcPr>
          <w:p w14:paraId="40D12009" w14:textId="1352BF18" w:rsidR="00CD49D0" w:rsidRDefault="00C62A38" w:rsidP="00D75FCC">
            <w:r>
              <w:t>0.85</w:t>
            </w:r>
          </w:p>
        </w:tc>
      </w:tr>
      <w:tr w:rsidR="00CD49D0" w14:paraId="64DC98AF" w14:textId="77777777" w:rsidTr="003B1D83">
        <w:tc>
          <w:tcPr>
            <w:tcW w:w="2695" w:type="dxa"/>
          </w:tcPr>
          <w:p w14:paraId="343EA39A" w14:textId="071D3410" w:rsidR="00CD49D0" w:rsidRDefault="00743D80" w:rsidP="00D75FCC">
            <w:r>
              <w:t>D-FPSSM</w:t>
            </w:r>
          </w:p>
        </w:tc>
        <w:tc>
          <w:tcPr>
            <w:tcW w:w="2160" w:type="dxa"/>
          </w:tcPr>
          <w:p w14:paraId="621723BC" w14:textId="03270457" w:rsidR="00CD49D0" w:rsidRDefault="00743D80" w:rsidP="00D75FCC">
            <w:r>
              <w:t>0.64</w:t>
            </w:r>
          </w:p>
        </w:tc>
        <w:tc>
          <w:tcPr>
            <w:tcW w:w="2250" w:type="dxa"/>
          </w:tcPr>
          <w:p w14:paraId="2CC2C681" w14:textId="40C08080" w:rsidR="00CD49D0" w:rsidRDefault="00C62A38" w:rsidP="00D75FCC">
            <w:r>
              <w:t>0.70</w:t>
            </w:r>
          </w:p>
        </w:tc>
        <w:tc>
          <w:tcPr>
            <w:tcW w:w="2245" w:type="dxa"/>
          </w:tcPr>
          <w:p w14:paraId="47460939" w14:textId="7AADB31F" w:rsidR="00CD49D0" w:rsidRDefault="00C62A38" w:rsidP="00D75FCC">
            <w:r>
              <w:t>0.75</w:t>
            </w:r>
          </w:p>
        </w:tc>
      </w:tr>
      <w:tr w:rsidR="00CD49D0" w14:paraId="716EEDAA" w14:textId="77777777" w:rsidTr="003B1D83">
        <w:tc>
          <w:tcPr>
            <w:tcW w:w="2695" w:type="dxa"/>
          </w:tcPr>
          <w:p w14:paraId="7DDA6EA0" w14:textId="595B8B0B" w:rsidR="00CD49D0" w:rsidRDefault="00743D80" w:rsidP="00D75FCC">
            <w:r>
              <w:t>k-separated-bigrams</w:t>
            </w:r>
          </w:p>
        </w:tc>
        <w:tc>
          <w:tcPr>
            <w:tcW w:w="2160" w:type="dxa"/>
          </w:tcPr>
          <w:p w14:paraId="3FD2F666" w14:textId="2359F6E4" w:rsidR="00CD49D0" w:rsidRDefault="00743D80" w:rsidP="00D75FCC">
            <w:r>
              <w:t>0.63</w:t>
            </w:r>
          </w:p>
        </w:tc>
        <w:tc>
          <w:tcPr>
            <w:tcW w:w="2250" w:type="dxa"/>
          </w:tcPr>
          <w:p w14:paraId="1B436DB7" w14:textId="2740FF4D" w:rsidR="00CD49D0" w:rsidRDefault="00C62A38" w:rsidP="00D75FCC">
            <w:r>
              <w:t>0.67</w:t>
            </w:r>
          </w:p>
        </w:tc>
        <w:tc>
          <w:tcPr>
            <w:tcW w:w="2245" w:type="dxa"/>
          </w:tcPr>
          <w:p w14:paraId="04D4C3F9" w14:textId="77207DFE" w:rsidR="00CD49D0" w:rsidRDefault="00C62A38" w:rsidP="00D75FCC">
            <w:r>
              <w:t>0.76</w:t>
            </w:r>
          </w:p>
        </w:tc>
      </w:tr>
      <w:tr w:rsidR="00CD49D0" w14:paraId="7B193E9D" w14:textId="77777777" w:rsidTr="003B1D83">
        <w:tc>
          <w:tcPr>
            <w:tcW w:w="2695" w:type="dxa"/>
          </w:tcPr>
          <w:p w14:paraId="47A0742A" w14:textId="737EB4B1" w:rsidR="00CD49D0" w:rsidRDefault="00743D80" w:rsidP="00D75FCC">
            <w:r>
              <w:lastRenderedPageBreak/>
              <w:t>EDP</w:t>
            </w:r>
          </w:p>
        </w:tc>
        <w:tc>
          <w:tcPr>
            <w:tcW w:w="2160" w:type="dxa"/>
          </w:tcPr>
          <w:p w14:paraId="71954E30" w14:textId="0BC8FDAE" w:rsidR="00CD49D0" w:rsidRDefault="00743D80" w:rsidP="00D75FCC">
            <w:r>
              <w:t>0.62</w:t>
            </w:r>
          </w:p>
        </w:tc>
        <w:tc>
          <w:tcPr>
            <w:tcW w:w="2250" w:type="dxa"/>
          </w:tcPr>
          <w:p w14:paraId="07E58CF7" w14:textId="5CD23C81" w:rsidR="00CD49D0" w:rsidRDefault="00C62A38" w:rsidP="00D75FCC">
            <w:r>
              <w:t>0.68</w:t>
            </w:r>
          </w:p>
        </w:tc>
        <w:tc>
          <w:tcPr>
            <w:tcW w:w="2245" w:type="dxa"/>
          </w:tcPr>
          <w:p w14:paraId="0C5D8739" w14:textId="602BC1F2" w:rsidR="00CD49D0" w:rsidRDefault="00C62A38" w:rsidP="00D75FCC">
            <w:r>
              <w:t>0.77</w:t>
            </w:r>
          </w:p>
        </w:tc>
      </w:tr>
      <w:tr w:rsidR="00CD49D0" w14:paraId="356EAFE9" w14:textId="77777777" w:rsidTr="003B1D83">
        <w:tc>
          <w:tcPr>
            <w:tcW w:w="2695" w:type="dxa"/>
          </w:tcPr>
          <w:p w14:paraId="128413FC" w14:textId="64D892FA" w:rsidR="00CD49D0" w:rsidRDefault="00743D80" w:rsidP="00D75FCC">
            <w:r>
              <w:t>AAC-PSSM</w:t>
            </w:r>
          </w:p>
        </w:tc>
        <w:tc>
          <w:tcPr>
            <w:tcW w:w="2160" w:type="dxa"/>
          </w:tcPr>
          <w:p w14:paraId="6FFF6344" w14:textId="1E0EDEBE" w:rsidR="00CD49D0" w:rsidRDefault="00743D80" w:rsidP="00D75FCC">
            <w:r>
              <w:t>0.62</w:t>
            </w:r>
          </w:p>
        </w:tc>
        <w:tc>
          <w:tcPr>
            <w:tcW w:w="2250" w:type="dxa"/>
          </w:tcPr>
          <w:p w14:paraId="339014CD" w14:textId="24EA5ACA" w:rsidR="00CD49D0" w:rsidRDefault="00C62A38" w:rsidP="00D75FCC">
            <w:r>
              <w:t>0.69</w:t>
            </w:r>
          </w:p>
        </w:tc>
        <w:tc>
          <w:tcPr>
            <w:tcW w:w="2245" w:type="dxa"/>
          </w:tcPr>
          <w:p w14:paraId="397AC1EF" w14:textId="137048B4" w:rsidR="00CD49D0" w:rsidRDefault="00C62A38" w:rsidP="00D75FCC">
            <w:r>
              <w:t>0.75</w:t>
            </w:r>
          </w:p>
        </w:tc>
      </w:tr>
      <w:tr w:rsidR="00CD49D0" w14:paraId="6876CC0B" w14:textId="77777777" w:rsidTr="003B1D83">
        <w:tc>
          <w:tcPr>
            <w:tcW w:w="2695" w:type="dxa"/>
          </w:tcPr>
          <w:p w14:paraId="725F5F6C" w14:textId="075B3E1E" w:rsidR="00CD49D0" w:rsidRDefault="00743D80" w:rsidP="00D75FCC">
            <w:r>
              <w:t>TPC-PSSM</w:t>
            </w:r>
          </w:p>
        </w:tc>
        <w:tc>
          <w:tcPr>
            <w:tcW w:w="2160" w:type="dxa"/>
          </w:tcPr>
          <w:p w14:paraId="4FDCB402" w14:textId="63942FA9" w:rsidR="00CD49D0" w:rsidRDefault="00743D80" w:rsidP="00D75FCC">
            <w:r>
              <w:t>0.62</w:t>
            </w:r>
          </w:p>
        </w:tc>
        <w:tc>
          <w:tcPr>
            <w:tcW w:w="2250" w:type="dxa"/>
          </w:tcPr>
          <w:p w14:paraId="60F2A1A4" w14:textId="66A08D77" w:rsidR="00CD49D0" w:rsidRDefault="00C62A38" w:rsidP="00D75FCC">
            <w:r>
              <w:t>0.66</w:t>
            </w:r>
          </w:p>
        </w:tc>
        <w:tc>
          <w:tcPr>
            <w:tcW w:w="2245" w:type="dxa"/>
          </w:tcPr>
          <w:p w14:paraId="57300684" w14:textId="19143535" w:rsidR="00CD49D0" w:rsidRDefault="00C62A38" w:rsidP="00D75FCC">
            <w:r>
              <w:t>0.80</w:t>
            </w:r>
          </w:p>
        </w:tc>
      </w:tr>
      <w:tr w:rsidR="00CD49D0" w14:paraId="76F4569D" w14:textId="77777777" w:rsidTr="003B1D83">
        <w:tc>
          <w:tcPr>
            <w:tcW w:w="2695" w:type="dxa"/>
          </w:tcPr>
          <w:p w14:paraId="307EB6E3" w14:textId="17F92A2E" w:rsidR="00CD49D0" w:rsidRDefault="00743D80" w:rsidP="00D75FCC">
            <w:r>
              <w:t>PSE-PSSM</w:t>
            </w:r>
          </w:p>
        </w:tc>
        <w:tc>
          <w:tcPr>
            <w:tcW w:w="2160" w:type="dxa"/>
          </w:tcPr>
          <w:p w14:paraId="083AE3BB" w14:textId="30B24D75" w:rsidR="00CD49D0" w:rsidRDefault="00743D80" w:rsidP="00D75FCC">
            <w:r>
              <w:t>0.62</w:t>
            </w:r>
          </w:p>
        </w:tc>
        <w:tc>
          <w:tcPr>
            <w:tcW w:w="2250" w:type="dxa"/>
          </w:tcPr>
          <w:p w14:paraId="563F386D" w14:textId="13768C46" w:rsidR="00CD49D0" w:rsidRDefault="00C62A38" w:rsidP="00D75FCC">
            <w:r>
              <w:t>0.68</w:t>
            </w:r>
          </w:p>
        </w:tc>
        <w:tc>
          <w:tcPr>
            <w:tcW w:w="2245" w:type="dxa"/>
          </w:tcPr>
          <w:p w14:paraId="52648FFA" w14:textId="4B84ABFC" w:rsidR="00CD49D0" w:rsidRDefault="00C62A38" w:rsidP="00D75FCC">
            <w:r>
              <w:t>0.73</w:t>
            </w:r>
          </w:p>
        </w:tc>
      </w:tr>
      <w:tr w:rsidR="00CD49D0" w14:paraId="55692411" w14:textId="77777777" w:rsidTr="003B1D83">
        <w:tc>
          <w:tcPr>
            <w:tcW w:w="2695" w:type="dxa"/>
          </w:tcPr>
          <w:p w14:paraId="16ABBB5A" w14:textId="393A8A0B" w:rsidR="00CD49D0" w:rsidRDefault="00743D80" w:rsidP="00D75FCC">
            <w:r>
              <w:t>GAAC</w:t>
            </w:r>
          </w:p>
        </w:tc>
        <w:tc>
          <w:tcPr>
            <w:tcW w:w="2160" w:type="dxa"/>
          </w:tcPr>
          <w:p w14:paraId="553F17FA" w14:textId="1D6970CD" w:rsidR="00CD49D0" w:rsidRDefault="00743D80" w:rsidP="00D75FCC">
            <w:r>
              <w:t>0.61</w:t>
            </w:r>
          </w:p>
        </w:tc>
        <w:tc>
          <w:tcPr>
            <w:tcW w:w="2250" w:type="dxa"/>
          </w:tcPr>
          <w:p w14:paraId="7087B912" w14:textId="79103E49" w:rsidR="00CD49D0" w:rsidRDefault="00C62A38" w:rsidP="00D75FCC">
            <w:r>
              <w:t>0.58</w:t>
            </w:r>
          </w:p>
        </w:tc>
        <w:tc>
          <w:tcPr>
            <w:tcW w:w="2245" w:type="dxa"/>
          </w:tcPr>
          <w:p w14:paraId="21D3CCEB" w14:textId="5F2EA984" w:rsidR="00CD49D0" w:rsidRDefault="00C62A38" w:rsidP="00D75FCC">
            <w:r>
              <w:t>0.92</w:t>
            </w:r>
          </w:p>
        </w:tc>
      </w:tr>
      <w:tr w:rsidR="00CD49D0" w14:paraId="1CE6956A" w14:textId="77777777" w:rsidTr="003B1D83">
        <w:tc>
          <w:tcPr>
            <w:tcW w:w="2695" w:type="dxa"/>
          </w:tcPr>
          <w:p w14:paraId="3D999211" w14:textId="11727855" w:rsidR="00CD49D0" w:rsidRDefault="00743D80" w:rsidP="00D75FCC">
            <w:r>
              <w:t>Tri-gram</w:t>
            </w:r>
          </w:p>
        </w:tc>
        <w:tc>
          <w:tcPr>
            <w:tcW w:w="2160" w:type="dxa"/>
          </w:tcPr>
          <w:p w14:paraId="4785739C" w14:textId="6DCFF43F" w:rsidR="00CD49D0" w:rsidRDefault="00743D80" w:rsidP="00D75FCC">
            <w:r>
              <w:t>0.61</w:t>
            </w:r>
          </w:p>
        </w:tc>
        <w:tc>
          <w:tcPr>
            <w:tcW w:w="2250" w:type="dxa"/>
          </w:tcPr>
          <w:p w14:paraId="65B114EA" w14:textId="5BE124A4" w:rsidR="00CD49D0" w:rsidRDefault="00C62A38" w:rsidP="00D75FCC">
            <w:r>
              <w:t>0.58</w:t>
            </w:r>
          </w:p>
        </w:tc>
        <w:tc>
          <w:tcPr>
            <w:tcW w:w="2245" w:type="dxa"/>
          </w:tcPr>
          <w:p w14:paraId="557C4EC4" w14:textId="4BF21A57" w:rsidR="00CD49D0" w:rsidRDefault="00C62A38" w:rsidP="00D75FCC">
            <w:r>
              <w:t>0.90</w:t>
            </w:r>
          </w:p>
        </w:tc>
      </w:tr>
      <w:tr w:rsidR="00CD49D0" w14:paraId="7E48AD3B" w14:textId="77777777" w:rsidTr="003B1D83">
        <w:tc>
          <w:tcPr>
            <w:tcW w:w="2695" w:type="dxa"/>
          </w:tcPr>
          <w:p w14:paraId="54FEBFAD" w14:textId="5DA0E594" w:rsidR="00CD49D0" w:rsidRDefault="00743D80" w:rsidP="00D75FCC">
            <w:r>
              <w:t>AADP-PSSM</w:t>
            </w:r>
          </w:p>
        </w:tc>
        <w:tc>
          <w:tcPr>
            <w:tcW w:w="2160" w:type="dxa"/>
          </w:tcPr>
          <w:p w14:paraId="4C0C2437" w14:textId="3777E64E" w:rsidR="00CD49D0" w:rsidRDefault="00743D80" w:rsidP="00D75FCC">
            <w:r>
              <w:t>0.60</w:t>
            </w:r>
          </w:p>
        </w:tc>
        <w:tc>
          <w:tcPr>
            <w:tcW w:w="2250" w:type="dxa"/>
          </w:tcPr>
          <w:p w14:paraId="08D6400E" w14:textId="33BA690F" w:rsidR="00CD49D0" w:rsidRDefault="00C62A38" w:rsidP="00D75FCC">
            <w:r>
              <w:t>0.66</w:t>
            </w:r>
          </w:p>
        </w:tc>
        <w:tc>
          <w:tcPr>
            <w:tcW w:w="2245" w:type="dxa"/>
          </w:tcPr>
          <w:p w14:paraId="1E64060C" w14:textId="5B6B1C1D" w:rsidR="00CD49D0" w:rsidRDefault="00C62A38" w:rsidP="00D75FCC">
            <w:r>
              <w:t>0.75</w:t>
            </w:r>
          </w:p>
        </w:tc>
      </w:tr>
      <w:tr w:rsidR="00CD49D0" w14:paraId="67289546" w14:textId="77777777" w:rsidTr="003B1D83">
        <w:tc>
          <w:tcPr>
            <w:tcW w:w="2695" w:type="dxa"/>
          </w:tcPr>
          <w:p w14:paraId="452ABD73" w14:textId="07C6C4F0" w:rsidR="00CD49D0" w:rsidRDefault="00743D80" w:rsidP="00D75FCC">
            <w:r>
              <w:t>DPC-PSSM</w:t>
            </w:r>
          </w:p>
        </w:tc>
        <w:tc>
          <w:tcPr>
            <w:tcW w:w="2160" w:type="dxa"/>
          </w:tcPr>
          <w:p w14:paraId="13B2B8ED" w14:textId="74A6BE86" w:rsidR="00CD49D0" w:rsidRDefault="00743D80" w:rsidP="00D75FCC">
            <w:r>
              <w:t>0.60</w:t>
            </w:r>
          </w:p>
        </w:tc>
        <w:tc>
          <w:tcPr>
            <w:tcW w:w="2250" w:type="dxa"/>
          </w:tcPr>
          <w:p w14:paraId="4A6D0EE6" w14:textId="400D6E3E" w:rsidR="00CD49D0" w:rsidRDefault="00C62A38" w:rsidP="00D75FCC">
            <w:r>
              <w:t>0.66</w:t>
            </w:r>
          </w:p>
        </w:tc>
        <w:tc>
          <w:tcPr>
            <w:tcW w:w="2245" w:type="dxa"/>
          </w:tcPr>
          <w:p w14:paraId="54E16D3D" w14:textId="3EF6B535" w:rsidR="00CD49D0" w:rsidRDefault="00C62A38" w:rsidP="00D75FCC">
            <w:r>
              <w:t>0.75</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67B451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came second among the learning algorithms in terms of mean recall score </w:t>
      </w:r>
      <w:r w:rsidR="000B76BD">
        <w:t>(</w:t>
      </w:r>
      <w:r w:rsidR="002A22A2">
        <w:t>on medium chain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6"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6"/>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2BBFAF4A" w:rsidR="002A22A2" w:rsidRDefault="002A22A2" w:rsidP="008510CD">
            <w:r>
              <w:t>0.9</w:t>
            </w:r>
          </w:p>
        </w:tc>
        <w:tc>
          <w:tcPr>
            <w:tcW w:w="2155" w:type="dxa"/>
          </w:tcPr>
          <w:p w14:paraId="5C5A0067" w14:textId="2FE48432" w:rsidR="002A22A2" w:rsidRDefault="002A22A2" w:rsidP="008510CD">
            <w:r>
              <w:t>0.92</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113EE697" w:rsidR="002A22A2" w:rsidRDefault="002A22A2" w:rsidP="008510CD">
            <w:r>
              <w:t>0.82</w:t>
            </w:r>
          </w:p>
        </w:tc>
        <w:tc>
          <w:tcPr>
            <w:tcW w:w="2160" w:type="dxa"/>
          </w:tcPr>
          <w:p w14:paraId="4733DD8A" w14:textId="517CF69E" w:rsidR="002A22A2" w:rsidRDefault="002A22A2" w:rsidP="008510CD">
            <w:r>
              <w:t>0.85</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4B553481" w:rsidR="002A22A2" w:rsidRDefault="002A22A2" w:rsidP="008510CD">
            <w:r>
              <w:t>0.82</w:t>
            </w:r>
          </w:p>
        </w:tc>
        <w:tc>
          <w:tcPr>
            <w:tcW w:w="2160" w:type="dxa"/>
          </w:tcPr>
          <w:p w14:paraId="0D10AF72" w14:textId="7F4BD018" w:rsidR="002A22A2" w:rsidRDefault="002A22A2" w:rsidP="008510CD">
            <w:r>
              <w:t>0.89</w:t>
            </w:r>
          </w:p>
        </w:tc>
        <w:tc>
          <w:tcPr>
            <w:tcW w:w="2155" w:type="dxa"/>
          </w:tcPr>
          <w:p w14:paraId="54276A33" w14:textId="11E06E7A" w:rsidR="002A22A2" w:rsidRDefault="002A22A2" w:rsidP="008510CD">
            <w:r>
              <w:t>0.91</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odel performs better than any individual base model</w:t>
      </w:r>
    </w:p>
    <w:p w14:paraId="019ADB74" w14:textId="3262F9FC"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0.90 and mean recall score (on medium chained TEs) of 0.92 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DDE feature extraction technique using the SVM learning algorithm achieved a mean accuracy of 0.81, mean precision </w:t>
      </w:r>
      <w:r w:rsidR="00105045">
        <w:t xml:space="preserve">(on medium chained TEs) </w:t>
      </w:r>
      <w:r>
        <w:t xml:space="preserve">of 0.89 and mean recall </w:t>
      </w:r>
      <w:r w:rsidR="00105045">
        <w:t xml:space="preserve">(on medium chained TEs) </w:t>
      </w:r>
      <w:r>
        <w:t>of 0.</w:t>
      </w:r>
      <w:r w:rsidR="00105045">
        <w:t xml:space="preserve">91 on the same validation datasets. </w:t>
      </w:r>
      <w:r w:rsidR="00770C03">
        <w:t xml:space="preserve">The ensemble model also showed an increased robustness to training </w:t>
      </w:r>
      <w:r w:rsidR="00770C03">
        <w:lastRenderedPageBreak/>
        <w:t xml:space="preserve">set significantly improving the worst case accuracy score achieved over </w:t>
      </w:r>
      <w:r w:rsidR="00DD3FAE">
        <w:t xml:space="preserve">the </w:t>
      </w:r>
      <w:r w:rsidR="00770C03">
        <w:t xml:space="preserve">10,000 varying validation datasets from 0.48 (highest worst case accuracy obtained by any base model) to 0.55. Moreover, the standard deviation of the distribution of mean prediction accuracy also decreased from 0.069 (least mean accuracy score variance achieved by any base model) to 0.062. Similar improvements were noticed for the two other metrics, precision and recall score on medium chain TEs as well. </w:t>
      </w:r>
      <w:r w:rsidR="00666117">
        <w:t>The mean precision score</w:t>
      </w:r>
      <w:r w:rsidR="006D4711">
        <w:t>s</w:t>
      </w:r>
      <w:r w:rsidR="00666117">
        <w:t xml:space="preserve"> of the ensemble for the long chain TEs and TEs of mixed specificity w</w:t>
      </w:r>
      <w:r w:rsidR="006D4711">
        <w:t>ere</w:t>
      </w:r>
      <w:r w:rsidR="00666117">
        <w:t xml:space="preserve"> 0.79 and 0.69 respectively. The mean recall score</w:t>
      </w:r>
      <w:r w:rsidR="006D4711">
        <w:t>s</w:t>
      </w:r>
      <w:r w:rsidR="00666117">
        <w:t xml:space="preserve"> of the ensemble for the long chain and mixed specificity TE w</w:t>
      </w:r>
      <w:r w:rsidR="006D4711">
        <w:t>ere</w:t>
      </w:r>
      <w:r w:rsidR="00666117">
        <w:t xml:space="preserve"> 0.93 and 0.38 respectively. Among the three categories of TEs, the mixed specificity class is the worst predicted with much lower precision and recall scores compared to the medium chain and long chain categories, which can be attributed to the fact that the mixed specificity category of TEs represent only 17% of all the characterized TEs</w:t>
      </w:r>
      <w:r w:rsidR="00120ED9">
        <w:t xml:space="preserve"> in our dataset</w:t>
      </w:r>
      <w:r w:rsidR="00666117">
        <w:t xml:space="preserve">. </w:t>
      </w:r>
      <w:r w:rsidR="00B0548F">
        <w:t>A comparison of the mean</w:t>
      </w:r>
      <w:r w:rsidR="00040D4B">
        <w:t>, minimum</w:t>
      </w:r>
      <w:r w:rsidR="00B0548F">
        <w:t xml:space="preserve"> and standard deviation scores </w:t>
      </w:r>
      <w:r w:rsidR="00310AFE">
        <w:t>of</w:t>
      </w:r>
      <w:r w:rsidR="00B0548F">
        <w:t xml:space="preserve"> the</w:t>
      </w:r>
      <w:r w:rsidR="00DA663E">
        <w:t xml:space="preserve"> </w:t>
      </w:r>
      <w:proofErr w:type="gramStart"/>
      <w:r w:rsidR="00B0548F">
        <w:t>three classification</w:t>
      </w:r>
      <w:proofErr w:type="gramEnd"/>
      <w:r w:rsidR="00B0548F">
        <w:t xml:space="preserve"> metrics under consideration</w:t>
      </w:r>
      <w:r w:rsidR="00666117">
        <w:t xml:space="preserve"> (mean accuracy, precision and recall score on medium chain TEs)</w:t>
      </w:r>
      <w:r w:rsidR="00B0548F">
        <w:t xml:space="preserve">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6825F913">
            <wp:extent cx="5952744" cy="1984248"/>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6E94BE6" w:rsidR="002E4FC9" w:rsidRDefault="006179F6" w:rsidP="00F4715D">
      <w:pPr>
        <w:pStyle w:val="Caption"/>
      </w:pPr>
      <w:bookmarkStart w:id="27"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7"/>
      <w:r>
        <w:t xml:space="preserve">: Precision (on medium chained TEs) and accuracy score distribution of the ensemble model. The mean, median and worst precision score </w:t>
      </w:r>
      <w:r w:rsidR="00CC5B1F">
        <w:t>is</w:t>
      </w:r>
      <w:r>
        <w:t xml:space="preserve"> 0.9, 0.92 and 0.50 respectively. The mean, median and worst accuracy score is 0.83, 0.83 and 0.55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28"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28"/>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616" w:type="dxa"/>
        <w:tblInd w:w="-185" w:type="dxa"/>
        <w:tblLayout w:type="fixed"/>
        <w:tblLook w:val="04A0" w:firstRow="1" w:lastRow="0" w:firstColumn="1" w:lastColumn="0" w:noHBand="0" w:noVBand="1"/>
      </w:tblPr>
      <w:tblGrid>
        <w:gridCol w:w="1260"/>
        <w:gridCol w:w="1170"/>
        <w:gridCol w:w="1178"/>
        <w:gridCol w:w="1110"/>
        <w:gridCol w:w="830"/>
        <w:gridCol w:w="830"/>
        <w:gridCol w:w="830"/>
        <w:gridCol w:w="1136"/>
        <w:gridCol w:w="1136"/>
        <w:gridCol w:w="1136"/>
      </w:tblGrid>
      <w:tr w:rsidR="00E138BD" w14:paraId="7D814244" w14:textId="7DD4D1D9" w:rsidTr="00E138BD">
        <w:tc>
          <w:tcPr>
            <w:tcW w:w="126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138BD">
        <w:tc>
          <w:tcPr>
            <w:tcW w:w="1260" w:type="dxa"/>
          </w:tcPr>
          <w:p w14:paraId="62D81553" w14:textId="6383503E" w:rsidR="00E138BD" w:rsidRDefault="00E138BD" w:rsidP="003E0F2B">
            <w:r>
              <w:t>Ensemble</w:t>
            </w:r>
          </w:p>
        </w:tc>
        <w:tc>
          <w:tcPr>
            <w:tcW w:w="1170" w:type="dxa"/>
          </w:tcPr>
          <w:p w14:paraId="16B6FD47" w14:textId="11AD54C8" w:rsidR="00E138BD" w:rsidRDefault="00B32948" w:rsidP="003E0F2B">
            <w:r>
              <w:t>0.90</w:t>
            </w:r>
          </w:p>
        </w:tc>
        <w:tc>
          <w:tcPr>
            <w:tcW w:w="1178" w:type="dxa"/>
          </w:tcPr>
          <w:p w14:paraId="051F4465" w14:textId="408B1EF2" w:rsidR="00E138BD" w:rsidRDefault="00B32948" w:rsidP="003E0F2B">
            <w:r>
              <w:t>0.5</w:t>
            </w:r>
            <w:r w:rsidR="0028247A">
              <w:t>0</w:t>
            </w:r>
          </w:p>
        </w:tc>
        <w:tc>
          <w:tcPr>
            <w:tcW w:w="1110" w:type="dxa"/>
          </w:tcPr>
          <w:p w14:paraId="1B8F81A1" w14:textId="0F60FF17" w:rsidR="00E138BD" w:rsidRDefault="00B32948" w:rsidP="003E0F2B">
            <w:r>
              <w:t>0.08</w:t>
            </w:r>
          </w:p>
        </w:tc>
        <w:tc>
          <w:tcPr>
            <w:tcW w:w="830" w:type="dxa"/>
          </w:tcPr>
          <w:p w14:paraId="6B6CB409" w14:textId="6C34A40C" w:rsidR="00E138BD" w:rsidRDefault="008A575C" w:rsidP="003E0F2B">
            <w:r>
              <w:t>0.92</w:t>
            </w:r>
          </w:p>
        </w:tc>
        <w:tc>
          <w:tcPr>
            <w:tcW w:w="830" w:type="dxa"/>
          </w:tcPr>
          <w:p w14:paraId="4443A01A" w14:textId="1682FC69" w:rsidR="00E138BD" w:rsidRDefault="0028247A" w:rsidP="003E0F2B">
            <w:r>
              <w:t>0.50</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243595BF" w:rsidR="00E138BD" w:rsidRDefault="007947D7" w:rsidP="003E0F2B">
            <w:r>
              <w:t>0.55</w:t>
            </w:r>
          </w:p>
        </w:tc>
        <w:tc>
          <w:tcPr>
            <w:tcW w:w="1136" w:type="dxa"/>
          </w:tcPr>
          <w:p w14:paraId="051A3783" w14:textId="62F48604" w:rsidR="00E138BD" w:rsidRDefault="007947D7" w:rsidP="003E0F2B">
            <w:r>
              <w:t>0.06</w:t>
            </w:r>
          </w:p>
        </w:tc>
      </w:tr>
      <w:tr w:rsidR="00E138BD" w14:paraId="24091337" w14:textId="59D05C81" w:rsidTr="00E138BD">
        <w:tc>
          <w:tcPr>
            <w:tcW w:w="1260" w:type="dxa"/>
          </w:tcPr>
          <w:p w14:paraId="570C71D9" w14:textId="38F5ED05" w:rsidR="00E138BD" w:rsidRDefault="00E138BD" w:rsidP="003E0F2B">
            <w:r>
              <w:t>DDE</w:t>
            </w:r>
          </w:p>
        </w:tc>
        <w:tc>
          <w:tcPr>
            <w:tcW w:w="1170" w:type="dxa"/>
          </w:tcPr>
          <w:p w14:paraId="13787FD4" w14:textId="06C88FAE" w:rsidR="00E138BD" w:rsidRDefault="00B32948" w:rsidP="003E0F2B">
            <w:r>
              <w:t>0.89</w:t>
            </w:r>
          </w:p>
        </w:tc>
        <w:tc>
          <w:tcPr>
            <w:tcW w:w="1178" w:type="dxa"/>
          </w:tcPr>
          <w:p w14:paraId="10CCB45F" w14:textId="342F03C1" w:rsidR="00E138BD" w:rsidRDefault="00B32948" w:rsidP="003E0F2B">
            <w:r>
              <w:t>0.5</w:t>
            </w:r>
            <w:r w:rsidR="0028247A">
              <w:t>0</w:t>
            </w:r>
          </w:p>
        </w:tc>
        <w:tc>
          <w:tcPr>
            <w:tcW w:w="1110" w:type="dxa"/>
          </w:tcPr>
          <w:p w14:paraId="18305783" w14:textId="048ECE29" w:rsidR="00E138BD" w:rsidRDefault="00B32948" w:rsidP="003E0F2B">
            <w:r>
              <w:t>0.08</w:t>
            </w:r>
          </w:p>
        </w:tc>
        <w:tc>
          <w:tcPr>
            <w:tcW w:w="830" w:type="dxa"/>
          </w:tcPr>
          <w:p w14:paraId="1199FC82" w14:textId="262E21FE" w:rsidR="00E138BD" w:rsidRDefault="008A575C" w:rsidP="003E0F2B">
            <w:r>
              <w:t>0.91</w:t>
            </w:r>
          </w:p>
        </w:tc>
        <w:tc>
          <w:tcPr>
            <w:tcW w:w="830" w:type="dxa"/>
          </w:tcPr>
          <w:p w14:paraId="5B78B861" w14:textId="3A1A165F" w:rsidR="00E138BD" w:rsidRDefault="0028247A" w:rsidP="003E0F2B">
            <w:r>
              <w:t>0.50</w:t>
            </w:r>
          </w:p>
        </w:tc>
        <w:tc>
          <w:tcPr>
            <w:tcW w:w="830" w:type="dxa"/>
          </w:tcPr>
          <w:p w14:paraId="41464112" w14:textId="46C48339" w:rsidR="00E138BD" w:rsidRDefault="0028247A" w:rsidP="003E0F2B">
            <w:r>
              <w:t>0.08</w:t>
            </w:r>
          </w:p>
        </w:tc>
        <w:tc>
          <w:tcPr>
            <w:tcW w:w="1136" w:type="dxa"/>
          </w:tcPr>
          <w:p w14:paraId="3F3B3597" w14:textId="6F88263E" w:rsidR="00E138BD" w:rsidRDefault="007947D7" w:rsidP="003E0F2B">
            <w:r>
              <w:t>0.81</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138BD">
        <w:tc>
          <w:tcPr>
            <w:tcW w:w="1260" w:type="dxa"/>
          </w:tcPr>
          <w:p w14:paraId="0B32E38D" w14:textId="5935A384" w:rsidR="00E138BD" w:rsidRDefault="00E138BD" w:rsidP="003E0F2B">
            <w:r>
              <w:t>CTriad</w:t>
            </w:r>
          </w:p>
        </w:tc>
        <w:tc>
          <w:tcPr>
            <w:tcW w:w="1170" w:type="dxa"/>
          </w:tcPr>
          <w:p w14:paraId="3A503F09" w14:textId="7BCE6009" w:rsidR="00E138BD" w:rsidRDefault="00B32948" w:rsidP="003E0F2B">
            <w:r>
              <w:t>0.89</w:t>
            </w:r>
          </w:p>
        </w:tc>
        <w:tc>
          <w:tcPr>
            <w:tcW w:w="1178" w:type="dxa"/>
          </w:tcPr>
          <w:p w14:paraId="338F198E" w14:textId="5E73ADB2" w:rsidR="00E138BD" w:rsidRDefault="00B32948" w:rsidP="003E0F2B">
            <w:r>
              <w:t>0.42</w:t>
            </w:r>
          </w:p>
        </w:tc>
        <w:tc>
          <w:tcPr>
            <w:tcW w:w="1110" w:type="dxa"/>
          </w:tcPr>
          <w:p w14:paraId="13D43BE6" w14:textId="10F4375E" w:rsidR="00E138BD" w:rsidRDefault="00B32948" w:rsidP="003E0F2B">
            <w:r>
              <w:t>0.09</w:t>
            </w:r>
          </w:p>
        </w:tc>
        <w:tc>
          <w:tcPr>
            <w:tcW w:w="830" w:type="dxa"/>
          </w:tcPr>
          <w:p w14:paraId="500A9BD4" w14:textId="32DB21E1" w:rsidR="00E138BD" w:rsidRDefault="0028247A" w:rsidP="003E0F2B">
            <w:r>
              <w:t>0.89</w:t>
            </w:r>
          </w:p>
        </w:tc>
        <w:tc>
          <w:tcPr>
            <w:tcW w:w="830" w:type="dxa"/>
          </w:tcPr>
          <w:p w14:paraId="4208F379" w14:textId="6D740B3C" w:rsidR="00E138BD" w:rsidRDefault="0028247A" w:rsidP="003E0F2B">
            <w:r>
              <w:t>0.47</w:t>
            </w:r>
          </w:p>
        </w:tc>
        <w:tc>
          <w:tcPr>
            <w:tcW w:w="830" w:type="dxa"/>
          </w:tcPr>
          <w:p w14:paraId="6C715287" w14:textId="1434B9CC" w:rsidR="00E138BD" w:rsidRDefault="0028247A" w:rsidP="003E0F2B">
            <w:r>
              <w:t>0.09</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138BD">
        <w:tc>
          <w:tcPr>
            <w:tcW w:w="1260" w:type="dxa"/>
          </w:tcPr>
          <w:p w14:paraId="0A1C96BD" w14:textId="0EDC2D88" w:rsidR="00E138BD" w:rsidRDefault="00E138BD" w:rsidP="003E0F2B">
            <w:r>
              <w:t>KSCTriad</w:t>
            </w:r>
          </w:p>
        </w:tc>
        <w:tc>
          <w:tcPr>
            <w:tcW w:w="1170" w:type="dxa"/>
          </w:tcPr>
          <w:p w14:paraId="05CF7E38" w14:textId="4F745C87" w:rsidR="00E138BD" w:rsidRDefault="00B32948" w:rsidP="003E0F2B">
            <w:r>
              <w:t>0.89</w:t>
            </w:r>
          </w:p>
        </w:tc>
        <w:tc>
          <w:tcPr>
            <w:tcW w:w="1178" w:type="dxa"/>
          </w:tcPr>
          <w:p w14:paraId="0429EE9B" w14:textId="35FE1C59" w:rsidR="00E138BD" w:rsidRDefault="00B32948" w:rsidP="003E0F2B">
            <w:r>
              <w:t>0.42</w:t>
            </w:r>
          </w:p>
        </w:tc>
        <w:tc>
          <w:tcPr>
            <w:tcW w:w="1110" w:type="dxa"/>
          </w:tcPr>
          <w:p w14:paraId="57B375FE" w14:textId="5F04C0F0" w:rsidR="00E138BD" w:rsidRDefault="00B32948" w:rsidP="003E0F2B">
            <w:r>
              <w:t>0.09</w:t>
            </w:r>
          </w:p>
        </w:tc>
        <w:tc>
          <w:tcPr>
            <w:tcW w:w="830" w:type="dxa"/>
          </w:tcPr>
          <w:p w14:paraId="1AC26845" w14:textId="165D261E" w:rsidR="00E138BD" w:rsidRDefault="0028247A" w:rsidP="003E0F2B">
            <w:r>
              <w:t>0.89</w:t>
            </w:r>
          </w:p>
        </w:tc>
        <w:tc>
          <w:tcPr>
            <w:tcW w:w="830" w:type="dxa"/>
          </w:tcPr>
          <w:p w14:paraId="2F26CE1F" w14:textId="07CA0B24" w:rsidR="00E138BD" w:rsidRDefault="0028247A" w:rsidP="003E0F2B">
            <w:r>
              <w:t>0.47</w:t>
            </w:r>
          </w:p>
        </w:tc>
        <w:tc>
          <w:tcPr>
            <w:tcW w:w="830" w:type="dxa"/>
          </w:tcPr>
          <w:p w14:paraId="7EBE57CB" w14:textId="068F29B7" w:rsidR="00E138BD" w:rsidRDefault="0028247A" w:rsidP="003E0F2B">
            <w:r>
              <w:t>0.09</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138BD">
        <w:tc>
          <w:tcPr>
            <w:tcW w:w="1260" w:type="dxa"/>
          </w:tcPr>
          <w:p w14:paraId="19605BFE" w14:textId="64BD36A8" w:rsidR="00E138BD" w:rsidRDefault="00E138BD" w:rsidP="003E0F2B">
            <w:r>
              <w:t>TPC</w:t>
            </w:r>
          </w:p>
        </w:tc>
        <w:tc>
          <w:tcPr>
            <w:tcW w:w="1170" w:type="dxa"/>
          </w:tcPr>
          <w:p w14:paraId="20B5DF1D" w14:textId="0C78C57E" w:rsidR="00E138BD" w:rsidRDefault="00B32948" w:rsidP="003E0F2B">
            <w:r>
              <w:t>0.89</w:t>
            </w:r>
          </w:p>
        </w:tc>
        <w:tc>
          <w:tcPr>
            <w:tcW w:w="1178" w:type="dxa"/>
          </w:tcPr>
          <w:p w14:paraId="7C3D2C14" w14:textId="0AAFD4CA" w:rsidR="00E138BD" w:rsidRDefault="00B32948" w:rsidP="003E0F2B">
            <w:r>
              <w:t>0.5</w:t>
            </w:r>
            <w:r w:rsidR="0028247A">
              <w:t>0</w:t>
            </w:r>
          </w:p>
        </w:tc>
        <w:tc>
          <w:tcPr>
            <w:tcW w:w="1110" w:type="dxa"/>
          </w:tcPr>
          <w:p w14:paraId="51D10595" w14:textId="4E795413" w:rsidR="00E138BD" w:rsidRDefault="00B32948" w:rsidP="003E0F2B">
            <w:r>
              <w:t>0.08</w:t>
            </w:r>
          </w:p>
        </w:tc>
        <w:tc>
          <w:tcPr>
            <w:tcW w:w="830" w:type="dxa"/>
          </w:tcPr>
          <w:p w14:paraId="5AD00AF5" w14:textId="22D3F2EF" w:rsidR="00E138BD" w:rsidRDefault="0028247A" w:rsidP="003E0F2B">
            <w:r>
              <w:t>0.89</w:t>
            </w:r>
          </w:p>
        </w:tc>
        <w:tc>
          <w:tcPr>
            <w:tcW w:w="830" w:type="dxa"/>
          </w:tcPr>
          <w:p w14:paraId="7A412D12" w14:textId="7E0CBABC" w:rsidR="00E138BD" w:rsidRDefault="0028247A" w:rsidP="003E0F2B">
            <w:r>
              <w:t>0.45</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138BD">
        <w:tc>
          <w:tcPr>
            <w:tcW w:w="1260" w:type="dxa"/>
          </w:tcPr>
          <w:p w14:paraId="1117A3F8" w14:textId="6B4FE9D5" w:rsidR="00E138BD" w:rsidRDefault="00E138BD" w:rsidP="003E0F2B">
            <w:r>
              <w:t>Gappy Kernel</w:t>
            </w:r>
          </w:p>
        </w:tc>
        <w:tc>
          <w:tcPr>
            <w:tcW w:w="1170" w:type="dxa"/>
          </w:tcPr>
          <w:p w14:paraId="52FA29A0" w14:textId="2D8446D9" w:rsidR="00E138BD" w:rsidRDefault="00B32948" w:rsidP="003E0F2B">
            <w:r>
              <w:t>0.88</w:t>
            </w:r>
          </w:p>
        </w:tc>
        <w:tc>
          <w:tcPr>
            <w:tcW w:w="1178" w:type="dxa"/>
          </w:tcPr>
          <w:p w14:paraId="621BB25E" w14:textId="39E7BE8B" w:rsidR="00E138BD" w:rsidRDefault="00B32948" w:rsidP="003E0F2B">
            <w:r>
              <w:t>0.42</w:t>
            </w:r>
          </w:p>
        </w:tc>
        <w:tc>
          <w:tcPr>
            <w:tcW w:w="1110" w:type="dxa"/>
          </w:tcPr>
          <w:p w14:paraId="5B96B8C8" w14:textId="0D86B2C1" w:rsidR="00E138BD" w:rsidRDefault="00B32948" w:rsidP="003E0F2B">
            <w:r>
              <w:t>0.09</w:t>
            </w:r>
          </w:p>
        </w:tc>
        <w:tc>
          <w:tcPr>
            <w:tcW w:w="830" w:type="dxa"/>
          </w:tcPr>
          <w:p w14:paraId="403BBB6E" w14:textId="105AB548" w:rsidR="00E138BD" w:rsidRDefault="0028247A" w:rsidP="003E0F2B">
            <w:r>
              <w:t>0.86</w:t>
            </w:r>
          </w:p>
        </w:tc>
        <w:tc>
          <w:tcPr>
            <w:tcW w:w="830" w:type="dxa"/>
          </w:tcPr>
          <w:p w14:paraId="4E923E95" w14:textId="0A39A064" w:rsidR="00E138BD" w:rsidRDefault="0028247A" w:rsidP="003E0F2B">
            <w:r>
              <w:t>0.38</w:t>
            </w:r>
          </w:p>
        </w:tc>
        <w:tc>
          <w:tcPr>
            <w:tcW w:w="830" w:type="dxa"/>
          </w:tcPr>
          <w:p w14:paraId="5B77A8E1" w14:textId="636B5766" w:rsidR="00E138BD" w:rsidRDefault="0028247A" w:rsidP="003E0F2B">
            <w:r>
              <w:t>0.10</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68B8ED3D"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blastp</w:t>
      </w:r>
      <w:r w:rsidR="00F35C4B">
        <w:t xml:space="preserve"> </w:t>
      </w:r>
      <w:r w:rsidR="008F38B1">
        <w:fldChar w:fldCharType="begin" w:fldLock="1"/>
      </w:r>
      <w:r w:rsidR="00163A6C">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[94]","plainTextFormattedCitation":"[94]","previouslyFormattedCitation":"[93]"},"properties":{"noteIndex":0},"schema":"https://github.com/citation-style-language/schema/raw/master/csl-citation.json"}</w:instrText>
      </w:r>
      <w:r w:rsidR="008F38B1">
        <w:fldChar w:fldCharType="separate"/>
      </w:r>
      <w:r w:rsidR="00163A6C" w:rsidRPr="00163A6C">
        <w:rPr>
          <w:noProof/>
        </w:rPr>
        <w:t>[94]</w:t>
      </w:r>
      <w:r w:rsidR="008F38B1">
        <w:fldChar w:fldCharType="end"/>
      </w:r>
      <w:r>
        <w:t xml:space="preserve"> identity scores between a pair of subject and query sequence </w:t>
      </w:r>
      <w:r w:rsidR="006B455C">
        <w:t>to</w:t>
      </w:r>
      <w:r w:rsidR="00F2612C">
        <w:t xml:space="preserve"> us</w:t>
      </w:r>
      <w:r w:rsidR="006B455C">
        <w:t>e</w:t>
      </w:r>
      <w:r w:rsidR="00F2612C">
        <w:t xml:space="preserve">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The sequence similarity based model achieved a mean accuracy score of 0.37, mean precision score (on the medium chain TEs) of 0.005 and mean recall score (on the medium chain TEs) of 0.002. The accuracy and precision score distribution of the similarity</w:t>
      </w:r>
      <w:r w:rsidR="00DA663E">
        <w:t>-</w:t>
      </w:r>
      <w:r w:rsidR="0058206B">
        <w:t xml:space="preserve">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xml:space="preserve">. In comparison, our ensemble method attained a mean accuracy score of 0.83, mean precision score (on the medium chained TEs) of 0.90 and mean recall score (on the medium chained TEs) of 0.92,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29"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29"/>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4AD7966D" w14:textId="77777777" w:rsidR="00DA663E" w:rsidRDefault="00DA663E" w:rsidP="003E0F2B">
      <w:pPr>
        <w:pStyle w:val="Heading3"/>
      </w:pPr>
    </w:p>
    <w:p w14:paraId="3BF56656" w14:textId="77777777" w:rsidR="00FC2E5E" w:rsidRDefault="00DA663E" w:rsidP="003E0F2B">
      <w:pPr>
        <w:pStyle w:val="Heading3"/>
      </w:pPr>
      <w:r>
        <w:t>Discussion</w:t>
      </w:r>
      <w:proofErr w:type="gramStart"/>
      <w:r>
        <w:t>…..</w:t>
      </w:r>
      <w:proofErr w:type="gramEnd"/>
    </w:p>
    <w:p w14:paraId="29916968" w14:textId="189C53F0" w:rsidR="00FC2E5E" w:rsidRPr="00FC2E5E" w:rsidRDefault="00FC2E5E" w:rsidP="003E0F2B">
      <w:pPr>
        <w:pStyle w:val="Heading3"/>
        <w:rPr>
          <w:b w:val="0"/>
        </w:rPr>
      </w:pPr>
      <w:r w:rsidRPr="00FC2E5E">
        <w:rPr>
          <w:b w:val="0"/>
        </w:rPr>
        <w:t>-How can someone use your tool?</w:t>
      </w:r>
      <w:r>
        <w:rPr>
          <w:b w:val="0"/>
        </w:rPr>
        <w:t xml:space="preserve"> Where is it available?</w:t>
      </w:r>
    </w:p>
    <w:p w14:paraId="59B2D00C" w14:textId="368EDBC1" w:rsidR="00FC2E5E" w:rsidRPr="00FC2E5E" w:rsidRDefault="00FC2E5E" w:rsidP="003E0F2B">
      <w:pPr>
        <w:pStyle w:val="Heading3"/>
        <w:rPr>
          <w:b w:val="0"/>
        </w:rPr>
      </w:pPr>
      <w:r w:rsidRPr="00FC2E5E">
        <w:rPr>
          <w:b w:val="0"/>
        </w:rPr>
        <w:t xml:space="preserve">-How can </w:t>
      </w:r>
      <w:r>
        <w:rPr>
          <w:b w:val="0"/>
        </w:rPr>
        <w:t xml:space="preserve">it </w:t>
      </w:r>
      <w:r w:rsidRPr="00FC2E5E">
        <w:rPr>
          <w:b w:val="0"/>
        </w:rPr>
        <w:t xml:space="preserve">be applied to other </w:t>
      </w:r>
      <w:r>
        <w:rPr>
          <w:b w:val="0"/>
        </w:rPr>
        <w:t>enzyme systems</w:t>
      </w:r>
      <w:r w:rsidRPr="00FC2E5E">
        <w:rPr>
          <w:b w:val="0"/>
        </w:rPr>
        <w:t>?</w:t>
      </w:r>
    </w:p>
    <w:p w14:paraId="36C623E4" w14:textId="77777777" w:rsidR="00FC2E5E" w:rsidRPr="00FC2E5E" w:rsidRDefault="00FC2E5E" w:rsidP="003E0F2B">
      <w:pPr>
        <w:pStyle w:val="Heading3"/>
        <w:rPr>
          <w:b w:val="0"/>
        </w:rPr>
      </w:pPr>
      <w:r w:rsidRPr="00FC2E5E">
        <w:rPr>
          <w:b w:val="0"/>
        </w:rPr>
        <w:t>-Thoughts on quantitative prediction of specificity? What is needed.</w:t>
      </w:r>
    </w:p>
    <w:p w14:paraId="6EEF332C" w14:textId="4B3E766B" w:rsidR="00F71C4F" w:rsidRPr="00D75FCC" w:rsidRDefault="00FC2E5E" w:rsidP="003E0F2B">
      <w:pPr>
        <w:pStyle w:val="Heading3"/>
      </w:pPr>
      <w:r w:rsidRPr="00FC2E5E">
        <w:rPr>
          <w:b w:val="0"/>
        </w:rPr>
        <w:t>-Incorporation of structural features whenever available.</w:t>
      </w:r>
      <w:r>
        <w:rPr>
          <w:b w:val="0"/>
        </w:rPr>
        <w:t xml:space="preserve"> How?</w:t>
      </w:r>
      <w:r w:rsidR="00F71C4F" w:rsidRPr="00D75FCC">
        <w:br w:type="page"/>
      </w:r>
    </w:p>
    <w:p w14:paraId="740A65BD" w14:textId="169D12A1" w:rsidR="007422C7" w:rsidRDefault="00F71C4F" w:rsidP="00D75FCC">
      <w:pPr>
        <w:pStyle w:val="Heading2"/>
      </w:pPr>
      <w:r>
        <w:lastRenderedPageBreak/>
        <w:t>References</w:t>
      </w:r>
    </w:p>
    <w:p w14:paraId="27A91751" w14:textId="5D319C63" w:rsidR="00163A6C" w:rsidRPr="00163A6C" w:rsidRDefault="00F71C4F" w:rsidP="00163A6C">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63A6C" w:rsidRPr="00163A6C">
        <w:rPr>
          <w:noProof/>
        </w:rPr>
        <w:t>[1]</w:t>
      </w:r>
      <w:r w:rsidR="00163A6C" w:rsidRPr="00163A6C">
        <w:rPr>
          <w:noProof/>
        </w:rPr>
        <w:tab/>
        <w:t xml:space="preserve">W. Rupilius and S. Ahmad, “Palm oil and palm kernel oil as raw materials for basic oleochemicals and biodiesel,” </w:t>
      </w:r>
      <w:r w:rsidR="00163A6C" w:rsidRPr="00163A6C">
        <w:rPr>
          <w:i/>
          <w:iCs/>
          <w:noProof/>
        </w:rPr>
        <w:t>Eur. J. Lipid Sci. Technol.</w:t>
      </w:r>
      <w:r w:rsidR="00163A6C" w:rsidRPr="00163A6C">
        <w:rPr>
          <w:noProof/>
        </w:rPr>
        <w:t>, vol. 109, no. 4, pp. 433–439, 2007, doi: 10.1002/ejlt.200600291.</w:t>
      </w:r>
    </w:p>
    <w:p w14:paraId="1CF046CF" w14:textId="77777777" w:rsidR="00163A6C" w:rsidRPr="00163A6C" w:rsidRDefault="00163A6C" w:rsidP="00163A6C">
      <w:pPr>
        <w:widowControl w:val="0"/>
        <w:autoSpaceDE w:val="0"/>
        <w:autoSpaceDN w:val="0"/>
        <w:adjustRightInd w:val="0"/>
        <w:ind w:left="640" w:hanging="640"/>
        <w:rPr>
          <w:noProof/>
        </w:rPr>
      </w:pPr>
      <w:r w:rsidRPr="00163A6C">
        <w:rPr>
          <w:noProof/>
        </w:rPr>
        <w:t>[2]</w:t>
      </w:r>
      <w:r w:rsidRPr="00163A6C">
        <w:rPr>
          <w:noProof/>
        </w:rPr>
        <w:tab/>
        <w:t xml:space="preserve">D. S. Wilcove and L. Pin, “Addressing the threats to biodiversity from oil-palm agriculture,” </w:t>
      </w:r>
      <w:r w:rsidRPr="00163A6C">
        <w:rPr>
          <w:i/>
          <w:iCs/>
          <w:noProof/>
        </w:rPr>
        <w:t>Biodivers. Conserv.</w:t>
      </w:r>
      <w:r w:rsidRPr="00163A6C">
        <w:rPr>
          <w:noProof/>
        </w:rPr>
        <w:t>, vol. 19, no. 4, pp. 999–1007, 2010, doi: 10.1007/s10531-009-9760-x.</w:t>
      </w:r>
    </w:p>
    <w:p w14:paraId="48D94402" w14:textId="77777777" w:rsidR="00163A6C" w:rsidRPr="00163A6C" w:rsidRDefault="00163A6C" w:rsidP="00163A6C">
      <w:pPr>
        <w:widowControl w:val="0"/>
        <w:autoSpaceDE w:val="0"/>
        <w:autoSpaceDN w:val="0"/>
        <w:adjustRightInd w:val="0"/>
        <w:ind w:left="640" w:hanging="640"/>
        <w:rPr>
          <w:noProof/>
        </w:rPr>
      </w:pPr>
      <w:r w:rsidRPr="00163A6C">
        <w:rPr>
          <w:noProof/>
        </w:rPr>
        <w:t>[3]</w:t>
      </w:r>
      <w:r w:rsidRPr="00163A6C">
        <w:rPr>
          <w:noProof/>
        </w:rPr>
        <w:tab/>
        <w:t xml:space="preserve">K. Noweck and H. Ridder, “Fatty Alcohols - Industrial Production,” in </w:t>
      </w:r>
      <w:r w:rsidRPr="00163A6C">
        <w:rPr>
          <w:i/>
          <w:iCs/>
          <w:noProof/>
        </w:rPr>
        <w:t>Ullmann’s encyclopedia of industrial chemistry</w:t>
      </w:r>
      <w:r w:rsidRPr="00163A6C">
        <w:rPr>
          <w:noProof/>
        </w:rPr>
        <w:t>, 5th ed., Wiley-VCH, 1988, pp. 277–295.</w:t>
      </w:r>
    </w:p>
    <w:p w14:paraId="5212E9E3" w14:textId="77777777" w:rsidR="00163A6C" w:rsidRPr="00163A6C" w:rsidRDefault="00163A6C" w:rsidP="00163A6C">
      <w:pPr>
        <w:widowControl w:val="0"/>
        <w:autoSpaceDE w:val="0"/>
        <w:autoSpaceDN w:val="0"/>
        <w:adjustRightInd w:val="0"/>
        <w:ind w:left="640" w:hanging="640"/>
        <w:rPr>
          <w:noProof/>
        </w:rPr>
      </w:pPr>
      <w:r w:rsidRPr="00163A6C">
        <w:rPr>
          <w:noProof/>
        </w:rPr>
        <w:t>[4]</w:t>
      </w:r>
      <w:r w:rsidRPr="00163A6C">
        <w:rPr>
          <w:noProof/>
        </w:rPr>
        <w:tab/>
        <w:t xml:space="preserve">N. J. Hernández Lozada </w:t>
      </w:r>
      <w:r w:rsidRPr="00163A6C">
        <w:rPr>
          <w:i/>
          <w:iCs/>
          <w:noProof/>
        </w:rPr>
        <w:t>et al.</w:t>
      </w:r>
      <w:r w:rsidRPr="00163A6C">
        <w:rPr>
          <w:noProof/>
        </w:rPr>
        <w:t xml:space="preserve">, “Highly Active C 8 -Acyl-ACP Thioesterase Variant Isolated by a Synthetic Selection Strategy,” </w:t>
      </w:r>
      <w:r w:rsidRPr="00163A6C">
        <w:rPr>
          <w:i/>
          <w:iCs/>
          <w:noProof/>
        </w:rPr>
        <w:t>ACS Synth. Biol.</w:t>
      </w:r>
      <w:r w:rsidRPr="00163A6C">
        <w:rPr>
          <w:noProof/>
        </w:rPr>
        <w:t>, vol. 7, no. 9, pp. 2205–2215, 2018, doi: 10.1021/acssynbio.8b00215.</w:t>
      </w:r>
    </w:p>
    <w:p w14:paraId="3AA393DD" w14:textId="77777777" w:rsidR="00163A6C" w:rsidRPr="00163A6C" w:rsidRDefault="00163A6C" w:rsidP="00163A6C">
      <w:pPr>
        <w:widowControl w:val="0"/>
        <w:autoSpaceDE w:val="0"/>
        <w:autoSpaceDN w:val="0"/>
        <w:adjustRightInd w:val="0"/>
        <w:ind w:left="640" w:hanging="640"/>
        <w:rPr>
          <w:noProof/>
        </w:rPr>
      </w:pPr>
      <w:r w:rsidRPr="00163A6C">
        <w:rPr>
          <w:noProof/>
        </w:rPr>
        <w:t>[5]</w:t>
      </w:r>
      <w:r w:rsidRPr="00163A6C">
        <w:rPr>
          <w:noProof/>
        </w:rPr>
        <w:tab/>
        <w:t xml:space="preserve">N. J. Hernández Lozada, T. R. Simmons, K. Xu, M. A. Jindra, and B. F. Pfleger, “Production of 1-octanol in Escherichia coli by a high flux thioesterase route,” </w:t>
      </w:r>
      <w:r w:rsidRPr="00163A6C">
        <w:rPr>
          <w:i/>
          <w:iCs/>
          <w:noProof/>
        </w:rPr>
        <w:t>Metab. Eng.</w:t>
      </w:r>
      <w:r w:rsidRPr="00163A6C">
        <w:rPr>
          <w:noProof/>
        </w:rPr>
        <w:t>, vol. 61, no. April, pp. 352–359, 2020, doi: 10.1016/j.ymben.2020.07.004.</w:t>
      </w:r>
    </w:p>
    <w:p w14:paraId="306C5C6E" w14:textId="77777777" w:rsidR="00163A6C" w:rsidRPr="00163A6C" w:rsidRDefault="00163A6C" w:rsidP="00163A6C">
      <w:pPr>
        <w:widowControl w:val="0"/>
        <w:autoSpaceDE w:val="0"/>
        <w:autoSpaceDN w:val="0"/>
        <w:adjustRightInd w:val="0"/>
        <w:ind w:left="640" w:hanging="640"/>
        <w:rPr>
          <w:noProof/>
        </w:rPr>
      </w:pPr>
      <w:r w:rsidRPr="00163A6C">
        <w:rPr>
          <w:noProof/>
        </w:rPr>
        <w:t>[6]</w:t>
      </w:r>
      <w:r w:rsidRPr="00163A6C">
        <w:rPr>
          <w:noProof/>
        </w:rPr>
        <w:tab/>
        <w:t xml:space="preserve">M. J. Grisewood </w:t>
      </w:r>
      <w:r w:rsidRPr="00163A6C">
        <w:rPr>
          <w:i/>
          <w:iCs/>
          <w:noProof/>
        </w:rPr>
        <w:t>et al.</w:t>
      </w:r>
      <w:r w:rsidRPr="00163A6C">
        <w:rPr>
          <w:noProof/>
        </w:rPr>
        <w:t>, “Computational Redesign of Acyl-ACP Thioesterase with Improved Selectivity toward Medium-Chain-Length Fatty Acids,” doi: 10.1021/acscatal.7b00408.</w:t>
      </w:r>
    </w:p>
    <w:p w14:paraId="4822A4F4" w14:textId="77777777" w:rsidR="00163A6C" w:rsidRPr="00163A6C" w:rsidRDefault="00163A6C" w:rsidP="00163A6C">
      <w:pPr>
        <w:widowControl w:val="0"/>
        <w:autoSpaceDE w:val="0"/>
        <w:autoSpaceDN w:val="0"/>
        <w:adjustRightInd w:val="0"/>
        <w:ind w:left="640" w:hanging="640"/>
        <w:rPr>
          <w:noProof/>
        </w:rPr>
      </w:pPr>
      <w:r w:rsidRPr="00163A6C">
        <w:rPr>
          <w:noProof/>
        </w:rPr>
        <w:t>[7]</w:t>
      </w:r>
      <w:r w:rsidRPr="00163A6C">
        <w:rPr>
          <w:noProof/>
        </w:rPr>
        <w:tab/>
        <w:t xml:space="preserve">L. Yuan, T. A. Voelker, and D. J. Hawkins, “Modification of the substrate specificity of an acyl-acyl carrier protein thioesterase by protein engineering,” </w:t>
      </w:r>
      <w:r w:rsidRPr="00163A6C">
        <w:rPr>
          <w:i/>
          <w:iCs/>
          <w:noProof/>
        </w:rPr>
        <w:t>Proc. Natl. Acad. Sci. U. S. A.</w:t>
      </w:r>
      <w:r w:rsidRPr="00163A6C">
        <w:rPr>
          <w:noProof/>
        </w:rPr>
        <w:t>, 1995, doi: 10.1073/pnas.92.23.10639.</w:t>
      </w:r>
    </w:p>
    <w:p w14:paraId="741EF8EF" w14:textId="77777777" w:rsidR="00163A6C" w:rsidRPr="00163A6C" w:rsidRDefault="00163A6C" w:rsidP="00163A6C">
      <w:pPr>
        <w:widowControl w:val="0"/>
        <w:autoSpaceDE w:val="0"/>
        <w:autoSpaceDN w:val="0"/>
        <w:adjustRightInd w:val="0"/>
        <w:ind w:left="640" w:hanging="640"/>
        <w:rPr>
          <w:noProof/>
        </w:rPr>
      </w:pPr>
      <w:r w:rsidRPr="00163A6C">
        <w:rPr>
          <w:noProof/>
        </w:rPr>
        <w:t>[8]</w:t>
      </w:r>
      <w:r w:rsidRPr="00163A6C">
        <w:rPr>
          <w:noProof/>
        </w:rPr>
        <w:tab/>
        <w:t xml:space="preserve">F. Jing </w:t>
      </w:r>
      <w:r w:rsidRPr="00163A6C">
        <w:rPr>
          <w:i/>
          <w:iCs/>
          <w:noProof/>
        </w:rPr>
        <w:t>et al.</w:t>
      </w:r>
      <w:r w:rsidRPr="00163A6C">
        <w:rPr>
          <w:noProof/>
        </w:rPr>
        <w:t>, “Phylogenetic and experimental characterization of an acyl-ACP thioesterase family reveals significant diversity in enzymatic specificity and activity,” pp. 1–16, 2011.</w:t>
      </w:r>
    </w:p>
    <w:p w14:paraId="6340CFEC" w14:textId="77777777" w:rsidR="00163A6C" w:rsidRPr="00163A6C" w:rsidRDefault="00163A6C" w:rsidP="00163A6C">
      <w:pPr>
        <w:widowControl w:val="0"/>
        <w:autoSpaceDE w:val="0"/>
        <w:autoSpaceDN w:val="0"/>
        <w:adjustRightInd w:val="0"/>
        <w:ind w:left="640" w:hanging="640"/>
        <w:rPr>
          <w:noProof/>
        </w:rPr>
      </w:pPr>
      <w:r w:rsidRPr="00163A6C">
        <w:rPr>
          <w:noProof/>
        </w:rPr>
        <w:t>[9]</w:t>
      </w:r>
      <w:r w:rsidRPr="00163A6C">
        <w:rPr>
          <w:noProof/>
        </w:rPr>
        <w:tab/>
        <w:t xml:space="preserve">X. Deng, L. Chen, M. Hei, T. Liu, Y. Feng, and G. Y. Yang, “Structure-guided reshaping of the acyl binding pocket of ‘TesA thioesterase enhances octanoic acid production in E. coli,” </w:t>
      </w:r>
      <w:r w:rsidRPr="00163A6C">
        <w:rPr>
          <w:i/>
          <w:iCs/>
          <w:noProof/>
        </w:rPr>
        <w:t>Metab. Eng.</w:t>
      </w:r>
      <w:r w:rsidRPr="00163A6C">
        <w:rPr>
          <w:noProof/>
        </w:rPr>
        <w:t>, vol. 61, no. January, pp. 24–32, 2020, doi: 10.1016/j.ymben.2020.04.010.</w:t>
      </w:r>
    </w:p>
    <w:p w14:paraId="48758E8A" w14:textId="77777777" w:rsidR="00163A6C" w:rsidRPr="00163A6C" w:rsidRDefault="00163A6C" w:rsidP="00163A6C">
      <w:pPr>
        <w:widowControl w:val="0"/>
        <w:autoSpaceDE w:val="0"/>
        <w:autoSpaceDN w:val="0"/>
        <w:adjustRightInd w:val="0"/>
        <w:ind w:left="640" w:hanging="640"/>
        <w:rPr>
          <w:noProof/>
        </w:rPr>
      </w:pPr>
      <w:r w:rsidRPr="00163A6C">
        <w:rPr>
          <w:noProof/>
        </w:rPr>
        <w:t>[10]</w:t>
      </w:r>
      <w:r w:rsidRPr="00163A6C">
        <w:rPr>
          <w:noProof/>
        </w:rPr>
        <w:tab/>
        <w:t xml:space="preserve">T. A. Voelker and H. M. Davies, “Alteration of the Specificity and Regulation of Fatty Acid Synthesis of Escherichia coli by Expression of a Plant Medium- Chain Acyl-Acyl Carrier Protein Thioesterase,” </w:t>
      </w:r>
      <w:r w:rsidRPr="00163A6C">
        <w:rPr>
          <w:i/>
          <w:iCs/>
          <w:noProof/>
        </w:rPr>
        <w:t>J. Bacteriol.</w:t>
      </w:r>
      <w:r w:rsidRPr="00163A6C">
        <w:rPr>
          <w:noProof/>
        </w:rPr>
        <w:t>, vol. 176, no. 23, pp. 7320–7327, 1994.</w:t>
      </w:r>
    </w:p>
    <w:p w14:paraId="60EA1CFF" w14:textId="77777777" w:rsidR="00163A6C" w:rsidRPr="00163A6C" w:rsidRDefault="00163A6C" w:rsidP="00163A6C">
      <w:pPr>
        <w:widowControl w:val="0"/>
        <w:autoSpaceDE w:val="0"/>
        <w:autoSpaceDN w:val="0"/>
        <w:adjustRightInd w:val="0"/>
        <w:ind w:left="640" w:hanging="640"/>
        <w:rPr>
          <w:noProof/>
        </w:rPr>
      </w:pPr>
      <w:r w:rsidRPr="00163A6C">
        <w:rPr>
          <w:noProof/>
        </w:rPr>
        <w:t>[11]</w:t>
      </w:r>
      <w:r w:rsidRPr="00163A6C">
        <w:rPr>
          <w:noProof/>
        </w:rPr>
        <w:tab/>
        <w:t xml:space="preserve">Y. J. Choi and S. Y. Lee, “Microbial production of short-chain alkanes,” </w:t>
      </w:r>
      <w:r w:rsidRPr="00163A6C">
        <w:rPr>
          <w:i/>
          <w:iCs/>
          <w:noProof/>
        </w:rPr>
        <w:t>Nature</w:t>
      </w:r>
      <w:r w:rsidRPr="00163A6C">
        <w:rPr>
          <w:noProof/>
        </w:rPr>
        <w:t>, vol. 502, no. 7472, pp. 571–574, 2013, doi: 10.1038/nature12536.</w:t>
      </w:r>
    </w:p>
    <w:p w14:paraId="10674CD0" w14:textId="77777777" w:rsidR="00163A6C" w:rsidRPr="00163A6C" w:rsidRDefault="00163A6C" w:rsidP="00163A6C">
      <w:pPr>
        <w:widowControl w:val="0"/>
        <w:autoSpaceDE w:val="0"/>
        <w:autoSpaceDN w:val="0"/>
        <w:adjustRightInd w:val="0"/>
        <w:ind w:left="640" w:hanging="640"/>
        <w:rPr>
          <w:noProof/>
        </w:rPr>
      </w:pPr>
      <w:r w:rsidRPr="00163A6C">
        <w:rPr>
          <w:noProof/>
        </w:rPr>
        <w:t>[12]</w:t>
      </w:r>
      <w:r w:rsidRPr="00163A6C">
        <w:rPr>
          <w:noProof/>
        </w:rPr>
        <w:tab/>
        <w:t xml:space="preserve">S. Sarria, T. G. Bartholow, A. Verga, M. D. Burkart, and P. Peralta-Yahya, “Matching Protein Interfaces for Improved Medium-Chain Fatty Acid Production,” </w:t>
      </w:r>
      <w:r w:rsidRPr="00163A6C">
        <w:rPr>
          <w:i/>
          <w:iCs/>
          <w:noProof/>
        </w:rPr>
        <w:t>ACS Synth. Biol.</w:t>
      </w:r>
      <w:r w:rsidRPr="00163A6C">
        <w:rPr>
          <w:noProof/>
        </w:rPr>
        <w:t>, vol. 7, no. 5, pp. 1179–1187, 2018, doi: 10.1021/acssynbio.7b00334.</w:t>
      </w:r>
    </w:p>
    <w:p w14:paraId="65FA89CC" w14:textId="77777777" w:rsidR="00163A6C" w:rsidRPr="00163A6C" w:rsidRDefault="00163A6C" w:rsidP="00163A6C">
      <w:pPr>
        <w:widowControl w:val="0"/>
        <w:autoSpaceDE w:val="0"/>
        <w:autoSpaceDN w:val="0"/>
        <w:adjustRightInd w:val="0"/>
        <w:ind w:left="640" w:hanging="640"/>
        <w:rPr>
          <w:noProof/>
        </w:rPr>
      </w:pPr>
      <w:r w:rsidRPr="00163A6C">
        <w:rPr>
          <w:noProof/>
        </w:rPr>
        <w:t>[13]</w:t>
      </w:r>
      <w:r w:rsidRPr="00163A6C">
        <w:rPr>
          <w:noProof/>
        </w:rPr>
        <w:tab/>
        <w:t>P. Gordon Roessler and G. Roy, “ACYL-ACP THOESTERASE GENES AND USES THEREFOR,” 8956834 B2, 2015.</w:t>
      </w:r>
    </w:p>
    <w:p w14:paraId="578546D4" w14:textId="77777777" w:rsidR="00163A6C" w:rsidRPr="00163A6C" w:rsidRDefault="00163A6C" w:rsidP="00163A6C">
      <w:pPr>
        <w:widowControl w:val="0"/>
        <w:autoSpaceDE w:val="0"/>
        <w:autoSpaceDN w:val="0"/>
        <w:adjustRightInd w:val="0"/>
        <w:ind w:left="640" w:hanging="640"/>
        <w:rPr>
          <w:noProof/>
        </w:rPr>
      </w:pPr>
      <w:r w:rsidRPr="00163A6C">
        <w:rPr>
          <w:noProof/>
        </w:rPr>
        <w:t>[14]</w:t>
      </w:r>
      <w:r w:rsidRPr="00163A6C">
        <w:rPr>
          <w:noProof/>
        </w:rPr>
        <w:tab/>
        <w:t xml:space="preserve">F. Jing, L. Zhao, M. D. Yandeau-Nelson, and B. J. Nikolau, “Two distinct domains contribute to the substrate acyl chain length selectivity of plant acyl-ACP thioesterase,” </w:t>
      </w:r>
      <w:r w:rsidRPr="00163A6C">
        <w:rPr>
          <w:i/>
          <w:iCs/>
          <w:noProof/>
        </w:rPr>
        <w:t>Nat. Commun.</w:t>
      </w:r>
      <w:r w:rsidRPr="00163A6C">
        <w:rPr>
          <w:noProof/>
        </w:rPr>
        <w:t>, vol. 9, no. 1, p. 860, 2018, doi: 10.1038/s41467-018-03310-z.</w:t>
      </w:r>
    </w:p>
    <w:p w14:paraId="2EFB0630" w14:textId="77777777" w:rsidR="00163A6C" w:rsidRPr="00163A6C" w:rsidRDefault="00163A6C" w:rsidP="00163A6C">
      <w:pPr>
        <w:widowControl w:val="0"/>
        <w:autoSpaceDE w:val="0"/>
        <w:autoSpaceDN w:val="0"/>
        <w:adjustRightInd w:val="0"/>
        <w:ind w:left="640" w:hanging="640"/>
        <w:rPr>
          <w:noProof/>
        </w:rPr>
      </w:pPr>
      <w:r w:rsidRPr="00163A6C">
        <w:rPr>
          <w:noProof/>
        </w:rPr>
        <w:t>[15]</w:t>
      </w:r>
      <w:r w:rsidRPr="00163A6C">
        <w:rPr>
          <w:noProof/>
        </w:rPr>
        <w:tab/>
        <w:t xml:space="preserve">M. Politz, R. Lennen, B. Pfleger, and B. Engineering, “Quantification of Bacterial Fatty Acids by Extraction and Methylation,” </w:t>
      </w:r>
      <w:r w:rsidRPr="00163A6C">
        <w:rPr>
          <w:i/>
          <w:iCs/>
          <w:noProof/>
        </w:rPr>
        <w:t>Bio Protoc.</w:t>
      </w:r>
      <w:r w:rsidRPr="00163A6C">
        <w:rPr>
          <w:noProof/>
        </w:rPr>
        <w:t>, vol. 3, no. 21, 2016.</w:t>
      </w:r>
    </w:p>
    <w:p w14:paraId="6F292ABD" w14:textId="77777777" w:rsidR="00163A6C" w:rsidRPr="00163A6C" w:rsidRDefault="00163A6C" w:rsidP="00163A6C">
      <w:pPr>
        <w:widowControl w:val="0"/>
        <w:autoSpaceDE w:val="0"/>
        <w:autoSpaceDN w:val="0"/>
        <w:adjustRightInd w:val="0"/>
        <w:ind w:left="640" w:hanging="640"/>
        <w:rPr>
          <w:noProof/>
        </w:rPr>
      </w:pPr>
      <w:r w:rsidRPr="00163A6C">
        <w:rPr>
          <w:noProof/>
        </w:rPr>
        <w:t>[16]</w:t>
      </w:r>
      <w:r w:rsidRPr="00163A6C">
        <w:rPr>
          <w:noProof/>
        </w:rPr>
        <w:tab/>
        <w:t xml:space="preserve">S. R. Amin, S. Erdin, R. M. Ward, R. C. Lua, and O. Lichtarge, “Prediction and experimental validation of enzyme substrate specificity in protein structures,” </w:t>
      </w:r>
      <w:r w:rsidRPr="00163A6C">
        <w:rPr>
          <w:i/>
          <w:iCs/>
          <w:noProof/>
        </w:rPr>
        <w:t>Proc. Natl. Acad. Sci. U. S. A.</w:t>
      </w:r>
      <w:r w:rsidRPr="00163A6C">
        <w:rPr>
          <w:noProof/>
        </w:rPr>
        <w:t>, 2013, doi: 10.1073/pnas.1305162110.</w:t>
      </w:r>
    </w:p>
    <w:p w14:paraId="1959838F" w14:textId="77777777" w:rsidR="00163A6C" w:rsidRPr="00163A6C" w:rsidRDefault="00163A6C" w:rsidP="00163A6C">
      <w:pPr>
        <w:widowControl w:val="0"/>
        <w:autoSpaceDE w:val="0"/>
        <w:autoSpaceDN w:val="0"/>
        <w:adjustRightInd w:val="0"/>
        <w:ind w:left="640" w:hanging="640"/>
        <w:rPr>
          <w:noProof/>
        </w:rPr>
      </w:pPr>
      <w:r w:rsidRPr="00163A6C">
        <w:rPr>
          <w:noProof/>
        </w:rPr>
        <w:t>[17]</w:t>
      </w:r>
      <w:r w:rsidRPr="00163A6C">
        <w:rPr>
          <w:noProof/>
        </w:rPr>
        <w:tab/>
        <w:t xml:space="preserve">P. Khurana, R. S. Gokhale, and D. Mohanty, “Genome scale prediction of substrate specificity for acyl adenylate superfamily of enzymes based on active site residue profiles,” </w:t>
      </w:r>
      <w:r w:rsidRPr="00163A6C">
        <w:rPr>
          <w:i/>
          <w:iCs/>
          <w:noProof/>
        </w:rPr>
        <w:t>BMC Bioinformatics</w:t>
      </w:r>
      <w:r w:rsidRPr="00163A6C">
        <w:rPr>
          <w:noProof/>
        </w:rPr>
        <w:t>, 2010, doi: 10.1186/1471-2105-11-57.</w:t>
      </w:r>
    </w:p>
    <w:p w14:paraId="1A18B1D5"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[18]</w:t>
      </w:r>
      <w:r w:rsidRPr="00163A6C">
        <w:rPr>
          <w:noProof/>
        </w:rPr>
        <w:tab/>
        <w:t xml:space="preserve">S. F. Altschul, W. Gish, W. Miller, E. W. Myers, and D. J. Lipman, “Basic local alignment search tool,” </w:t>
      </w:r>
      <w:r w:rsidRPr="00163A6C">
        <w:rPr>
          <w:i/>
          <w:iCs/>
          <w:noProof/>
        </w:rPr>
        <w:t>J. Mol. Biol.</w:t>
      </w:r>
      <w:r w:rsidRPr="00163A6C">
        <w:rPr>
          <w:noProof/>
        </w:rPr>
        <w:t>, 1990, doi: 10.1016/S0022-2836(05)80360-2.</w:t>
      </w:r>
    </w:p>
    <w:p w14:paraId="406B0AA7" w14:textId="77777777" w:rsidR="00163A6C" w:rsidRPr="00163A6C" w:rsidRDefault="00163A6C" w:rsidP="00163A6C">
      <w:pPr>
        <w:widowControl w:val="0"/>
        <w:autoSpaceDE w:val="0"/>
        <w:autoSpaceDN w:val="0"/>
        <w:adjustRightInd w:val="0"/>
        <w:ind w:left="640" w:hanging="640"/>
        <w:rPr>
          <w:noProof/>
        </w:rPr>
      </w:pPr>
      <w:r w:rsidRPr="00163A6C">
        <w:rPr>
          <w:noProof/>
        </w:rPr>
        <w:t>[19]</w:t>
      </w:r>
      <w:r w:rsidRPr="00163A6C">
        <w:rPr>
          <w:noProof/>
        </w:rPr>
        <w:tab/>
        <w:t xml:space="preserve">S. F. Altschul </w:t>
      </w:r>
      <w:r w:rsidRPr="00163A6C">
        <w:rPr>
          <w:i/>
          <w:iCs/>
          <w:noProof/>
        </w:rPr>
        <w:t>et al.</w:t>
      </w:r>
      <w:r w:rsidRPr="00163A6C">
        <w:rPr>
          <w:noProof/>
        </w:rPr>
        <w:t xml:space="preserve">, “Gapped BLAST and PSI-BLAST: A new generation of protein database search programs,” </w:t>
      </w:r>
      <w:r w:rsidRPr="00163A6C">
        <w:rPr>
          <w:i/>
          <w:iCs/>
          <w:noProof/>
        </w:rPr>
        <w:t>Nucleic Acids Research</w:t>
      </w:r>
      <w:r w:rsidRPr="00163A6C">
        <w:rPr>
          <w:noProof/>
        </w:rPr>
        <w:t>. 1997, doi: 10.1093/nar/25.17.3389.</w:t>
      </w:r>
    </w:p>
    <w:p w14:paraId="65846D13" w14:textId="77777777" w:rsidR="00163A6C" w:rsidRPr="00163A6C" w:rsidRDefault="00163A6C" w:rsidP="00163A6C">
      <w:pPr>
        <w:widowControl w:val="0"/>
        <w:autoSpaceDE w:val="0"/>
        <w:autoSpaceDN w:val="0"/>
        <w:adjustRightInd w:val="0"/>
        <w:ind w:left="640" w:hanging="640"/>
        <w:rPr>
          <w:noProof/>
        </w:rPr>
      </w:pPr>
      <w:r w:rsidRPr="00163A6C">
        <w:rPr>
          <w:noProof/>
        </w:rPr>
        <w:t>[20]</w:t>
      </w:r>
      <w:r w:rsidRPr="00163A6C">
        <w:rPr>
          <w:noProof/>
        </w:rPr>
        <w:tab/>
        <w:t xml:space="preserve">M. Gribskov, A. D. McLachlan, and D. Eisenberg, “Profile analysis: detection of distantly related proteins.,” </w:t>
      </w:r>
      <w:r w:rsidRPr="00163A6C">
        <w:rPr>
          <w:i/>
          <w:iCs/>
          <w:noProof/>
        </w:rPr>
        <w:t>Proc. Natl. Acad. Sci. U. S. A.</w:t>
      </w:r>
      <w:r w:rsidRPr="00163A6C">
        <w:rPr>
          <w:noProof/>
        </w:rPr>
        <w:t>, 1987, doi: 10.1073/pnas.84.13.4355.</w:t>
      </w:r>
    </w:p>
    <w:p w14:paraId="24596BE3" w14:textId="77777777" w:rsidR="00163A6C" w:rsidRPr="00163A6C" w:rsidRDefault="00163A6C" w:rsidP="00163A6C">
      <w:pPr>
        <w:widowControl w:val="0"/>
        <w:autoSpaceDE w:val="0"/>
        <w:autoSpaceDN w:val="0"/>
        <w:adjustRightInd w:val="0"/>
        <w:ind w:left="640" w:hanging="640"/>
        <w:rPr>
          <w:noProof/>
        </w:rPr>
      </w:pPr>
      <w:r w:rsidRPr="00163A6C">
        <w:rPr>
          <w:noProof/>
        </w:rPr>
        <w:t>[21]</w:t>
      </w:r>
      <w:r w:rsidRPr="00163A6C">
        <w:rPr>
          <w:noProof/>
        </w:rPr>
        <w:tab/>
        <w:t xml:space="preserve">A. Bairoch, “PROSITE: A dictionary of sites and patterns in proteins,” </w:t>
      </w:r>
      <w:r w:rsidRPr="00163A6C">
        <w:rPr>
          <w:i/>
          <w:iCs/>
          <w:noProof/>
        </w:rPr>
        <w:t>Nucleic Acids Research</w:t>
      </w:r>
      <w:r w:rsidRPr="00163A6C">
        <w:rPr>
          <w:noProof/>
        </w:rPr>
        <w:t>. 1992, doi: 10.1093/nar/20.suppl.2013.</w:t>
      </w:r>
    </w:p>
    <w:p w14:paraId="158CB238" w14:textId="77777777" w:rsidR="00163A6C" w:rsidRPr="00163A6C" w:rsidRDefault="00163A6C" w:rsidP="00163A6C">
      <w:pPr>
        <w:widowControl w:val="0"/>
        <w:autoSpaceDE w:val="0"/>
        <w:autoSpaceDN w:val="0"/>
        <w:adjustRightInd w:val="0"/>
        <w:ind w:left="640" w:hanging="640"/>
        <w:rPr>
          <w:noProof/>
        </w:rPr>
      </w:pPr>
      <w:r w:rsidRPr="00163A6C">
        <w:rPr>
          <w:noProof/>
        </w:rPr>
        <w:t>[22]</w:t>
      </w:r>
      <w:r w:rsidRPr="00163A6C">
        <w:rPr>
          <w:noProof/>
        </w:rPr>
        <w:tab/>
        <w:t xml:space="preserve">T. K. Attwood, M. E. Beck, D. R. Flower, P. Scordis, and J. N. Selley, “The PRINTS protein fingerprint database in its fifth year,” </w:t>
      </w:r>
      <w:r w:rsidRPr="00163A6C">
        <w:rPr>
          <w:i/>
          <w:iCs/>
          <w:noProof/>
        </w:rPr>
        <w:t>Nucleic Acids Res.</w:t>
      </w:r>
      <w:r w:rsidRPr="00163A6C">
        <w:rPr>
          <w:noProof/>
        </w:rPr>
        <w:t>, 1998, doi: 10.1093/nar/26.1.304.</w:t>
      </w:r>
    </w:p>
    <w:p w14:paraId="519DBE26" w14:textId="77777777" w:rsidR="00163A6C" w:rsidRPr="00163A6C" w:rsidRDefault="00163A6C" w:rsidP="00163A6C">
      <w:pPr>
        <w:widowControl w:val="0"/>
        <w:autoSpaceDE w:val="0"/>
        <w:autoSpaceDN w:val="0"/>
        <w:adjustRightInd w:val="0"/>
        <w:ind w:left="640" w:hanging="640"/>
        <w:rPr>
          <w:noProof/>
        </w:rPr>
      </w:pPr>
      <w:r w:rsidRPr="00163A6C">
        <w:rPr>
          <w:noProof/>
        </w:rPr>
        <w:t>[23]</w:t>
      </w:r>
      <w:r w:rsidRPr="00163A6C">
        <w:rPr>
          <w:noProof/>
        </w:rPr>
        <w:tab/>
        <w:t xml:space="preserve">P. Baldi, Y. Chauvin, T. Hunkapiller, and M. A. Mcclure, “Hidden Markov models of biological primary sequence information,” </w:t>
      </w:r>
      <w:r w:rsidRPr="00163A6C">
        <w:rPr>
          <w:i/>
          <w:iCs/>
          <w:noProof/>
        </w:rPr>
        <w:t>Proc. Natl. Acad. Sci. U. S. A.</w:t>
      </w:r>
      <w:r w:rsidRPr="00163A6C">
        <w:rPr>
          <w:noProof/>
        </w:rPr>
        <w:t>, 1994, doi: 10.1073/pnas.91.3.1059.</w:t>
      </w:r>
    </w:p>
    <w:p w14:paraId="2B948D4D" w14:textId="77777777" w:rsidR="00163A6C" w:rsidRPr="00163A6C" w:rsidRDefault="00163A6C" w:rsidP="00163A6C">
      <w:pPr>
        <w:widowControl w:val="0"/>
        <w:autoSpaceDE w:val="0"/>
        <w:autoSpaceDN w:val="0"/>
        <w:adjustRightInd w:val="0"/>
        <w:ind w:left="640" w:hanging="640"/>
        <w:rPr>
          <w:noProof/>
        </w:rPr>
      </w:pPr>
      <w:r w:rsidRPr="00163A6C">
        <w:rPr>
          <w:noProof/>
        </w:rPr>
        <w:t>[24]</w:t>
      </w:r>
      <w:r w:rsidRPr="00163A6C">
        <w:rPr>
          <w:noProof/>
        </w:rPr>
        <w:tab/>
        <w:t xml:space="preserve">A. Krogh, M. Brown, I. S. Mian, K. Sjölander, and D. Haussler, “Hidden Markov Models in computational biology applications to protein modeling,” </w:t>
      </w:r>
      <w:r w:rsidRPr="00163A6C">
        <w:rPr>
          <w:i/>
          <w:iCs/>
          <w:noProof/>
        </w:rPr>
        <w:t>J. Mol. Biol.</w:t>
      </w:r>
      <w:r w:rsidRPr="00163A6C">
        <w:rPr>
          <w:noProof/>
        </w:rPr>
        <w:t>, 1994, doi: 10.1006/jmbi.1994.1104.</w:t>
      </w:r>
    </w:p>
    <w:p w14:paraId="7CFD801C" w14:textId="77777777" w:rsidR="00163A6C" w:rsidRPr="00163A6C" w:rsidRDefault="00163A6C" w:rsidP="00163A6C">
      <w:pPr>
        <w:widowControl w:val="0"/>
        <w:autoSpaceDE w:val="0"/>
        <w:autoSpaceDN w:val="0"/>
        <w:adjustRightInd w:val="0"/>
        <w:ind w:left="640" w:hanging="640"/>
        <w:rPr>
          <w:noProof/>
        </w:rPr>
      </w:pPr>
      <w:r w:rsidRPr="00163A6C">
        <w:rPr>
          <w:noProof/>
        </w:rPr>
        <w:t>[25]</w:t>
      </w:r>
      <w:r w:rsidRPr="00163A6C">
        <w:rPr>
          <w:noProof/>
        </w:rPr>
        <w:tab/>
        <w:t xml:space="preserve">S. R. Eddy, “Multiple alignment using hidden Markov models.,” </w:t>
      </w:r>
      <w:r w:rsidRPr="00163A6C">
        <w:rPr>
          <w:i/>
          <w:iCs/>
          <w:noProof/>
        </w:rPr>
        <w:t>Proc. Int. Conf. Intell. Syst. Mol. Biol.</w:t>
      </w:r>
      <w:r w:rsidRPr="00163A6C">
        <w:rPr>
          <w:noProof/>
        </w:rPr>
        <w:t>, 1995.</w:t>
      </w:r>
    </w:p>
    <w:p w14:paraId="2428BAC5" w14:textId="77777777" w:rsidR="00163A6C" w:rsidRPr="00163A6C" w:rsidRDefault="00163A6C" w:rsidP="00163A6C">
      <w:pPr>
        <w:widowControl w:val="0"/>
        <w:autoSpaceDE w:val="0"/>
        <w:autoSpaceDN w:val="0"/>
        <w:adjustRightInd w:val="0"/>
        <w:ind w:left="640" w:hanging="640"/>
        <w:rPr>
          <w:noProof/>
        </w:rPr>
      </w:pPr>
      <w:r w:rsidRPr="00163A6C">
        <w:rPr>
          <w:noProof/>
        </w:rPr>
        <w:t>[26]</w:t>
      </w:r>
      <w:r w:rsidRPr="00163A6C">
        <w:rPr>
          <w:noProof/>
        </w:rPr>
        <w:tab/>
        <w:t xml:space="preserve">J. McDowall and S. Hunter, “InterPro protein classification.,” </w:t>
      </w:r>
      <w:r w:rsidRPr="00163A6C">
        <w:rPr>
          <w:i/>
          <w:iCs/>
          <w:noProof/>
        </w:rPr>
        <w:t>Methods Mol. Biol.</w:t>
      </w:r>
      <w:r w:rsidRPr="00163A6C">
        <w:rPr>
          <w:noProof/>
        </w:rPr>
        <w:t>, 2011, doi: 10.1007/978-1-60761-977-2_3.</w:t>
      </w:r>
    </w:p>
    <w:p w14:paraId="4991D023" w14:textId="77777777" w:rsidR="00163A6C" w:rsidRPr="00163A6C" w:rsidRDefault="00163A6C" w:rsidP="00163A6C">
      <w:pPr>
        <w:widowControl w:val="0"/>
        <w:autoSpaceDE w:val="0"/>
        <w:autoSpaceDN w:val="0"/>
        <w:adjustRightInd w:val="0"/>
        <w:ind w:left="640" w:hanging="640"/>
        <w:rPr>
          <w:noProof/>
        </w:rPr>
      </w:pPr>
      <w:r w:rsidRPr="00163A6C">
        <w:rPr>
          <w:noProof/>
        </w:rPr>
        <w:t>[27]</w:t>
      </w:r>
      <w:r w:rsidRPr="00163A6C">
        <w:rPr>
          <w:noProof/>
        </w:rPr>
        <w:tab/>
        <w:t xml:space="preserve">W. Chmielnicki and K. Staçpor, “A hybrid discriminative/generative approach to protein fold recognition,” </w:t>
      </w:r>
      <w:r w:rsidRPr="00163A6C">
        <w:rPr>
          <w:i/>
          <w:iCs/>
          <w:noProof/>
        </w:rPr>
        <w:t>Neurocomputing</w:t>
      </w:r>
      <w:r w:rsidRPr="00163A6C">
        <w:rPr>
          <w:noProof/>
        </w:rPr>
        <w:t>, 2012, doi: 10.1016/j.neucom.2011.04.033.</w:t>
      </w:r>
    </w:p>
    <w:p w14:paraId="79EAADDF" w14:textId="77777777" w:rsidR="00163A6C" w:rsidRPr="00163A6C" w:rsidRDefault="00163A6C" w:rsidP="00163A6C">
      <w:pPr>
        <w:widowControl w:val="0"/>
        <w:autoSpaceDE w:val="0"/>
        <w:autoSpaceDN w:val="0"/>
        <w:adjustRightInd w:val="0"/>
        <w:ind w:left="640" w:hanging="640"/>
        <w:rPr>
          <w:noProof/>
        </w:rPr>
      </w:pPr>
      <w:r w:rsidRPr="00163A6C">
        <w:rPr>
          <w:noProof/>
        </w:rPr>
        <w:t>[28]</w:t>
      </w:r>
      <w:r w:rsidRPr="00163A6C">
        <w:rPr>
          <w:noProof/>
        </w:rPr>
        <w:tab/>
        <w:t xml:space="preserve">C. H. Q. Ding and I. Dubchak, “Multi-class protein fold recognition using support vector machines and neural networks,” </w:t>
      </w:r>
      <w:r w:rsidRPr="00163A6C">
        <w:rPr>
          <w:i/>
          <w:iCs/>
          <w:noProof/>
        </w:rPr>
        <w:t>Bioinformatics</w:t>
      </w:r>
      <w:r w:rsidRPr="00163A6C">
        <w:rPr>
          <w:noProof/>
        </w:rPr>
        <w:t>, 2001, doi: 10.1093/bioinformatics/17.4.349.</w:t>
      </w:r>
    </w:p>
    <w:p w14:paraId="3B1D3814" w14:textId="77777777" w:rsidR="00163A6C" w:rsidRPr="00163A6C" w:rsidRDefault="00163A6C" w:rsidP="00163A6C">
      <w:pPr>
        <w:widowControl w:val="0"/>
        <w:autoSpaceDE w:val="0"/>
        <w:autoSpaceDN w:val="0"/>
        <w:adjustRightInd w:val="0"/>
        <w:ind w:left="640" w:hanging="640"/>
        <w:rPr>
          <w:noProof/>
        </w:rPr>
      </w:pPr>
      <w:r w:rsidRPr="00163A6C">
        <w:rPr>
          <w:noProof/>
        </w:rPr>
        <w:t>[29]</w:t>
      </w:r>
      <w:r w:rsidRPr="00163A6C">
        <w:rPr>
          <w:noProof/>
        </w:rPr>
        <w:tab/>
        <w:t xml:space="preserve">C. Leslie, E. Eskin, and W. S. Noble, “The spectrum kernel: a string kernel for SVM protein classification.,” </w:t>
      </w:r>
      <w:r w:rsidRPr="00163A6C">
        <w:rPr>
          <w:i/>
          <w:iCs/>
          <w:noProof/>
        </w:rPr>
        <w:t>Pac. Symp. Biocomput.</w:t>
      </w:r>
      <w:r w:rsidRPr="00163A6C">
        <w:rPr>
          <w:noProof/>
        </w:rPr>
        <w:t>, 2002, doi: 10.1142/9789812799623_0053.</w:t>
      </w:r>
    </w:p>
    <w:p w14:paraId="6AFD18AD" w14:textId="77777777" w:rsidR="00163A6C" w:rsidRPr="00163A6C" w:rsidRDefault="00163A6C" w:rsidP="00163A6C">
      <w:pPr>
        <w:widowControl w:val="0"/>
        <w:autoSpaceDE w:val="0"/>
        <w:autoSpaceDN w:val="0"/>
        <w:adjustRightInd w:val="0"/>
        <w:ind w:left="640" w:hanging="640"/>
        <w:rPr>
          <w:noProof/>
        </w:rPr>
      </w:pPr>
      <w:r w:rsidRPr="00163A6C">
        <w:rPr>
          <w:noProof/>
        </w:rPr>
        <w:t>[30]</w:t>
      </w:r>
      <w:r w:rsidRPr="00163A6C">
        <w:rPr>
          <w:noProof/>
        </w:rPr>
        <w:tab/>
        <w:t xml:space="preserve">T. Jaakkola, M. Diekhans, and D. Haussler, “Using the Fisher kernel method to detect remote protein homologies.,” </w:t>
      </w:r>
      <w:r w:rsidRPr="00163A6C">
        <w:rPr>
          <w:i/>
          <w:iCs/>
          <w:noProof/>
        </w:rPr>
        <w:t>Proc. Int. Conf. Intell. Syst. Mol. Biol.</w:t>
      </w:r>
      <w:r w:rsidRPr="00163A6C">
        <w:rPr>
          <w:noProof/>
        </w:rPr>
        <w:t>, 1999.</w:t>
      </w:r>
    </w:p>
    <w:p w14:paraId="0AA894A5" w14:textId="77777777" w:rsidR="00163A6C" w:rsidRPr="00163A6C" w:rsidRDefault="00163A6C" w:rsidP="00163A6C">
      <w:pPr>
        <w:widowControl w:val="0"/>
        <w:autoSpaceDE w:val="0"/>
        <w:autoSpaceDN w:val="0"/>
        <w:adjustRightInd w:val="0"/>
        <w:ind w:left="640" w:hanging="640"/>
        <w:rPr>
          <w:noProof/>
        </w:rPr>
      </w:pPr>
      <w:r w:rsidRPr="00163A6C">
        <w:rPr>
          <w:noProof/>
        </w:rPr>
        <w:t>[31]</w:t>
      </w:r>
      <w:r w:rsidRPr="00163A6C">
        <w:rPr>
          <w:noProof/>
        </w:rPr>
        <w:tab/>
        <w:t xml:space="preserve">A. C. Tan, D. Gilbert, and Y. Deville, “Multi-class protein fold classification using a new ensemble machine learning approach.,” </w:t>
      </w:r>
      <w:r w:rsidRPr="00163A6C">
        <w:rPr>
          <w:i/>
          <w:iCs/>
          <w:noProof/>
        </w:rPr>
        <w:t>Genome Inform.</w:t>
      </w:r>
      <w:r w:rsidRPr="00163A6C">
        <w:rPr>
          <w:noProof/>
        </w:rPr>
        <w:t>, 2003, doi: 10.11234/gi1990.14.206.</w:t>
      </w:r>
    </w:p>
    <w:p w14:paraId="005B31B9" w14:textId="77777777" w:rsidR="00163A6C" w:rsidRPr="00163A6C" w:rsidRDefault="00163A6C" w:rsidP="00163A6C">
      <w:pPr>
        <w:widowControl w:val="0"/>
        <w:autoSpaceDE w:val="0"/>
        <w:autoSpaceDN w:val="0"/>
        <w:adjustRightInd w:val="0"/>
        <w:ind w:left="640" w:hanging="640"/>
        <w:rPr>
          <w:noProof/>
        </w:rPr>
      </w:pPr>
      <w:r w:rsidRPr="00163A6C">
        <w:rPr>
          <w:noProof/>
        </w:rPr>
        <w:t>[32]</w:t>
      </w:r>
      <w:r w:rsidRPr="00163A6C">
        <w:rPr>
          <w:noProof/>
        </w:rPr>
        <w:tab/>
        <w:t xml:space="preserve">C. S. Leslie, E. Eskin, A. Cohen, J. Weston, and W. S. Noble, “Mismatch string kernels for discriminative protein classification,” </w:t>
      </w:r>
      <w:r w:rsidRPr="00163A6C">
        <w:rPr>
          <w:i/>
          <w:iCs/>
          <w:noProof/>
        </w:rPr>
        <w:t>Bioinformatics</w:t>
      </w:r>
      <w:r w:rsidRPr="00163A6C">
        <w:rPr>
          <w:noProof/>
        </w:rPr>
        <w:t>, 2004, doi: 10.1093/bioinformatics/btg431.</w:t>
      </w:r>
    </w:p>
    <w:p w14:paraId="458F2707" w14:textId="77777777" w:rsidR="00163A6C" w:rsidRPr="00163A6C" w:rsidRDefault="00163A6C" w:rsidP="00163A6C">
      <w:pPr>
        <w:widowControl w:val="0"/>
        <w:autoSpaceDE w:val="0"/>
        <w:autoSpaceDN w:val="0"/>
        <w:adjustRightInd w:val="0"/>
        <w:ind w:left="640" w:hanging="640"/>
        <w:rPr>
          <w:noProof/>
        </w:rPr>
      </w:pPr>
      <w:r w:rsidRPr="00163A6C">
        <w:rPr>
          <w:noProof/>
        </w:rPr>
        <w:t>[33]</w:t>
      </w:r>
      <w:r w:rsidRPr="00163A6C">
        <w:rPr>
          <w:noProof/>
        </w:rPr>
        <w:tab/>
        <w:t>S. Diplaris, G. Tsoumakas, P. A. Mitkas, and I. Vlahavas, “Protein classification with multiple algorithms,” 2005, doi: 10.1007/11573036_42.</w:t>
      </w:r>
    </w:p>
    <w:p w14:paraId="1FD90074" w14:textId="77777777" w:rsidR="00163A6C" w:rsidRPr="00163A6C" w:rsidRDefault="00163A6C" w:rsidP="00163A6C">
      <w:pPr>
        <w:widowControl w:val="0"/>
        <w:autoSpaceDE w:val="0"/>
        <w:autoSpaceDN w:val="0"/>
        <w:adjustRightInd w:val="0"/>
        <w:ind w:left="640" w:hanging="640"/>
        <w:rPr>
          <w:noProof/>
        </w:rPr>
      </w:pPr>
      <w:r w:rsidRPr="00163A6C">
        <w:rPr>
          <w:noProof/>
        </w:rPr>
        <w:t>[34]</w:t>
      </w:r>
      <w:r w:rsidRPr="00163A6C">
        <w:rPr>
          <w:noProof/>
        </w:rPr>
        <w:tab/>
        <w:t xml:space="preserve">O. Çamoǧlu, T. Can, A. K. Singh, and Y. F. Wang, “Decision tree based information integration for automated protein classification,” </w:t>
      </w:r>
      <w:r w:rsidRPr="00163A6C">
        <w:rPr>
          <w:i/>
          <w:iCs/>
          <w:noProof/>
        </w:rPr>
        <w:t>J. Bioinform. Comput. Biol.</w:t>
      </w:r>
      <w:r w:rsidRPr="00163A6C">
        <w:rPr>
          <w:noProof/>
        </w:rPr>
        <w:t>, 2005, doi: 10.1142/S0219720005001259.</w:t>
      </w:r>
    </w:p>
    <w:p w14:paraId="62F319E3" w14:textId="77777777" w:rsidR="00163A6C" w:rsidRPr="00163A6C" w:rsidRDefault="00163A6C" w:rsidP="00163A6C">
      <w:pPr>
        <w:widowControl w:val="0"/>
        <w:autoSpaceDE w:val="0"/>
        <w:autoSpaceDN w:val="0"/>
        <w:adjustRightInd w:val="0"/>
        <w:ind w:left="640" w:hanging="640"/>
        <w:rPr>
          <w:noProof/>
        </w:rPr>
      </w:pPr>
      <w:r w:rsidRPr="00163A6C">
        <w:rPr>
          <w:noProof/>
        </w:rPr>
        <w:t>[35]</w:t>
      </w:r>
      <w:r w:rsidRPr="00163A6C">
        <w:rPr>
          <w:noProof/>
        </w:rPr>
        <w:tab/>
        <w:t xml:space="preserve">Z. Xing, J. Pei, and E. Keogh, “A brief survey on sequence classification,” </w:t>
      </w:r>
      <w:r w:rsidRPr="00163A6C">
        <w:rPr>
          <w:i/>
          <w:iCs/>
          <w:noProof/>
        </w:rPr>
        <w:t>ACM SIGKDD Explor. Newsl.</w:t>
      </w:r>
      <w:r w:rsidRPr="00163A6C">
        <w:rPr>
          <w:noProof/>
        </w:rPr>
        <w:t>, 2010, doi: 10.1145/1882471.1882478.</w:t>
      </w:r>
    </w:p>
    <w:p w14:paraId="2334F8B3" w14:textId="77777777" w:rsidR="00163A6C" w:rsidRPr="00163A6C" w:rsidRDefault="00163A6C" w:rsidP="00163A6C">
      <w:pPr>
        <w:widowControl w:val="0"/>
        <w:autoSpaceDE w:val="0"/>
        <w:autoSpaceDN w:val="0"/>
        <w:adjustRightInd w:val="0"/>
        <w:ind w:left="640" w:hanging="640"/>
        <w:rPr>
          <w:noProof/>
        </w:rPr>
      </w:pPr>
      <w:r w:rsidRPr="00163A6C">
        <w:rPr>
          <w:noProof/>
        </w:rPr>
        <w:t>[36]</w:t>
      </w:r>
      <w:r w:rsidRPr="00163A6C">
        <w:rPr>
          <w:noProof/>
        </w:rPr>
        <w:tab/>
        <w:t xml:space="preserve">L. Nanni, A. Lumini, and S. Brahnam, “An empirical study of different approaches for protein classification,” </w:t>
      </w:r>
      <w:r w:rsidRPr="00163A6C">
        <w:rPr>
          <w:i/>
          <w:iCs/>
          <w:noProof/>
        </w:rPr>
        <w:t>Sci. World J.</w:t>
      </w:r>
      <w:r w:rsidRPr="00163A6C">
        <w:rPr>
          <w:noProof/>
        </w:rPr>
        <w:t>, 2014, doi: 10.1155/2014/236717.</w:t>
      </w:r>
    </w:p>
    <w:p w14:paraId="4235BFB2" w14:textId="77777777" w:rsidR="00163A6C" w:rsidRPr="00163A6C" w:rsidRDefault="00163A6C" w:rsidP="00163A6C">
      <w:pPr>
        <w:widowControl w:val="0"/>
        <w:autoSpaceDE w:val="0"/>
        <w:autoSpaceDN w:val="0"/>
        <w:adjustRightInd w:val="0"/>
        <w:ind w:left="640" w:hanging="640"/>
        <w:rPr>
          <w:noProof/>
        </w:rPr>
      </w:pPr>
      <w:r w:rsidRPr="00163A6C">
        <w:rPr>
          <w:noProof/>
        </w:rPr>
        <w:t>[37]</w:t>
      </w:r>
      <w:r w:rsidRPr="00163A6C">
        <w:rPr>
          <w:noProof/>
        </w:rPr>
        <w:tab/>
        <w:t xml:space="preserve">S. Nojoomi and P. Koehl, “String kernels for protein sequence comparisons: Improved fold recognition,” </w:t>
      </w:r>
      <w:r w:rsidRPr="00163A6C">
        <w:rPr>
          <w:i/>
          <w:iCs/>
          <w:noProof/>
        </w:rPr>
        <w:t>BMC Bioinformatics</w:t>
      </w:r>
      <w:r w:rsidRPr="00163A6C">
        <w:rPr>
          <w:noProof/>
        </w:rPr>
        <w:t>, 2017, doi: 10.1186/s12859-017-1560-9.</w:t>
      </w:r>
    </w:p>
    <w:p w14:paraId="2307F33F"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[38]</w:t>
      </w:r>
      <w:r w:rsidRPr="00163A6C">
        <w:rPr>
          <w:noProof/>
        </w:rPr>
        <w:tab/>
        <w:t xml:space="preserve">G. X. Yu, B. H. Park, P. Chandramohan, R. Munavalli, A. Geist, and N. F. Samatova, “In silico discovery of enzyme-substrate specificity-determining residue clusters,” </w:t>
      </w:r>
      <w:r w:rsidRPr="00163A6C">
        <w:rPr>
          <w:i/>
          <w:iCs/>
          <w:noProof/>
        </w:rPr>
        <w:t>J. Mol. Biol.</w:t>
      </w:r>
      <w:r w:rsidRPr="00163A6C">
        <w:rPr>
          <w:noProof/>
        </w:rPr>
        <w:t>, vol. 352, no. 5, pp. 1105–1117, 2005, doi: 10.1016/j.jmb.2005.08.008.</w:t>
      </w:r>
    </w:p>
    <w:p w14:paraId="030B7ABA" w14:textId="77777777" w:rsidR="00163A6C" w:rsidRPr="00163A6C" w:rsidRDefault="00163A6C" w:rsidP="00163A6C">
      <w:pPr>
        <w:widowControl w:val="0"/>
        <w:autoSpaceDE w:val="0"/>
        <w:autoSpaceDN w:val="0"/>
        <w:adjustRightInd w:val="0"/>
        <w:ind w:left="640" w:hanging="640"/>
        <w:rPr>
          <w:noProof/>
        </w:rPr>
      </w:pPr>
      <w:r w:rsidRPr="00163A6C">
        <w:rPr>
          <w:noProof/>
        </w:rPr>
        <w:t>[39]</w:t>
      </w:r>
      <w:r w:rsidRPr="00163A6C">
        <w:rPr>
          <w:noProof/>
        </w:rPr>
        <w:tab/>
        <w:t>M. Deshpande and G. Karypis, “Evaluation of techniques for classifying biological sequences,” 2002, doi: 10.1007/3-540-47887-6_41.</w:t>
      </w:r>
    </w:p>
    <w:p w14:paraId="6A6FE5F1" w14:textId="77777777" w:rsidR="00163A6C" w:rsidRPr="00163A6C" w:rsidRDefault="00163A6C" w:rsidP="00163A6C">
      <w:pPr>
        <w:widowControl w:val="0"/>
        <w:autoSpaceDE w:val="0"/>
        <w:autoSpaceDN w:val="0"/>
        <w:adjustRightInd w:val="0"/>
        <w:ind w:left="640" w:hanging="640"/>
        <w:rPr>
          <w:noProof/>
        </w:rPr>
      </w:pPr>
      <w:r w:rsidRPr="00163A6C">
        <w:rPr>
          <w:noProof/>
        </w:rPr>
        <w:t>[40]</w:t>
      </w:r>
      <w:r w:rsidRPr="00163A6C">
        <w:rPr>
          <w:noProof/>
        </w:rPr>
        <w:tab/>
        <w:t xml:space="preserve">G. Rätsch, S. Sonnenburg, and C. Schäfer, “Learning interpretable SVMs for biological sequence classification,” </w:t>
      </w:r>
      <w:r w:rsidRPr="00163A6C">
        <w:rPr>
          <w:i/>
          <w:iCs/>
          <w:noProof/>
        </w:rPr>
        <w:t>BMC Bioinformatics</w:t>
      </w:r>
      <w:r w:rsidRPr="00163A6C">
        <w:rPr>
          <w:noProof/>
        </w:rPr>
        <w:t>, 2006, doi: 10.1186/1471-2105-7-S1-S9.</w:t>
      </w:r>
    </w:p>
    <w:p w14:paraId="61D54D7B" w14:textId="77777777" w:rsidR="00163A6C" w:rsidRPr="00163A6C" w:rsidRDefault="00163A6C" w:rsidP="00163A6C">
      <w:pPr>
        <w:widowControl w:val="0"/>
        <w:autoSpaceDE w:val="0"/>
        <w:autoSpaceDN w:val="0"/>
        <w:adjustRightInd w:val="0"/>
        <w:ind w:left="640" w:hanging="640"/>
        <w:rPr>
          <w:noProof/>
        </w:rPr>
      </w:pPr>
      <w:r w:rsidRPr="00163A6C">
        <w:rPr>
          <w:noProof/>
        </w:rPr>
        <w:t>[41]</w:t>
      </w:r>
      <w:r w:rsidRPr="00163A6C">
        <w:rPr>
          <w:noProof/>
        </w:rPr>
        <w:tab/>
        <w:t>S. Sonnenburg, G. Rätsch, and B. Schölkopf, “Large scale genomic sequence SVM classifiers,” 2005, doi: 10.1145/1102351.1102458.</w:t>
      </w:r>
    </w:p>
    <w:p w14:paraId="4F0A4CFC" w14:textId="77777777" w:rsidR="00163A6C" w:rsidRPr="00163A6C" w:rsidRDefault="00163A6C" w:rsidP="00163A6C">
      <w:pPr>
        <w:widowControl w:val="0"/>
        <w:autoSpaceDE w:val="0"/>
        <w:autoSpaceDN w:val="0"/>
        <w:adjustRightInd w:val="0"/>
        <w:ind w:left="640" w:hanging="640"/>
        <w:rPr>
          <w:noProof/>
        </w:rPr>
      </w:pPr>
      <w:r w:rsidRPr="00163A6C">
        <w:rPr>
          <w:noProof/>
        </w:rPr>
        <w:t>[42]</w:t>
      </w:r>
      <w:r w:rsidRPr="00163A6C">
        <w:rPr>
          <w:noProof/>
        </w:rPr>
        <w:tab/>
        <w:t xml:space="preserve">H. Saigo, J. P. Vert, N. Ueda, and T. Akutsu, “Protein homology detection using string alignment kernels,” </w:t>
      </w:r>
      <w:r w:rsidRPr="00163A6C">
        <w:rPr>
          <w:i/>
          <w:iCs/>
          <w:noProof/>
        </w:rPr>
        <w:t>Bioinformatics</w:t>
      </w:r>
      <w:r w:rsidRPr="00163A6C">
        <w:rPr>
          <w:noProof/>
        </w:rPr>
        <w:t>, 2004, doi: 10.1093/bioinformatics/bth141.</w:t>
      </w:r>
    </w:p>
    <w:p w14:paraId="59384F90" w14:textId="77777777" w:rsidR="00163A6C" w:rsidRPr="00163A6C" w:rsidRDefault="00163A6C" w:rsidP="00163A6C">
      <w:pPr>
        <w:widowControl w:val="0"/>
        <w:autoSpaceDE w:val="0"/>
        <w:autoSpaceDN w:val="0"/>
        <w:adjustRightInd w:val="0"/>
        <w:ind w:left="640" w:hanging="640"/>
        <w:rPr>
          <w:noProof/>
        </w:rPr>
      </w:pPr>
      <w:r w:rsidRPr="00163A6C">
        <w:rPr>
          <w:noProof/>
        </w:rPr>
        <w:t>[43]</w:t>
      </w:r>
      <w:r w:rsidRPr="00163A6C">
        <w:rPr>
          <w:noProof/>
        </w:rPr>
        <w:tab/>
        <w:t xml:space="preserve">T. Jaakkola, M. Diekhans, and D. Haussler, “A discriminative framework for detecting remote protein homologies,” </w:t>
      </w:r>
      <w:r w:rsidRPr="00163A6C">
        <w:rPr>
          <w:i/>
          <w:iCs/>
          <w:noProof/>
        </w:rPr>
        <w:t>Journal of Computational Biology</w:t>
      </w:r>
      <w:r w:rsidRPr="00163A6C">
        <w:rPr>
          <w:noProof/>
        </w:rPr>
        <w:t>. 2000, doi: 10.1089/10665270050081405.</w:t>
      </w:r>
    </w:p>
    <w:p w14:paraId="6051365B" w14:textId="77777777" w:rsidR="00163A6C" w:rsidRPr="00163A6C" w:rsidRDefault="00163A6C" w:rsidP="00163A6C">
      <w:pPr>
        <w:widowControl w:val="0"/>
        <w:autoSpaceDE w:val="0"/>
        <w:autoSpaceDN w:val="0"/>
        <w:adjustRightInd w:val="0"/>
        <w:ind w:left="640" w:hanging="640"/>
        <w:rPr>
          <w:noProof/>
        </w:rPr>
      </w:pPr>
      <w:r w:rsidRPr="00163A6C">
        <w:rPr>
          <w:noProof/>
        </w:rPr>
        <w:t>[44]</w:t>
      </w:r>
      <w:r w:rsidRPr="00163A6C">
        <w:rPr>
          <w:noProof/>
        </w:rPr>
        <w:tab/>
        <w:t xml:space="preserve">G. Rätsch, S. Sonnenburg, and B. Schölkopf, “RASE: Recognition of alternatively spliced exons in C.elegans,” </w:t>
      </w:r>
      <w:r w:rsidRPr="00163A6C">
        <w:rPr>
          <w:i/>
          <w:iCs/>
          <w:noProof/>
        </w:rPr>
        <w:t>Bioinformatics</w:t>
      </w:r>
      <w:r w:rsidRPr="00163A6C">
        <w:rPr>
          <w:noProof/>
        </w:rPr>
        <w:t>, 2005, doi: 10.1093/bioinformatics/bti1053.</w:t>
      </w:r>
    </w:p>
    <w:p w14:paraId="269F223E" w14:textId="77777777" w:rsidR="00163A6C" w:rsidRPr="00163A6C" w:rsidRDefault="00163A6C" w:rsidP="00163A6C">
      <w:pPr>
        <w:widowControl w:val="0"/>
        <w:autoSpaceDE w:val="0"/>
        <w:autoSpaceDN w:val="0"/>
        <w:adjustRightInd w:val="0"/>
        <w:ind w:left="640" w:hanging="640"/>
        <w:rPr>
          <w:noProof/>
        </w:rPr>
      </w:pPr>
      <w:r w:rsidRPr="00163A6C">
        <w:rPr>
          <w:noProof/>
        </w:rPr>
        <w:t>[45]</w:t>
      </w:r>
      <w:r w:rsidRPr="00163A6C">
        <w:rPr>
          <w:noProof/>
        </w:rPr>
        <w:tab/>
        <w:t xml:space="preserve">H. Nakashima, K. Nishikawa, and T. Ooi, “The folding type of a protein is relevant to the amino acid composition,” </w:t>
      </w:r>
      <w:r w:rsidRPr="00163A6C">
        <w:rPr>
          <w:i/>
          <w:iCs/>
          <w:noProof/>
        </w:rPr>
        <w:t>J. Biochem.</w:t>
      </w:r>
      <w:r w:rsidRPr="00163A6C">
        <w:rPr>
          <w:noProof/>
        </w:rPr>
        <w:t>, 1986, doi: 10.1093/oxfordjournals.jbchem.a135454.</w:t>
      </w:r>
    </w:p>
    <w:p w14:paraId="41F16E8E" w14:textId="77777777" w:rsidR="00163A6C" w:rsidRPr="00163A6C" w:rsidRDefault="00163A6C" w:rsidP="00163A6C">
      <w:pPr>
        <w:widowControl w:val="0"/>
        <w:autoSpaceDE w:val="0"/>
        <w:autoSpaceDN w:val="0"/>
        <w:adjustRightInd w:val="0"/>
        <w:ind w:left="640" w:hanging="640"/>
        <w:rPr>
          <w:noProof/>
        </w:rPr>
      </w:pPr>
      <w:r w:rsidRPr="00163A6C">
        <w:rPr>
          <w:noProof/>
        </w:rPr>
        <w:t>[46]</w:t>
      </w:r>
      <w:r w:rsidRPr="00163A6C">
        <w:rPr>
          <w:noProof/>
        </w:rPr>
        <w:tab/>
        <w:t xml:space="preserve">K.-C. Chou, “Pseudo Amino Acid Composition and its Applications in Bioinformatics, Proteomics and System Biology,” </w:t>
      </w:r>
      <w:r w:rsidRPr="00163A6C">
        <w:rPr>
          <w:i/>
          <w:iCs/>
          <w:noProof/>
        </w:rPr>
        <w:t>Curr. Proteomics</w:t>
      </w:r>
      <w:r w:rsidRPr="00163A6C">
        <w:rPr>
          <w:noProof/>
        </w:rPr>
        <w:t>, 2009, doi: 10.2174/157016409789973707.</w:t>
      </w:r>
    </w:p>
    <w:p w14:paraId="662B02BE" w14:textId="77777777" w:rsidR="00163A6C" w:rsidRPr="00163A6C" w:rsidRDefault="00163A6C" w:rsidP="00163A6C">
      <w:pPr>
        <w:widowControl w:val="0"/>
        <w:autoSpaceDE w:val="0"/>
        <w:autoSpaceDN w:val="0"/>
        <w:adjustRightInd w:val="0"/>
        <w:ind w:left="640" w:hanging="640"/>
        <w:rPr>
          <w:noProof/>
        </w:rPr>
      </w:pPr>
      <w:r w:rsidRPr="00163A6C">
        <w:rPr>
          <w:noProof/>
        </w:rPr>
        <w:t>[47]</w:t>
      </w:r>
      <w:r w:rsidRPr="00163A6C">
        <w:rPr>
          <w:noProof/>
        </w:rPr>
        <w:tab/>
        <w:t xml:space="preserve">D. Jurafsky and J. H. Martin, “Language Modeling with N- grams,” </w:t>
      </w:r>
      <w:r w:rsidRPr="00163A6C">
        <w:rPr>
          <w:i/>
          <w:iCs/>
          <w:noProof/>
        </w:rPr>
        <w:t>Speech Lang. Process.</w:t>
      </w:r>
      <w:r w:rsidRPr="00163A6C">
        <w:rPr>
          <w:noProof/>
        </w:rPr>
        <w:t>, 2016.</w:t>
      </w:r>
    </w:p>
    <w:p w14:paraId="1B1525F7" w14:textId="77777777" w:rsidR="00163A6C" w:rsidRPr="00163A6C" w:rsidRDefault="00163A6C" w:rsidP="00163A6C">
      <w:pPr>
        <w:widowControl w:val="0"/>
        <w:autoSpaceDE w:val="0"/>
        <w:autoSpaceDN w:val="0"/>
        <w:adjustRightInd w:val="0"/>
        <w:ind w:left="640" w:hanging="640"/>
        <w:rPr>
          <w:noProof/>
        </w:rPr>
      </w:pPr>
      <w:r w:rsidRPr="00163A6C">
        <w:rPr>
          <w:noProof/>
        </w:rPr>
        <w:t>[48]</w:t>
      </w:r>
      <w:r w:rsidRPr="00163A6C">
        <w:rPr>
          <w:noProof/>
        </w:rPr>
        <w:tab/>
        <w:t xml:space="preserve">L. Nanni, A. Lumini, and S. Brahnam, “An empirical study on the matrix-based protein representations and their combination with sequence-based approaches,” </w:t>
      </w:r>
      <w:r w:rsidRPr="00163A6C">
        <w:rPr>
          <w:i/>
          <w:iCs/>
          <w:noProof/>
        </w:rPr>
        <w:t>Amino Acids</w:t>
      </w:r>
      <w:r w:rsidRPr="00163A6C">
        <w:rPr>
          <w:noProof/>
        </w:rPr>
        <w:t>, 2013, doi: 10.1007/s00726-012-1416-6.</w:t>
      </w:r>
    </w:p>
    <w:p w14:paraId="155E40A3" w14:textId="77777777" w:rsidR="00163A6C" w:rsidRPr="00163A6C" w:rsidRDefault="00163A6C" w:rsidP="00163A6C">
      <w:pPr>
        <w:widowControl w:val="0"/>
        <w:autoSpaceDE w:val="0"/>
        <w:autoSpaceDN w:val="0"/>
        <w:adjustRightInd w:val="0"/>
        <w:ind w:left="640" w:hanging="640"/>
        <w:rPr>
          <w:noProof/>
        </w:rPr>
      </w:pPr>
      <w:r w:rsidRPr="00163A6C">
        <w:rPr>
          <w:noProof/>
        </w:rPr>
        <w:t>[49]</w:t>
      </w:r>
      <w:r w:rsidRPr="00163A6C">
        <w:rPr>
          <w:noProof/>
        </w:rPr>
        <w:tab/>
        <w:t>S. Whalen and G. Pandey, “A comparative analysis of ensemble classifiers: Case studies in genomics,” 2013, doi: 10.1109/ICDM.2013.21.</w:t>
      </w:r>
    </w:p>
    <w:p w14:paraId="5BE260C4" w14:textId="77777777" w:rsidR="00163A6C" w:rsidRPr="00163A6C" w:rsidRDefault="00163A6C" w:rsidP="00163A6C">
      <w:pPr>
        <w:widowControl w:val="0"/>
        <w:autoSpaceDE w:val="0"/>
        <w:autoSpaceDN w:val="0"/>
        <w:adjustRightInd w:val="0"/>
        <w:ind w:left="640" w:hanging="640"/>
        <w:rPr>
          <w:noProof/>
        </w:rPr>
      </w:pPr>
      <w:r w:rsidRPr="00163A6C">
        <w:rPr>
          <w:noProof/>
        </w:rPr>
        <w:t>[50]</w:t>
      </w:r>
      <w:r w:rsidRPr="00163A6C">
        <w:rPr>
          <w:noProof/>
        </w:rPr>
        <w:tab/>
        <w:t xml:space="preserve">C. Caragea, J. Sinapov, A. Silvescu, D. Dobbs, and V. Honavar, “Glycosylation site prediction using ensembles of Support Vector Machine classifiers,” </w:t>
      </w:r>
      <w:r w:rsidRPr="00163A6C">
        <w:rPr>
          <w:i/>
          <w:iCs/>
          <w:noProof/>
        </w:rPr>
        <w:t>BMC Bioinformatics</w:t>
      </w:r>
      <w:r w:rsidRPr="00163A6C">
        <w:rPr>
          <w:noProof/>
        </w:rPr>
        <w:t>, 2007, doi: 10.1186/1471-2105-8-438.</w:t>
      </w:r>
    </w:p>
    <w:p w14:paraId="16A717D9" w14:textId="77777777" w:rsidR="00163A6C" w:rsidRPr="00163A6C" w:rsidRDefault="00163A6C" w:rsidP="00163A6C">
      <w:pPr>
        <w:widowControl w:val="0"/>
        <w:autoSpaceDE w:val="0"/>
        <w:autoSpaceDN w:val="0"/>
        <w:adjustRightInd w:val="0"/>
        <w:ind w:left="640" w:hanging="640"/>
        <w:rPr>
          <w:noProof/>
        </w:rPr>
      </w:pPr>
      <w:r w:rsidRPr="00163A6C">
        <w:rPr>
          <w:noProof/>
        </w:rPr>
        <w:t>[51]</w:t>
      </w:r>
      <w:r w:rsidRPr="00163A6C">
        <w:rPr>
          <w:noProof/>
        </w:rPr>
        <w:tab/>
        <w:t xml:space="preserve">A. Jones, H. M. Davies, and T. A. Voelker, “Palmitoyl-acyl carrier protein (ACP) thioesterase and the evolutionary origin of plant acyl-ACP thioesterases,” </w:t>
      </w:r>
      <w:r w:rsidRPr="00163A6C">
        <w:rPr>
          <w:i/>
          <w:iCs/>
          <w:noProof/>
        </w:rPr>
        <w:t>Plant Cell</w:t>
      </w:r>
      <w:r w:rsidRPr="00163A6C">
        <w:rPr>
          <w:noProof/>
        </w:rPr>
        <w:t>, 1995, doi: 10.1105/tpc.7.3.359.</w:t>
      </w:r>
    </w:p>
    <w:p w14:paraId="234A8EBD" w14:textId="77777777" w:rsidR="00163A6C" w:rsidRPr="00163A6C" w:rsidRDefault="00163A6C" w:rsidP="00163A6C">
      <w:pPr>
        <w:widowControl w:val="0"/>
        <w:autoSpaceDE w:val="0"/>
        <w:autoSpaceDN w:val="0"/>
        <w:adjustRightInd w:val="0"/>
        <w:ind w:left="640" w:hanging="640"/>
        <w:rPr>
          <w:noProof/>
        </w:rPr>
      </w:pPr>
      <w:r w:rsidRPr="00163A6C">
        <w:rPr>
          <w:noProof/>
        </w:rPr>
        <w:t>[52]</w:t>
      </w:r>
      <w:r w:rsidRPr="00163A6C">
        <w:rPr>
          <w:noProof/>
        </w:rPr>
        <w:tab/>
        <w:t xml:space="preserve">T. A. Voelker and H. M. Davies, “Alteration of the specificity and regulation of fatty acid synthesis of Escherichia coli by expression of a plant medium-chain acyl-acyl carrier protein thioesterase,” </w:t>
      </w:r>
      <w:r w:rsidRPr="00163A6C">
        <w:rPr>
          <w:i/>
          <w:iCs/>
          <w:noProof/>
        </w:rPr>
        <w:t>J. Bacteriol.</w:t>
      </w:r>
      <w:r w:rsidRPr="00163A6C">
        <w:rPr>
          <w:noProof/>
        </w:rPr>
        <w:t>, 1994, doi: 10.1128/jb.176.23.7320-7327.1994.</w:t>
      </w:r>
    </w:p>
    <w:p w14:paraId="7E52B742" w14:textId="77777777" w:rsidR="00163A6C" w:rsidRPr="00163A6C" w:rsidRDefault="00163A6C" w:rsidP="00163A6C">
      <w:pPr>
        <w:widowControl w:val="0"/>
        <w:autoSpaceDE w:val="0"/>
        <w:autoSpaceDN w:val="0"/>
        <w:adjustRightInd w:val="0"/>
        <w:ind w:left="640" w:hanging="640"/>
        <w:rPr>
          <w:noProof/>
        </w:rPr>
      </w:pPr>
      <w:r w:rsidRPr="00163A6C">
        <w:rPr>
          <w:noProof/>
        </w:rPr>
        <w:t>[53]</w:t>
      </w:r>
      <w:r w:rsidRPr="00163A6C">
        <w:rPr>
          <w:noProof/>
        </w:rPr>
        <w:tab/>
        <w:t xml:space="preserve">F. Jing, L. Zhao, M. D. Yandeau-Nelson, and B. J. Nikolau, “Two distinct domains contribute to the substrate acyl chain length selectivity of plant acyl-ACP thioesterase,” </w:t>
      </w:r>
      <w:r w:rsidRPr="00163A6C">
        <w:rPr>
          <w:i/>
          <w:iCs/>
          <w:noProof/>
        </w:rPr>
        <w:t>Nat. Commun.</w:t>
      </w:r>
      <w:r w:rsidRPr="00163A6C">
        <w:rPr>
          <w:noProof/>
        </w:rPr>
        <w:t>, 2018, doi: 10.1038/s41467-018-03310-z.</w:t>
      </w:r>
    </w:p>
    <w:p w14:paraId="464D4D92" w14:textId="77777777" w:rsidR="00163A6C" w:rsidRPr="00163A6C" w:rsidRDefault="00163A6C" w:rsidP="00163A6C">
      <w:pPr>
        <w:widowControl w:val="0"/>
        <w:autoSpaceDE w:val="0"/>
        <w:autoSpaceDN w:val="0"/>
        <w:adjustRightInd w:val="0"/>
        <w:ind w:left="640" w:hanging="640"/>
        <w:rPr>
          <w:noProof/>
        </w:rPr>
      </w:pPr>
      <w:r w:rsidRPr="00163A6C">
        <w:rPr>
          <w:noProof/>
        </w:rPr>
        <w:t>[54]</w:t>
      </w:r>
      <w:r w:rsidRPr="00163A6C">
        <w:rPr>
          <w:noProof/>
        </w:rPr>
        <w:tab/>
        <w:t xml:space="preserve">P. Radivojac, N. V. Chawla, A. K. Dunker, and Z. Obradovic, “Classification and knowledge discovery in protein databases,” </w:t>
      </w:r>
      <w:r w:rsidRPr="00163A6C">
        <w:rPr>
          <w:i/>
          <w:iCs/>
          <w:noProof/>
        </w:rPr>
        <w:t>J. Biomed. Inform.</w:t>
      </w:r>
      <w:r w:rsidRPr="00163A6C">
        <w:rPr>
          <w:noProof/>
        </w:rPr>
        <w:t>, 2004, doi: 10.1016/j.jbi.2004.07.008.</w:t>
      </w:r>
    </w:p>
    <w:p w14:paraId="1EA5B7C7" w14:textId="77777777" w:rsidR="00163A6C" w:rsidRPr="00163A6C" w:rsidRDefault="00163A6C" w:rsidP="00163A6C">
      <w:pPr>
        <w:widowControl w:val="0"/>
        <w:autoSpaceDE w:val="0"/>
        <w:autoSpaceDN w:val="0"/>
        <w:adjustRightInd w:val="0"/>
        <w:ind w:left="640" w:hanging="640"/>
        <w:rPr>
          <w:noProof/>
        </w:rPr>
      </w:pPr>
      <w:r w:rsidRPr="00163A6C">
        <w:rPr>
          <w:noProof/>
        </w:rPr>
        <w:t>[55]</w:t>
      </w:r>
      <w:r w:rsidRPr="00163A6C">
        <w:rPr>
          <w:noProof/>
        </w:rPr>
        <w:tab/>
        <w:t xml:space="preserve">T. Shaikhina and N. A. Khovanova, “Handling limited datasets with neural networks in medical applications: A small-data approach,” </w:t>
      </w:r>
      <w:r w:rsidRPr="00163A6C">
        <w:rPr>
          <w:i/>
          <w:iCs/>
          <w:noProof/>
        </w:rPr>
        <w:t>Artif. Intell. Med.</w:t>
      </w:r>
      <w:r w:rsidRPr="00163A6C">
        <w:rPr>
          <w:noProof/>
        </w:rPr>
        <w:t>, 2017, doi: 10.1016/j.artmed.2016.12.003.</w:t>
      </w:r>
    </w:p>
    <w:p w14:paraId="568809AF"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[56]</w:t>
      </w:r>
      <w:r w:rsidRPr="00163A6C">
        <w:rPr>
          <w:noProof/>
        </w:rPr>
        <w:tab/>
        <w:t xml:space="preserve">G. Varoquaux, “Cross-validation failure: Small sample sizes lead to large error bars,” </w:t>
      </w:r>
      <w:r w:rsidRPr="00163A6C">
        <w:rPr>
          <w:i/>
          <w:iCs/>
          <w:noProof/>
        </w:rPr>
        <w:t>NeuroImage</w:t>
      </w:r>
      <w:r w:rsidRPr="00163A6C">
        <w:rPr>
          <w:noProof/>
        </w:rPr>
        <w:t>. 2018, doi: 10.1016/j.neuroimage.2017.06.061.</w:t>
      </w:r>
    </w:p>
    <w:p w14:paraId="3BE867D9" w14:textId="77777777" w:rsidR="00163A6C" w:rsidRPr="00163A6C" w:rsidRDefault="00163A6C" w:rsidP="00163A6C">
      <w:pPr>
        <w:widowControl w:val="0"/>
        <w:autoSpaceDE w:val="0"/>
        <w:autoSpaceDN w:val="0"/>
        <w:adjustRightInd w:val="0"/>
        <w:ind w:left="640" w:hanging="640"/>
        <w:rPr>
          <w:noProof/>
        </w:rPr>
      </w:pPr>
      <w:r w:rsidRPr="00163A6C">
        <w:rPr>
          <w:noProof/>
        </w:rPr>
        <w:t>[57]</w:t>
      </w:r>
      <w:r w:rsidRPr="00163A6C">
        <w:rPr>
          <w:noProof/>
        </w:rPr>
        <w:tab/>
        <w:t xml:space="preserve">A. Ben-Hur, C. S. Ong, S. Sonnenburg, B. Schölkopf, and G. Rätsch, “Support vector machines and kernels for computational biology,” </w:t>
      </w:r>
      <w:r w:rsidRPr="00163A6C">
        <w:rPr>
          <w:i/>
          <w:iCs/>
          <w:noProof/>
        </w:rPr>
        <w:t>PLoS Comput. Biol.</w:t>
      </w:r>
      <w:r w:rsidRPr="00163A6C">
        <w:rPr>
          <w:noProof/>
        </w:rPr>
        <w:t>, 2008, doi: 10.1371/journal.pcbi.1000173.</w:t>
      </w:r>
    </w:p>
    <w:p w14:paraId="5DE4D189" w14:textId="77777777" w:rsidR="00163A6C" w:rsidRPr="00163A6C" w:rsidRDefault="00163A6C" w:rsidP="00163A6C">
      <w:pPr>
        <w:widowControl w:val="0"/>
        <w:autoSpaceDE w:val="0"/>
        <w:autoSpaceDN w:val="0"/>
        <w:adjustRightInd w:val="0"/>
        <w:ind w:left="640" w:hanging="640"/>
        <w:rPr>
          <w:noProof/>
        </w:rPr>
      </w:pPr>
      <w:r w:rsidRPr="00163A6C">
        <w:rPr>
          <w:noProof/>
        </w:rPr>
        <w:t>[58]</w:t>
      </w:r>
      <w:r w:rsidRPr="00163A6C">
        <w:rPr>
          <w:noProof/>
        </w:rPr>
        <w:tab/>
        <w:t>P. Kuksa, P. H. Huang, and V. Pavlovic, “A fast, large-scale learning method for protein sequence classification,” 2008.</w:t>
      </w:r>
    </w:p>
    <w:p w14:paraId="2E476F94" w14:textId="77777777" w:rsidR="00163A6C" w:rsidRPr="00163A6C" w:rsidRDefault="00163A6C" w:rsidP="00163A6C">
      <w:pPr>
        <w:widowControl w:val="0"/>
        <w:autoSpaceDE w:val="0"/>
        <w:autoSpaceDN w:val="0"/>
        <w:adjustRightInd w:val="0"/>
        <w:ind w:left="640" w:hanging="640"/>
        <w:rPr>
          <w:noProof/>
        </w:rPr>
      </w:pPr>
      <w:r w:rsidRPr="00163A6C">
        <w:rPr>
          <w:noProof/>
        </w:rPr>
        <w:t>[59]</w:t>
      </w:r>
      <w:r w:rsidRPr="00163A6C">
        <w:rPr>
          <w:noProof/>
        </w:rPr>
        <w:tab/>
        <w:t xml:space="preserve">M. Bhasin and G. P. S. Raghava, “Classification of nuclear receptors based on amino acid composition and dipeptide composition,” </w:t>
      </w:r>
      <w:r w:rsidRPr="00163A6C">
        <w:rPr>
          <w:i/>
          <w:iCs/>
          <w:noProof/>
        </w:rPr>
        <w:t>J. Biol. Chem.</w:t>
      </w:r>
      <w:r w:rsidRPr="00163A6C">
        <w:rPr>
          <w:noProof/>
        </w:rPr>
        <w:t>, 2004, doi: 10.1074/jbc.M401932200.</w:t>
      </w:r>
    </w:p>
    <w:p w14:paraId="05904F72" w14:textId="77777777" w:rsidR="00163A6C" w:rsidRPr="00163A6C" w:rsidRDefault="00163A6C" w:rsidP="00163A6C">
      <w:pPr>
        <w:widowControl w:val="0"/>
        <w:autoSpaceDE w:val="0"/>
        <w:autoSpaceDN w:val="0"/>
        <w:adjustRightInd w:val="0"/>
        <w:ind w:left="640" w:hanging="640"/>
        <w:rPr>
          <w:noProof/>
        </w:rPr>
      </w:pPr>
      <w:r w:rsidRPr="00163A6C">
        <w:rPr>
          <w:noProof/>
        </w:rPr>
        <w:t>[60]</w:t>
      </w:r>
      <w:r w:rsidRPr="00163A6C">
        <w:rPr>
          <w:noProof/>
        </w:rPr>
        <w:tab/>
        <w:t xml:space="preserve">K. Chen, L. Kurgan, and M. Rahbari, “Prediction of protein crystallization using collocation of amino acid pairs,” </w:t>
      </w:r>
      <w:r w:rsidRPr="00163A6C">
        <w:rPr>
          <w:i/>
          <w:iCs/>
          <w:noProof/>
        </w:rPr>
        <w:t>Biochem. Biophys. Res. Commun.</w:t>
      </w:r>
      <w:r w:rsidRPr="00163A6C">
        <w:rPr>
          <w:noProof/>
        </w:rPr>
        <w:t>, 2007, doi: 10.1016/j.bbrc.2007.02.040.</w:t>
      </w:r>
    </w:p>
    <w:p w14:paraId="0C447141" w14:textId="77777777" w:rsidR="00163A6C" w:rsidRPr="00163A6C" w:rsidRDefault="00163A6C" w:rsidP="00163A6C">
      <w:pPr>
        <w:widowControl w:val="0"/>
        <w:autoSpaceDE w:val="0"/>
        <w:autoSpaceDN w:val="0"/>
        <w:adjustRightInd w:val="0"/>
        <w:ind w:left="640" w:hanging="640"/>
        <w:rPr>
          <w:noProof/>
        </w:rPr>
      </w:pPr>
      <w:r w:rsidRPr="00163A6C">
        <w:rPr>
          <w:noProof/>
        </w:rPr>
        <w:t>[61]</w:t>
      </w:r>
      <w:r w:rsidRPr="00163A6C">
        <w:rPr>
          <w:noProof/>
        </w:rPr>
        <w:tab/>
        <w:t xml:space="preserve">V. Saravanan and N. Gautham, “Harnessing computational biology for exact linear B-cell epitope prediction: A novel amino acid composition-based feature descriptor,” </w:t>
      </w:r>
      <w:r w:rsidRPr="00163A6C">
        <w:rPr>
          <w:i/>
          <w:iCs/>
          <w:noProof/>
        </w:rPr>
        <w:t>Omi. A J. Integr. Biol.</w:t>
      </w:r>
      <w:r w:rsidRPr="00163A6C">
        <w:rPr>
          <w:noProof/>
        </w:rPr>
        <w:t>, 2015, doi: 10.1089/omi.2015.0095.</w:t>
      </w:r>
    </w:p>
    <w:p w14:paraId="38B97DDD" w14:textId="77777777" w:rsidR="00163A6C" w:rsidRPr="00163A6C" w:rsidRDefault="00163A6C" w:rsidP="00163A6C">
      <w:pPr>
        <w:widowControl w:val="0"/>
        <w:autoSpaceDE w:val="0"/>
        <w:autoSpaceDN w:val="0"/>
        <w:adjustRightInd w:val="0"/>
        <w:ind w:left="640" w:hanging="640"/>
        <w:rPr>
          <w:noProof/>
        </w:rPr>
      </w:pPr>
      <w:r w:rsidRPr="00163A6C">
        <w:rPr>
          <w:noProof/>
        </w:rPr>
        <w:t>[62]</w:t>
      </w:r>
      <w:r w:rsidRPr="00163A6C">
        <w:rPr>
          <w:noProof/>
        </w:rPr>
        <w:tab/>
        <w:t xml:space="preserve">T. Y. Lee, Z. Q. Lin, S. J. Hsieh, N. A. Bretaña, and C. T. Lu, “Exploiting maximal dependence decomposition to identify conserved motifs from a group of aligned signal sequences,” </w:t>
      </w:r>
      <w:r w:rsidRPr="00163A6C">
        <w:rPr>
          <w:i/>
          <w:iCs/>
          <w:noProof/>
        </w:rPr>
        <w:t>Bioinformatics</w:t>
      </w:r>
      <w:r w:rsidRPr="00163A6C">
        <w:rPr>
          <w:noProof/>
        </w:rPr>
        <w:t>, 2011, doi: 10.1093/bioinformatics/btr291.</w:t>
      </w:r>
    </w:p>
    <w:p w14:paraId="3F1E6A6A" w14:textId="77777777" w:rsidR="00163A6C" w:rsidRPr="00163A6C" w:rsidRDefault="00163A6C" w:rsidP="00163A6C">
      <w:pPr>
        <w:widowControl w:val="0"/>
        <w:autoSpaceDE w:val="0"/>
        <w:autoSpaceDN w:val="0"/>
        <w:adjustRightInd w:val="0"/>
        <w:ind w:left="640" w:hanging="640"/>
        <w:rPr>
          <w:noProof/>
        </w:rPr>
      </w:pPr>
      <w:r w:rsidRPr="00163A6C">
        <w:rPr>
          <w:noProof/>
        </w:rPr>
        <w:t>[63]</w:t>
      </w:r>
      <w:r w:rsidRPr="00163A6C">
        <w:rPr>
          <w:noProof/>
        </w:rPr>
        <w:tab/>
        <w:t xml:space="preserve">Z. Chen </w:t>
      </w:r>
      <w:r w:rsidRPr="00163A6C">
        <w:rPr>
          <w:i/>
          <w:iCs/>
          <w:noProof/>
        </w:rPr>
        <w:t>et al.</w:t>
      </w:r>
      <w:r w:rsidRPr="00163A6C">
        <w:rPr>
          <w:noProof/>
        </w:rPr>
        <w:t xml:space="preserve">, “IFeature: A Python package and web server for features extraction and selection from protein and peptide sequences,” </w:t>
      </w:r>
      <w:r w:rsidRPr="00163A6C">
        <w:rPr>
          <w:i/>
          <w:iCs/>
          <w:noProof/>
        </w:rPr>
        <w:t>Bioinformatics</w:t>
      </w:r>
      <w:r w:rsidRPr="00163A6C">
        <w:rPr>
          <w:noProof/>
        </w:rPr>
        <w:t>, 2018, doi: 10.1093/bioinformatics/bty140.</w:t>
      </w:r>
    </w:p>
    <w:p w14:paraId="0CE54A44" w14:textId="77777777" w:rsidR="00163A6C" w:rsidRPr="00163A6C" w:rsidRDefault="00163A6C" w:rsidP="00163A6C">
      <w:pPr>
        <w:widowControl w:val="0"/>
        <w:autoSpaceDE w:val="0"/>
        <w:autoSpaceDN w:val="0"/>
        <w:adjustRightInd w:val="0"/>
        <w:ind w:left="640" w:hanging="640"/>
        <w:rPr>
          <w:noProof/>
        </w:rPr>
      </w:pPr>
      <w:r w:rsidRPr="00163A6C">
        <w:rPr>
          <w:noProof/>
        </w:rPr>
        <w:t>[64]</w:t>
      </w:r>
      <w:r w:rsidRPr="00163A6C">
        <w:rPr>
          <w:noProof/>
        </w:rPr>
        <w:tab/>
        <w:t xml:space="preserve">Z. P. Feng and C. T. Zhang, “Prediction of membrane protein types based on the hydrophobic index of amino acids,” </w:t>
      </w:r>
      <w:r w:rsidRPr="00163A6C">
        <w:rPr>
          <w:i/>
          <w:iCs/>
          <w:noProof/>
        </w:rPr>
        <w:t>J. Protein Chem.</w:t>
      </w:r>
      <w:r w:rsidRPr="00163A6C">
        <w:rPr>
          <w:noProof/>
        </w:rPr>
        <w:t>, 2000, doi: 10.1023/A:1007091128394.</w:t>
      </w:r>
    </w:p>
    <w:p w14:paraId="535EB971" w14:textId="77777777" w:rsidR="00163A6C" w:rsidRPr="00163A6C" w:rsidRDefault="00163A6C" w:rsidP="00163A6C">
      <w:pPr>
        <w:widowControl w:val="0"/>
        <w:autoSpaceDE w:val="0"/>
        <w:autoSpaceDN w:val="0"/>
        <w:adjustRightInd w:val="0"/>
        <w:ind w:left="640" w:hanging="640"/>
        <w:rPr>
          <w:noProof/>
        </w:rPr>
      </w:pPr>
      <w:r w:rsidRPr="00163A6C">
        <w:rPr>
          <w:noProof/>
        </w:rPr>
        <w:t>[65]</w:t>
      </w:r>
      <w:r w:rsidRPr="00163A6C">
        <w:rPr>
          <w:noProof/>
        </w:rPr>
        <w:tab/>
        <w:t xml:space="preserve">R. R. Sokal and B. A. Thomson, “Population structure inferred by local spatial autocorrelation: An example from an Amerindian tribal population,” </w:t>
      </w:r>
      <w:r w:rsidRPr="00163A6C">
        <w:rPr>
          <w:i/>
          <w:iCs/>
          <w:noProof/>
        </w:rPr>
        <w:t>Am. J. Phys. Anthropol.</w:t>
      </w:r>
      <w:r w:rsidRPr="00163A6C">
        <w:rPr>
          <w:noProof/>
        </w:rPr>
        <w:t>, 2006, doi: 10.1002/ajpa.20250.</w:t>
      </w:r>
    </w:p>
    <w:p w14:paraId="73FCFA5E" w14:textId="77777777" w:rsidR="00163A6C" w:rsidRPr="00163A6C" w:rsidRDefault="00163A6C" w:rsidP="00163A6C">
      <w:pPr>
        <w:widowControl w:val="0"/>
        <w:autoSpaceDE w:val="0"/>
        <w:autoSpaceDN w:val="0"/>
        <w:adjustRightInd w:val="0"/>
        <w:ind w:left="640" w:hanging="640"/>
        <w:rPr>
          <w:noProof/>
        </w:rPr>
      </w:pPr>
      <w:r w:rsidRPr="00163A6C">
        <w:rPr>
          <w:noProof/>
        </w:rPr>
        <w:t>[66]</w:t>
      </w:r>
      <w:r w:rsidRPr="00163A6C">
        <w:rPr>
          <w:noProof/>
        </w:rPr>
        <w:tab/>
        <w:t xml:space="preserve">D. S. Horne, “Prediction of protein helix content from an autocorrelation analysis of sequence hydrophobicities,” </w:t>
      </w:r>
      <w:r w:rsidRPr="00163A6C">
        <w:rPr>
          <w:i/>
          <w:iCs/>
          <w:noProof/>
        </w:rPr>
        <w:t>Biopolymers</w:t>
      </w:r>
      <w:r w:rsidRPr="00163A6C">
        <w:rPr>
          <w:noProof/>
        </w:rPr>
        <w:t>, 1988, doi: 10.1002/bip.360270308.</w:t>
      </w:r>
    </w:p>
    <w:p w14:paraId="4B1DCB94" w14:textId="77777777" w:rsidR="00163A6C" w:rsidRPr="00163A6C" w:rsidRDefault="00163A6C" w:rsidP="00163A6C">
      <w:pPr>
        <w:widowControl w:val="0"/>
        <w:autoSpaceDE w:val="0"/>
        <w:autoSpaceDN w:val="0"/>
        <w:adjustRightInd w:val="0"/>
        <w:ind w:left="640" w:hanging="640"/>
        <w:rPr>
          <w:noProof/>
        </w:rPr>
      </w:pPr>
      <w:r w:rsidRPr="00163A6C">
        <w:rPr>
          <w:noProof/>
        </w:rPr>
        <w:t>[67]</w:t>
      </w:r>
      <w:r w:rsidRPr="00163A6C">
        <w:rPr>
          <w:noProof/>
        </w:rPr>
        <w:tab/>
        <w:t xml:space="preserve">C. Z. Cai, L. Y. Han, Z. L. Ji, X. Chen, and Y. Z. Chen, “SVM-Prot: Web-based support vector machine software for functional classification of a protein from its primary sequence,” </w:t>
      </w:r>
      <w:r w:rsidRPr="00163A6C">
        <w:rPr>
          <w:i/>
          <w:iCs/>
          <w:noProof/>
        </w:rPr>
        <w:t>Nucleic Acids Res.</w:t>
      </w:r>
      <w:r w:rsidRPr="00163A6C">
        <w:rPr>
          <w:noProof/>
        </w:rPr>
        <w:t>, 2003, doi: 10.1093/nar/gkg600.</w:t>
      </w:r>
    </w:p>
    <w:p w14:paraId="5117C81A" w14:textId="77777777" w:rsidR="00163A6C" w:rsidRPr="00163A6C" w:rsidRDefault="00163A6C" w:rsidP="00163A6C">
      <w:pPr>
        <w:widowControl w:val="0"/>
        <w:autoSpaceDE w:val="0"/>
        <w:autoSpaceDN w:val="0"/>
        <w:adjustRightInd w:val="0"/>
        <w:ind w:left="640" w:hanging="640"/>
        <w:rPr>
          <w:noProof/>
        </w:rPr>
      </w:pPr>
      <w:r w:rsidRPr="00163A6C">
        <w:rPr>
          <w:noProof/>
        </w:rPr>
        <w:t>[68]</w:t>
      </w:r>
      <w:r w:rsidRPr="00163A6C">
        <w:rPr>
          <w:noProof/>
        </w:rPr>
        <w:tab/>
        <w:t xml:space="preserve">I. Dubchak, I. Muchnik, S. R. Holbrook, and S. H. Kim, “Prediction of protein folding class using global description of amino acid sequence,” </w:t>
      </w:r>
      <w:r w:rsidRPr="00163A6C">
        <w:rPr>
          <w:i/>
          <w:iCs/>
          <w:noProof/>
        </w:rPr>
        <w:t>Proc. Natl. Acad. Sci. U. S. A.</w:t>
      </w:r>
      <w:r w:rsidRPr="00163A6C">
        <w:rPr>
          <w:noProof/>
        </w:rPr>
        <w:t>, 1995, doi: 10.1073/pnas.92.19.8700.</w:t>
      </w:r>
    </w:p>
    <w:p w14:paraId="18647766" w14:textId="77777777" w:rsidR="00163A6C" w:rsidRPr="00163A6C" w:rsidRDefault="00163A6C" w:rsidP="00163A6C">
      <w:pPr>
        <w:widowControl w:val="0"/>
        <w:autoSpaceDE w:val="0"/>
        <w:autoSpaceDN w:val="0"/>
        <w:adjustRightInd w:val="0"/>
        <w:ind w:left="640" w:hanging="640"/>
        <w:rPr>
          <w:noProof/>
        </w:rPr>
      </w:pPr>
      <w:r w:rsidRPr="00163A6C">
        <w:rPr>
          <w:noProof/>
        </w:rPr>
        <w:t>[69]</w:t>
      </w:r>
      <w:r w:rsidRPr="00163A6C">
        <w:rPr>
          <w:noProof/>
        </w:rPr>
        <w:tab/>
        <w:t xml:space="preserve">L. Y. Han, C. Z. Cai, S. L. Lo, M. C. M. Chung, and Y. Z. Chen, “Prediction of RNA-binding proteins from primary sequence by a support vector machine approach,” </w:t>
      </w:r>
      <w:r w:rsidRPr="00163A6C">
        <w:rPr>
          <w:i/>
          <w:iCs/>
          <w:noProof/>
        </w:rPr>
        <w:t>RNA</w:t>
      </w:r>
      <w:r w:rsidRPr="00163A6C">
        <w:rPr>
          <w:noProof/>
        </w:rPr>
        <w:t>, 2004, doi: 10.1261/rna.5890304.</w:t>
      </w:r>
    </w:p>
    <w:p w14:paraId="61453162" w14:textId="77777777" w:rsidR="00163A6C" w:rsidRPr="00163A6C" w:rsidRDefault="00163A6C" w:rsidP="00163A6C">
      <w:pPr>
        <w:widowControl w:val="0"/>
        <w:autoSpaceDE w:val="0"/>
        <w:autoSpaceDN w:val="0"/>
        <w:adjustRightInd w:val="0"/>
        <w:ind w:left="640" w:hanging="640"/>
        <w:rPr>
          <w:noProof/>
        </w:rPr>
      </w:pPr>
      <w:r w:rsidRPr="00163A6C">
        <w:rPr>
          <w:noProof/>
        </w:rPr>
        <w:t>[70]</w:t>
      </w:r>
      <w:r w:rsidRPr="00163A6C">
        <w:rPr>
          <w:noProof/>
        </w:rPr>
        <w:tab/>
        <w:t xml:space="preserve">J. Shen </w:t>
      </w:r>
      <w:r w:rsidRPr="00163A6C">
        <w:rPr>
          <w:i/>
          <w:iCs/>
          <w:noProof/>
        </w:rPr>
        <w:t>et al.</w:t>
      </w:r>
      <w:r w:rsidRPr="00163A6C">
        <w:rPr>
          <w:noProof/>
        </w:rPr>
        <w:t xml:space="preserve">, “Predicting protein-protein interactions based only on sequences information,” </w:t>
      </w:r>
      <w:r w:rsidRPr="00163A6C">
        <w:rPr>
          <w:i/>
          <w:iCs/>
          <w:noProof/>
        </w:rPr>
        <w:t>Proc. Natl. Acad. Sci. U. S. A.</w:t>
      </w:r>
      <w:r w:rsidRPr="00163A6C">
        <w:rPr>
          <w:noProof/>
        </w:rPr>
        <w:t>, 2007, doi: 10.1073/pnas.0607879104.</w:t>
      </w:r>
    </w:p>
    <w:p w14:paraId="368478AF" w14:textId="77777777" w:rsidR="00163A6C" w:rsidRPr="00163A6C" w:rsidRDefault="00163A6C" w:rsidP="00163A6C">
      <w:pPr>
        <w:widowControl w:val="0"/>
        <w:autoSpaceDE w:val="0"/>
        <w:autoSpaceDN w:val="0"/>
        <w:adjustRightInd w:val="0"/>
        <w:ind w:left="640" w:hanging="640"/>
        <w:rPr>
          <w:noProof/>
        </w:rPr>
      </w:pPr>
      <w:r w:rsidRPr="00163A6C">
        <w:rPr>
          <w:noProof/>
        </w:rPr>
        <w:t>[71]</w:t>
      </w:r>
      <w:r w:rsidRPr="00163A6C">
        <w:rPr>
          <w:noProof/>
        </w:rPr>
        <w:tab/>
        <w:t xml:space="preserve">K. C. Chou, “Prediction of protein cellular attributes using pseudo-amino acid composition,” </w:t>
      </w:r>
      <w:r w:rsidRPr="00163A6C">
        <w:rPr>
          <w:i/>
          <w:iCs/>
          <w:noProof/>
        </w:rPr>
        <w:t>Proteins Struct. Funct. Genet.</w:t>
      </w:r>
      <w:r w:rsidRPr="00163A6C">
        <w:rPr>
          <w:noProof/>
        </w:rPr>
        <w:t>, 2001, doi: 10.1002/prot.1035.</w:t>
      </w:r>
    </w:p>
    <w:p w14:paraId="1316A3A0" w14:textId="77777777" w:rsidR="00163A6C" w:rsidRPr="00163A6C" w:rsidRDefault="00163A6C" w:rsidP="00163A6C">
      <w:pPr>
        <w:widowControl w:val="0"/>
        <w:autoSpaceDE w:val="0"/>
        <w:autoSpaceDN w:val="0"/>
        <w:adjustRightInd w:val="0"/>
        <w:ind w:left="640" w:hanging="640"/>
        <w:rPr>
          <w:noProof/>
        </w:rPr>
      </w:pPr>
      <w:r w:rsidRPr="00163A6C">
        <w:rPr>
          <w:noProof/>
        </w:rPr>
        <w:t>[72]</w:t>
      </w:r>
      <w:r w:rsidRPr="00163A6C">
        <w:rPr>
          <w:noProof/>
        </w:rPr>
        <w:tab/>
        <w:t xml:space="preserve">T. Liu, X. Zheng, and J. Wang, “Prediction of protein structural class for low-similarity sequences using support vector machine and PSI-BLAST profile,” </w:t>
      </w:r>
      <w:r w:rsidRPr="00163A6C">
        <w:rPr>
          <w:i/>
          <w:iCs/>
          <w:noProof/>
        </w:rPr>
        <w:t>Biochimie</w:t>
      </w:r>
      <w:r w:rsidRPr="00163A6C">
        <w:rPr>
          <w:noProof/>
        </w:rPr>
        <w:t>, 2010, doi: 10.1016/j.biochi.2010.06.013.</w:t>
      </w:r>
    </w:p>
    <w:p w14:paraId="668FE0A1"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[73]</w:t>
      </w:r>
      <w:r w:rsidRPr="00163A6C">
        <w:rPr>
          <w:noProof/>
        </w:rPr>
        <w:tab/>
        <w:t xml:space="preserve">T. Liu, X. Geng, X. Zheng, R. Li, and J. Wang, “Accurate prediction of protein structural class using auto covariance transformation of PSI-BLAST profiles,” </w:t>
      </w:r>
      <w:r w:rsidRPr="00163A6C">
        <w:rPr>
          <w:i/>
          <w:iCs/>
          <w:noProof/>
        </w:rPr>
        <w:t>Amino Acids</w:t>
      </w:r>
      <w:r w:rsidRPr="00163A6C">
        <w:rPr>
          <w:noProof/>
        </w:rPr>
        <w:t>, 2012, doi: 10.1007/s00726-011-0964-5.</w:t>
      </w:r>
    </w:p>
    <w:p w14:paraId="38A96079" w14:textId="77777777" w:rsidR="00163A6C" w:rsidRPr="00163A6C" w:rsidRDefault="00163A6C" w:rsidP="00163A6C">
      <w:pPr>
        <w:widowControl w:val="0"/>
        <w:autoSpaceDE w:val="0"/>
        <w:autoSpaceDN w:val="0"/>
        <w:adjustRightInd w:val="0"/>
        <w:ind w:left="640" w:hanging="640"/>
        <w:rPr>
          <w:noProof/>
        </w:rPr>
      </w:pPr>
      <w:r w:rsidRPr="00163A6C">
        <w:rPr>
          <w:noProof/>
        </w:rPr>
        <w:t>[74]</w:t>
      </w:r>
      <w:r w:rsidRPr="00163A6C">
        <w:rPr>
          <w:noProof/>
        </w:rPr>
        <w:tab/>
        <w:t xml:space="preserve">Y. Guo, L. Yu, Z. Wen, and M. Li, “Using support vector machine combined with auto covariance to predict protein-protein interactions from protein sequences,” </w:t>
      </w:r>
      <w:r w:rsidRPr="00163A6C">
        <w:rPr>
          <w:i/>
          <w:iCs/>
          <w:noProof/>
        </w:rPr>
        <w:t>Nucleic Acids Res.</w:t>
      </w:r>
      <w:r w:rsidRPr="00163A6C">
        <w:rPr>
          <w:noProof/>
        </w:rPr>
        <w:t>, 2008, doi: 10.1093/nar/gkn159.</w:t>
      </w:r>
    </w:p>
    <w:p w14:paraId="54E6CF95" w14:textId="77777777" w:rsidR="00163A6C" w:rsidRPr="00163A6C" w:rsidRDefault="00163A6C" w:rsidP="00163A6C">
      <w:pPr>
        <w:widowControl w:val="0"/>
        <w:autoSpaceDE w:val="0"/>
        <w:autoSpaceDN w:val="0"/>
        <w:adjustRightInd w:val="0"/>
        <w:ind w:left="640" w:hanging="640"/>
        <w:rPr>
          <w:noProof/>
        </w:rPr>
      </w:pPr>
      <w:r w:rsidRPr="00163A6C">
        <w:rPr>
          <w:noProof/>
        </w:rPr>
        <w:t>[75]</w:t>
      </w:r>
      <w:r w:rsidRPr="00163A6C">
        <w:rPr>
          <w:noProof/>
        </w:rPr>
        <w:tab/>
        <w:t xml:space="preserve">S. Ding, Y. Li, Z. Shi, and S. Yan, “A protein structural classes prediction method based on predicted secondary structure and PSI-BLAST profile,” </w:t>
      </w:r>
      <w:r w:rsidRPr="00163A6C">
        <w:rPr>
          <w:i/>
          <w:iCs/>
          <w:noProof/>
        </w:rPr>
        <w:t>Biochimie</w:t>
      </w:r>
      <w:r w:rsidRPr="00163A6C">
        <w:rPr>
          <w:noProof/>
        </w:rPr>
        <w:t>, 2014, doi: 10.1016/j.biochi.2013.09.013.</w:t>
      </w:r>
    </w:p>
    <w:p w14:paraId="35B667DD" w14:textId="77777777" w:rsidR="00163A6C" w:rsidRPr="00163A6C" w:rsidRDefault="00163A6C" w:rsidP="00163A6C">
      <w:pPr>
        <w:widowControl w:val="0"/>
        <w:autoSpaceDE w:val="0"/>
        <w:autoSpaceDN w:val="0"/>
        <w:adjustRightInd w:val="0"/>
        <w:ind w:left="640" w:hanging="640"/>
        <w:rPr>
          <w:noProof/>
        </w:rPr>
      </w:pPr>
      <w:r w:rsidRPr="00163A6C">
        <w:rPr>
          <w:noProof/>
        </w:rPr>
        <w:t>[76]</w:t>
      </w:r>
      <w:r w:rsidRPr="00163A6C">
        <w:rPr>
          <w:noProof/>
        </w:rPr>
        <w:tab/>
        <w:t xml:space="preserve">P. Tao, T. Liu, X. Li, and L. Chen, “Prediction of protein structural class using tri-gram probabilities of position-specific scoring matrix and recursive feature elimination,” </w:t>
      </w:r>
      <w:r w:rsidRPr="00163A6C">
        <w:rPr>
          <w:i/>
          <w:iCs/>
          <w:noProof/>
        </w:rPr>
        <w:t>Amino Acids</w:t>
      </w:r>
      <w:r w:rsidRPr="00163A6C">
        <w:rPr>
          <w:noProof/>
        </w:rPr>
        <w:t>, 2015, doi: 10.1007/s00726-014-1878-9.</w:t>
      </w:r>
    </w:p>
    <w:p w14:paraId="31BB4FDE" w14:textId="77777777" w:rsidR="00163A6C" w:rsidRPr="00163A6C" w:rsidRDefault="00163A6C" w:rsidP="00163A6C">
      <w:pPr>
        <w:widowControl w:val="0"/>
        <w:autoSpaceDE w:val="0"/>
        <w:autoSpaceDN w:val="0"/>
        <w:adjustRightInd w:val="0"/>
        <w:ind w:left="640" w:hanging="640"/>
        <w:rPr>
          <w:noProof/>
        </w:rPr>
      </w:pPr>
      <w:r w:rsidRPr="00163A6C">
        <w:rPr>
          <w:noProof/>
        </w:rPr>
        <w:t>[77]</w:t>
      </w:r>
      <w:r w:rsidRPr="00163A6C">
        <w:rPr>
          <w:noProof/>
        </w:rPr>
        <w:tab/>
        <w:t xml:space="preserve">L. Zhang, X. Zhao, and L. Kong, “Predict protein structural class for low-similarity sequences by evolutionary difference information into the general form of Chou[U+05F3]s pseudo amino acid composition,” </w:t>
      </w:r>
      <w:r w:rsidRPr="00163A6C">
        <w:rPr>
          <w:i/>
          <w:iCs/>
          <w:noProof/>
        </w:rPr>
        <w:t>J. Theor. Biol.</w:t>
      </w:r>
      <w:r w:rsidRPr="00163A6C">
        <w:rPr>
          <w:noProof/>
        </w:rPr>
        <w:t>, 2014, doi: 10.1016/j.jtbi.2014.04.008.</w:t>
      </w:r>
    </w:p>
    <w:p w14:paraId="79F3D588" w14:textId="77777777" w:rsidR="00163A6C" w:rsidRPr="00163A6C" w:rsidRDefault="00163A6C" w:rsidP="00163A6C">
      <w:pPr>
        <w:widowControl w:val="0"/>
        <w:autoSpaceDE w:val="0"/>
        <w:autoSpaceDN w:val="0"/>
        <w:adjustRightInd w:val="0"/>
        <w:ind w:left="640" w:hanging="640"/>
        <w:rPr>
          <w:noProof/>
        </w:rPr>
      </w:pPr>
      <w:r w:rsidRPr="00163A6C">
        <w:rPr>
          <w:noProof/>
        </w:rPr>
        <w:t>[78]</w:t>
      </w:r>
      <w:r w:rsidRPr="00163A6C">
        <w:rPr>
          <w:noProof/>
        </w:rPr>
        <w:tab/>
        <w:t xml:space="preserve">S. Zhang, F. Ye, and X. Yuan, “Using principal component analysis and support vector machine to predict protein structural class for low-similarity sequences via PSSM,” </w:t>
      </w:r>
      <w:r w:rsidRPr="00163A6C">
        <w:rPr>
          <w:i/>
          <w:iCs/>
          <w:noProof/>
        </w:rPr>
        <w:t>J. Biomol. Struct. Dyn.</w:t>
      </w:r>
      <w:r w:rsidRPr="00163A6C">
        <w:rPr>
          <w:noProof/>
        </w:rPr>
        <w:t>, 2012, doi: 10.1080/07391102.2011.672627.</w:t>
      </w:r>
    </w:p>
    <w:p w14:paraId="1A53B31A" w14:textId="77777777" w:rsidR="00163A6C" w:rsidRPr="00163A6C" w:rsidRDefault="00163A6C" w:rsidP="00163A6C">
      <w:pPr>
        <w:widowControl w:val="0"/>
        <w:autoSpaceDE w:val="0"/>
        <w:autoSpaceDN w:val="0"/>
        <w:adjustRightInd w:val="0"/>
        <w:ind w:left="640" w:hanging="640"/>
        <w:rPr>
          <w:noProof/>
        </w:rPr>
      </w:pPr>
      <w:r w:rsidRPr="00163A6C">
        <w:rPr>
          <w:noProof/>
        </w:rPr>
        <w:t>[79]</w:t>
      </w:r>
      <w:r w:rsidRPr="00163A6C">
        <w:rPr>
          <w:noProof/>
        </w:rPr>
        <w:tab/>
        <w:t xml:space="preserve">H. Saini, G. Raicar, S. Lal, A. Dehzangi, S. Imoto, and A. Sharma, “Protein Fold Recognition Using Genetic Algorithm Optimized Voting Scheme and Profile Bigram,” </w:t>
      </w:r>
      <w:r w:rsidRPr="00163A6C">
        <w:rPr>
          <w:i/>
          <w:iCs/>
          <w:noProof/>
        </w:rPr>
        <w:t>J. Softw.</w:t>
      </w:r>
      <w:r w:rsidRPr="00163A6C">
        <w:rPr>
          <w:noProof/>
        </w:rPr>
        <w:t>, 2016, doi: 10.17706/jsw.11.8.756-767.</w:t>
      </w:r>
    </w:p>
    <w:p w14:paraId="180AA71E" w14:textId="77777777" w:rsidR="00163A6C" w:rsidRPr="00163A6C" w:rsidRDefault="00163A6C" w:rsidP="00163A6C">
      <w:pPr>
        <w:widowControl w:val="0"/>
        <w:autoSpaceDE w:val="0"/>
        <w:autoSpaceDN w:val="0"/>
        <w:adjustRightInd w:val="0"/>
        <w:ind w:left="640" w:hanging="640"/>
        <w:rPr>
          <w:noProof/>
        </w:rPr>
      </w:pPr>
      <w:r w:rsidRPr="00163A6C">
        <w:rPr>
          <w:noProof/>
        </w:rPr>
        <w:t>[80]</w:t>
      </w:r>
      <w:r w:rsidRPr="00163A6C">
        <w:rPr>
          <w:noProof/>
        </w:rPr>
        <w:tab/>
        <w:t xml:space="preserve">J. Zahiri, O. Yaghoubi, M. Mohammad-Noori, R. Ebrahimpour, and A. Masoudi-Nejad, “PPIevo: Protein-protein interaction prediction from PSSM based evolutionary information,” </w:t>
      </w:r>
      <w:r w:rsidRPr="00163A6C">
        <w:rPr>
          <w:i/>
          <w:iCs/>
          <w:noProof/>
        </w:rPr>
        <w:t>Genomics</w:t>
      </w:r>
      <w:r w:rsidRPr="00163A6C">
        <w:rPr>
          <w:noProof/>
        </w:rPr>
        <w:t>, 2013, doi: 10.1016/j.ygeno.2013.05.006.</w:t>
      </w:r>
    </w:p>
    <w:p w14:paraId="6BB9E5FD" w14:textId="77777777" w:rsidR="00163A6C" w:rsidRPr="00163A6C" w:rsidRDefault="00163A6C" w:rsidP="00163A6C">
      <w:pPr>
        <w:widowControl w:val="0"/>
        <w:autoSpaceDE w:val="0"/>
        <w:autoSpaceDN w:val="0"/>
        <w:adjustRightInd w:val="0"/>
        <w:ind w:left="640" w:hanging="640"/>
        <w:rPr>
          <w:noProof/>
        </w:rPr>
      </w:pPr>
      <w:r w:rsidRPr="00163A6C">
        <w:rPr>
          <w:noProof/>
        </w:rPr>
        <w:t>[81]</w:t>
      </w:r>
      <w:r w:rsidRPr="00163A6C">
        <w:rPr>
          <w:noProof/>
        </w:rPr>
        <w:tab/>
        <w:t xml:space="preserve">K. C. Chou and H. Bin Shen, “MemType-2L: A Web server for predicting membrane proteins and their types by incorporating evolution information through Pse-PSSM,” </w:t>
      </w:r>
      <w:r w:rsidRPr="00163A6C">
        <w:rPr>
          <w:i/>
          <w:iCs/>
          <w:noProof/>
        </w:rPr>
        <w:t>Biochem. Biophys. Res. Commun.</w:t>
      </w:r>
      <w:r w:rsidRPr="00163A6C">
        <w:rPr>
          <w:noProof/>
        </w:rPr>
        <w:t>, 2007, doi: 10.1016/j.bbrc.2007.06.027.</w:t>
      </w:r>
    </w:p>
    <w:p w14:paraId="55B90EAC" w14:textId="77777777" w:rsidR="00163A6C" w:rsidRPr="00163A6C" w:rsidRDefault="00163A6C" w:rsidP="00163A6C">
      <w:pPr>
        <w:widowControl w:val="0"/>
        <w:autoSpaceDE w:val="0"/>
        <w:autoSpaceDN w:val="0"/>
        <w:adjustRightInd w:val="0"/>
        <w:ind w:left="640" w:hanging="640"/>
        <w:rPr>
          <w:noProof/>
        </w:rPr>
      </w:pPr>
      <w:r w:rsidRPr="00163A6C">
        <w:rPr>
          <w:noProof/>
        </w:rPr>
        <w:t>[82]</w:t>
      </w:r>
      <w:r w:rsidRPr="00163A6C">
        <w:rPr>
          <w:noProof/>
        </w:rPr>
        <w:tab/>
        <w:t>E. Y. T. Juan, W. J. Li, J. H. Jhang, and C. H. Chiu, “Predicting protein subcellular localizations for gram-negative bacteria using DP-PSSM and support vector machines,” 2009, doi: 10.1109/CISIS.2009.194.</w:t>
      </w:r>
    </w:p>
    <w:p w14:paraId="3774CEC0" w14:textId="77777777" w:rsidR="00163A6C" w:rsidRPr="00163A6C" w:rsidRDefault="00163A6C" w:rsidP="00163A6C">
      <w:pPr>
        <w:widowControl w:val="0"/>
        <w:autoSpaceDE w:val="0"/>
        <w:autoSpaceDN w:val="0"/>
        <w:adjustRightInd w:val="0"/>
        <w:ind w:left="640" w:hanging="640"/>
        <w:rPr>
          <w:noProof/>
        </w:rPr>
      </w:pPr>
      <w:r w:rsidRPr="00163A6C">
        <w:rPr>
          <w:noProof/>
        </w:rPr>
        <w:t>[83]</w:t>
      </w:r>
      <w:r w:rsidRPr="00163A6C">
        <w:rPr>
          <w:noProof/>
        </w:rPr>
        <w:tab/>
        <w:t xml:space="preserve">L. Zou, C. Nan, F. Hu, and J. Hancock, “Accurate prediction of bacterial type IV secreted effectors using amino acid composition and PSSM profiles,” </w:t>
      </w:r>
      <w:r w:rsidRPr="00163A6C">
        <w:rPr>
          <w:i/>
          <w:iCs/>
          <w:noProof/>
        </w:rPr>
        <w:t>Bioinformatics</w:t>
      </w:r>
      <w:r w:rsidRPr="00163A6C">
        <w:rPr>
          <w:noProof/>
        </w:rPr>
        <w:t>, 2013, doi: 10.1093/bioinformatics/btt554.</w:t>
      </w:r>
    </w:p>
    <w:p w14:paraId="172C75AB" w14:textId="77777777" w:rsidR="00163A6C" w:rsidRPr="00163A6C" w:rsidRDefault="00163A6C" w:rsidP="00163A6C">
      <w:pPr>
        <w:widowControl w:val="0"/>
        <w:autoSpaceDE w:val="0"/>
        <w:autoSpaceDN w:val="0"/>
        <w:adjustRightInd w:val="0"/>
        <w:ind w:left="640" w:hanging="640"/>
        <w:rPr>
          <w:noProof/>
        </w:rPr>
      </w:pPr>
      <w:r w:rsidRPr="00163A6C">
        <w:rPr>
          <w:noProof/>
        </w:rPr>
        <w:t>[84]</w:t>
      </w:r>
      <w:r w:rsidRPr="00163A6C">
        <w:rPr>
          <w:noProof/>
        </w:rPr>
        <w:tab/>
        <w:t>C. W. Cheng, E. C. Y. Su, J. K. Hwang, T. Y. Sung, and W. L. Hsu, “Predicting RNA-binding sites of proteins using support vector machines and evolutionary information,” 2008, doi: 10.1186/1471-2105-9-S12-S6.</w:t>
      </w:r>
    </w:p>
    <w:p w14:paraId="1FAAD366" w14:textId="77777777" w:rsidR="00163A6C" w:rsidRPr="00163A6C" w:rsidRDefault="00163A6C" w:rsidP="00163A6C">
      <w:pPr>
        <w:widowControl w:val="0"/>
        <w:autoSpaceDE w:val="0"/>
        <w:autoSpaceDN w:val="0"/>
        <w:adjustRightInd w:val="0"/>
        <w:ind w:left="640" w:hanging="640"/>
        <w:rPr>
          <w:noProof/>
        </w:rPr>
      </w:pPr>
      <w:r w:rsidRPr="00163A6C">
        <w:rPr>
          <w:noProof/>
        </w:rPr>
        <w:t>[85]</w:t>
      </w:r>
      <w:r w:rsidRPr="00163A6C">
        <w:rPr>
          <w:noProof/>
        </w:rPr>
        <w:tab/>
        <w:t xml:space="preserve">J. C. Jeong, X. Lin, and X. W. Chen, “On position-specific scoring matrix for protein function prediction,” </w:t>
      </w:r>
      <w:r w:rsidRPr="00163A6C">
        <w:rPr>
          <w:i/>
          <w:iCs/>
          <w:noProof/>
        </w:rPr>
        <w:t>IEEE/ACM Trans. Comput. Biol. Bioinforma.</w:t>
      </w:r>
      <w:r w:rsidRPr="00163A6C">
        <w:rPr>
          <w:noProof/>
        </w:rPr>
        <w:t>, 2011, doi: 10.1109/TCBB.2010.93.</w:t>
      </w:r>
    </w:p>
    <w:p w14:paraId="777CC552" w14:textId="77777777" w:rsidR="00163A6C" w:rsidRPr="00163A6C" w:rsidRDefault="00163A6C" w:rsidP="00163A6C">
      <w:pPr>
        <w:widowControl w:val="0"/>
        <w:autoSpaceDE w:val="0"/>
        <w:autoSpaceDN w:val="0"/>
        <w:adjustRightInd w:val="0"/>
        <w:ind w:left="640" w:hanging="640"/>
        <w:rPr>
          <w:noProof/>
        </w:rPr>
      </w:pPr>
      <w:r w:rsidRPr="00163A6C">
        <w:rPr>
          <w:noProof/>
        </w:rPr>
        <w:t>[86]</w:t>
      </w:r>
      <w:r w:rsidRPr="00163A6C">
        <w:rPr>
          <w:noProof/>
        </w:rPr>
        <w:tab/>
        <w:t xml:space="preserve">J. Palme, S. Hochreiter, and U. Bodenhofer, “KeBABS: An R package for kernel-based analysis of biological sequences,” </w:t>
      </w:r>
      <w:r w:rsidRPr="00163A6C">
        <w:rPr>
          <w:i/>
          <w:iCs/>
          <w:noProof/>
        </w:rPr>
        <w:t>Bioinformatics</w:t>
      </w:r>
      <w:r w:rsidRPr="00163A6C">
        <w:rPr>
          <w:noProof/>
        </w:rPr>
        <w:t>, 2015, doi: 10.1093/bioinformatics/btv176.</w:t>
      </w:r>
    </w:p>
    <w:p w14:paraId="08AACFC1" w14:textId="77777777" w:rsidR="00163A6C" w:rsidRPr="00163A6C" w:rsidRDefault="00163A6C" w:rsidP="00163A6C">
      <w:pPr>
        <w:widowControl w:val="0"/>
        <w:autoSpaceDE w:val="0"/>
        <w:autoSpaceDN w:val="0"/>
        <w:adjustRightInd w:val="0"/>
        <w:ind w:left="640" w:hanging="640"/>
        <w:rPr>
          <w:noProof/>
        </w:rPr>
      </w:pPr>
      <w:r w:rsidRPr="00163A6C">
        <w:rPr>
          <w:noProof/>
        </w:rPr>
        <w:t>[87]</w:t>
      </w:r>
      <w:r w:rsidRPr="00163A6C">
        <w:rPr>
          <w:noProof/>
        </w:rPr>
        <w:tab/>
        <w:t xml:space="preserve">NumPy, “NumPy — NumPy,” </w:t>
      </w:r>
      <w:r w:rsidRPr="00163A6C">
        <w:rPr>
          <w:i/>
          <w:iCs/>
          <w:noProof/>
        </w:rPr>
        <w:t>NumPy Website</w:t>
      </w:r>
      <w:r w:rsidRPr="00163A6C">
        <w:rPr>
          <w:noProof/>
        </w:rPr>
        <w:t>, 2017. .</w:t>
      </w:r>
    </w:p>
    <w:p w14:paraId="1BF0E76C" w14:textId="77777777" w:rsidR="00163A6C" w:rsidRPr="00163A6C" w:rsidRDefault="00163A6C" w:rsidP="00163A6C">
      <w:pPr>
        <w:widowControl w:val="0"/>
        <w:autoSpaceDE w:val="0"/>
        <w:autoSpaceDN w:val="0"/>
        <w:adjustRightInd w:val="0"/>
        <w:ind w:left="640" w:hanging="640"/>
        <w:rPr>
          <w:noProof/>
        </w:rPr>
      </w:pPr>
      <w:r w:rsidRPr="00163A6C">
        <w:rPr>
          <w:noProof/>
        </w:rPr>
        <w:t>[88]</w:t>
      </w:r>
      <w:r w:rsidRPr="00163A6C">
        <w:rPr>
          <w:noProof/>
        </w:rPr>
        <w:tab/>
        <w:t xml:space="preserve">S. Kawashima and M. Kanehisa, “AAindex: Amino acid index database,” </w:t>
      </w:r>
      <w:r w:rsidRPr="00163A6C">
        <w:rPr>
          <w:i/>
          <w:iCs/>
          <w:noProof/>
        </w:rPr>
        <w:t>Nucleic Acids Research</w:t>
      </w:r>
      <w:r w:rsidRPr="00163A6C">
        <w:rPr>
          <w:noProof/>
        </w:rPr>
        <w:t>. 2000, doi: 10.1093/nar/28.1.374.</w:t>
      </w:r>
    </w:p>
    <w:p w14:paraId="03EAD894" w14:textId="77777777" w:rsidR="00163A6C" w:rsidRPr="00163A6C" w:rsidRDefault="00163A6C" w:rsidP="00163A6C">
      <w:pPr>
        <w:widowControl w:val="0"/>
        <w:autoSpaceDE w:val="0"/>
        <w:autoSpaceDN w:val="0"/>
        <w:adjustRightInd w:val="0"/>
        <w:ind w:left="640" w:hanging="640"/>
        <w:rPr>
          <w:noProof/>
        </w:rPr>
      </w:pPr>
      <w:r w:rsidRPr="00163A6C">
        <w:rPr>
          <w:noProof/>
        </w:rPr>
        <w:t>[89]</w:t>
      </w:r>
      <w:r w:rsidRPr="00163A6C">
        <w:rPr>
          <w:noProof/>
        </w:rPr>
        <w:tab/>
        <w:t xml:space="preserve">B. E. Suzek, H. Huang, P. McGarvey, R. Mazumder, and C. H. Wu, “UniRef: </w:t>
      </w:r>
      <w:r w:rsidRPr="00163A6C">
        <w:rPr>
          <w:noProof/>
        </w:rPr>
        <w:lastRenderedPageBreak/>
        <w:t xml:space="preserve">Comprehensive and non-redundant UniProt reference clusters,” </w:t>
      </w:r>
      <w:r w:rsidRPr="00163A6C">
        <w:rPr>
          <w:i/>
          <w:iCs/>
          <w:noProof/>
        </w:rPr>
        <w:t>Bioinformatics</w:t>
      </w:r>
      <w:r w:rsidRPr="00163A6C">
        <w:rPr>
          <w:noProof/>
        </w:rPr>
        <w:t>, 2007, doi: 10.1093/bioinformatics/btm098.</w:t>
      </w:r>
    </w:p>
    <w:p w14:paraId="63835E09" w14:textId="77777777" w:rsidR="00163A6C" w:rsidRPr="00163A6C" w:rsidRDefault="00163A6C" w:rsidP="00163A6C">
      <w:pPr>
        <w:widowControl w:val="0"/>
        <w:autoSpaceDE w:val="0"/>
        <w:autoSpaceDN w:val="0"/>
        <w:adjustRightInd w:val="0"/>
        <w:ind w:left="640" w:hanging="640"/>
        <w:rPr>
          <w:noProof/>
        </w:rPr>
      </w:pPr>
      <w:r w:rsidRPr="00163A6C">
        <w:rPr>
          <w:noProof/>
        </w:rPr>
        <w:t>[90]</w:t>
      </w:r>
      <w:r w:rsidRPr="00163A6C">
        <w:rPr>
          <w:noProof/>
        </w:rPr>
        <w:tab/>
        <w:t xml:space="preserve">T. Li, K. Fan, J. Wang, and W. Wang, “Reduction of protein sequence complexity by residue grouping,” </w:t>
      </w:r>
      <w:r w:rsidRPr="00163A6C">
        <w:rPr>
          <w:i/>
          <w:iCs/>
          <w:noProof/>
        </w:rPr>
        <w:t>Protein Eng.</w:t>
      </w:r>
      <w:r w:rsidRPr="00163A6C">
        <w:rPr>
          <w:noProof/>
        </w:rPr>
        <w:t>, 2003, doi: 10.1093/protein/gzg044.</w:t>
      </w:r>
    </w:p>
    <w:p w14:paraId="41BB68EB" w14:textId="77777777" w:rsidR="00163A6C" w:rsidRPr="00163A6C" w:rsidRDefault="00163A6C" w:rsidP="00163A6C">
      <w:pPr>
        <w:widowControl w:val="0"/>
        <w:autoSpaceDE w:val="0"/>
        <w:autoSpaceDN w:val="0"/>
        <w:adjustRightInd w:val="0"/>
        <w:ind w:left="640" w:hanging="640"/>
        <w:rPr>
          <w:noProof/>
        </w:rPr>
      </w:pPr>
      <w:r w:rsidRPr="00163A6C">
        <w:rPr>
          <w:noProof/>
        </w:rPr>
        <w:t>[91]</w:t>
      </w:r>
      <w:r w:rsidRPr="00163A6C">
        <w:rPr>
          <w:noProof/>
        </w:rPr>
        <w:tab/>
        <w:t>B. E. Boser, I. M. Guyon, and V. N. Vapnik, “Training algorithm for optimal margin classifiers,” 1992, doi: 10.1145/130385.130401.</w:t>
      </w:r>
    </w:p>
    <w:p w14:paraId="4DB4DD8E" w14:textId="77777777" w:rsidR="00163A6C" w:rsidRPr="00163A6C" w:rsidRDefault="00163A6C" w:rsidP="00163A6C">
      <w:pPr>
        <w:widowControl w:val="0"/>
        <w:autoSpaceDE w:val="0"/>
        <w:autoSpaceDN w:val="0"/>
        <w:adjustRightInd w:val="0"/>
        <w:ind w:left="640" w:hanging="640"/>
        <w:rPr>
          <w:noProof/>
        </w:rPr>
      </w:pPr>
      <w:r w:rsidRPr="00163A6C">
        <w:rPr>
          <w:noProof/>
        </w:rPr>
        <w:t>[92]</w:t>
      </w:r>
      <w:r w:rsidRPr="00163A6C">
        <w:rPr>
          <w:noProof/>
        </w:rPr>
        <w:tab/>
        <w:t xml:space="preserve">M. Aly and &lt;malaa@caltech Edu&gt;, “Survey on multiclass classification methods,” </w:t>
      </w:r>
      <w:r w:rsidRPr="00163A6C">
        <w:rPr>
          <w:i/>
          <w:iCs/>
          <w:noProof/>
        </w:rPr>
        <w:t>Neural Netw</w:t>
      </w:r>
      <w:r w:rsidRPr="00163A6C">
        <w:rPr>
          <w:noProof/>
        </w:rPr>
        <w:t>, 2005.</w:t>
      </w:r>
    </w:p>
    <w:p w14:paraId="2EA476CA" w14:textId="77777777" w:rsidR="00163A6C" w:rsidRPr="00163A6C" w:rsidRDefault="00163A6C" w:rsidP="00163A6C">
      <w:pPr>
        <w:widowControl w:val="0"/>
        <w:autoSpaceDE w:val="0"/>
        <w:autoSpaceDN w:val="0"/>
        <w:adjustRightInd w:val="0"/>
        <w:ind w:left="640" w:hanging="640"/>
        <w:rPr>
          <w:noProof/>
        </w:rPr>
      </w:pPr>
      <w:r w:rsidRPr="00163A6C">
        <w:rPr>
          <w:noProof/>
        </w:rPr>
        <w:t>[93]</w:t>
      </w:r>
      <w:r w:rsidRPr="00163A6C">
        <w:rPr>
          <w:noProof/>
        </w:rPr>
        <w:tab/>
        <w:t xml:space="preserve">F. Pedregosa </w:t>
      </w:r>
      <w:r w:rsidRPr="00163A6C">
        <w:rPr>
          <w:i/>
          <w:iCs/>
          <w:noProof/>
        </w:rPr>
        <w:t>et al.</w:t>
      </w:r>
      <w:r w:rsidRPr="00163A6C">
        <w:rPr>
          <w:noProof/>
        </w:rPr>
        <w:t xml:space="preserve">, “Scikit-learn: Machine learning in Python,” </w:t>
      </w:r>
      <w:r w:rsidRPr="00163A6C">
        <w:rPr>
          <w:i/>
          <w:iCs/>
          <w:noProof/>
        </w:rPr>
        <w:t>J. Mach. Learn. Res.</w:t>
      </w:r>
      <w:r w:rsidRPr="00163A6C">
        <w:rPr>
          <w:noProof/>
        </w:rPr>
        <w:t>, 2011.</w:t>
      </w:r>
    </w:p>
    <w:p w14:paraId="766DF3ED" w14:textId="77777777" w:rsidR="00163A6C" w:rsidRPr="00163A6C" w:rsidRDefault="00163A6C" w:rsidP="00163A6C">
      <w:pPr>
        <w:widowControl w:val="0"/>
        <w:autoSpaceDE w:val="0"/>
        <w:autoSpaceDN w:val="0"/>
        <w:adjustRightInd w:val="0"/>
        <w:ind w:left="640" w:hanging="640"/>
        <w:rPr>
          <w:noProof/>
        </w:rPr>
      </w:pPr>
      <w:r w:rsidRPr="00163A6C">
        <w:rPr>
          <w:noProof/>
        </w:rPr>
        <w:t>[94]</w:t>
      </w:r>
      <w:r w:rsidRPr="00163A6C">
        <w:rPr>
          <w:noProof/>
        </w:rPr>
        <w:tab/>
        <w:t xml:space="preserve">G. P. Rédei, “BLASTP,” in </w:t>
      </w:r>
      <w:r w:rsidRPr="00163A6C">
        <w:rPr>
          <w:i/>
          <w:iCs/>
          <w:noProof/>
        </w:rPr>
        <w:t>Encyclopedia of Genetics, Genomics, Proteomics and Informatics</w:t>
      </w:r>
      <w:r w:rsidRPr="00163A6C">
        <w:rPr>
          <w:noProof/>
        </w:rPr>
        <w:t>, 2008.</w:t>
      </w:r>
    </w:p>
    <w:p w14:paraId="6C433BE4" w14:textId="7333D56A" w:rsidR="00FE4F3B" w:rsidRPr="00FE4F3B" w:rsidRDefault="00F71C4F" w:rsidP="00163A6C">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27CF3"/>
    <w:rsid w:val="00030EE4"/>
    <w:rsid w:val="0003247A"/>
    <w:rsid w:val="00040D4B"/>
    <w:rsid w:val="00055654"/>
    <w:rsid w:val="000667FA"/>
    <w:rsid w:val="00073147"/>
    <w:rsid w:val="000759BB"/>
    <w:rsid w:val="00076959"/>
    <w:rsid w:val="000841E8"/>
    <w:rsid w:val="00086253"/>
    <w:rsid w:val="000871F8"/>
    <w:rsid w:val="00092FCC"/>
    <w:rsid w:val="00093409"/>
    <w:rsid w:val="000A59B2"/>
    <w:rsid w:val="000B37BE"/>
    <w:rsid w:val="000B76BD"/>
    <w:rsid w:val="000C4997"/>
    <w:rsid w:val="000D54C8"/>
    <w:rsid w:val="000D76C5"/>
    <w:rsid w:val="000E4F12"/>
    <w:rsid w:val="00103A7B"/>
    <w:rsid w:val="00103D10"/>
    <w:rsid w:val="00105045"/>
    <w:rsid w:val="001104BF"/>
    <w:rsid w:val="00110CDC"/>
    <w:rsid w:val="00120ED9"/>
    <w:rsid w:val="00130F18"/>
    <w:rsid w:val="00131486"/>
    <w:rsid w:val="00147608"/>
    <w:rsid w:val="00156EAF"/>
    <w:rsid w:val="00163287"/>
    <w:rsid w:val="00163A6C"/>
    <w:rsid w:val="001665F3"/>
    <w:rsid w:val="0019236C"/>
    <w:rsid w:val="0019466C"/>
    <w:rsid w:val="001A3FC4"/>
    <w:rsid w:val="001B5896"/>
    <w:rsid w:val="001C10CF"/>
    <w:rsid w:val="001C6C72"/>
    <w:rsid w:val="001D529F"/>
    <w:rsid w:val="001F1E28"/>
    <w:rsid w:val="001F6CE6"/>
    <w:rsid w:val="00202799"/>
    <w:rsid w:val="00206617"/>
    <w:rsid w:val="00212D9D"/>
    <w:rsid w:val="00213DA7"/>
    <w:rsid w:val="00214431"/>
    <w:rsid w:val="00214708"/>
    <w:rsid w:val="0021760C"/>
    <w:rsid w:val="00220543"/>
    <w:rsid w:val="002218F9"/>
    <w:rsid w:val="002238BE"/>
    <w:rsid w:val="00226DA9"/>
    <w:rsid w:val="00230B12"/>
    <w:rsid w:val="002379EB"/>
    <w:rsid w:val="00240946"/>
    <w:rsid w:val="00241A2F"/>
    <w:rsid w:val="00241A8A"/>
    <w:rsid w:val="00251011"/>
    <w:rsid w:val="0025135D"/>
    <w:rsid w:val="00252DF8"/>
    <w:rsid w:val="00261649"/>
    <w:rsid w:val="0026175C"/>
    <w:rsid w:val="00263B71"/>
    <w:rsid w:val="00264BF4"/>
    <w:rsid w:val="002809AE"/>
    <w:rsid w:val="0028247A"/>
    <w:rsid w:val="002A22A2"/>
    <w:rsid w:val="002A39E0"/>
    <w:rsid w:val="002A42BF"/>
    <w:rsid w:val="002A4627"/>
    <w:rsid w:val="002A71CF"/>
    <w:rsid w:val="002B4095"/>
    <w:rsid w:val="002B6DAA"/>
    <w:rsid w:val="002C01DA"/>
    <w:rsid w:val="002C3D84"/>
    <w:rsid w:val="002D799E"/>
    <w:rsid w:val="002E3181"/>
    <w:rsid w:val="002E4FC9"/>
    <w:rsid w:val="002E5D60"/>
    <w:rsid w:val="00306E39"/>
    <w:rsid w:val="003077B2"/>
    <w:rsid w:val="00310AFE"/>
    <w:rsid w:val="00313E8E"/>
    <w:rsid w:val="00316422"/>
    <w:rsid w:val="00320921"/>
    <w:rsid w:val="00333929"/>
    <w:rsid w:val="00333E87"/>
    <w:rsid w:val="00334696"/>
    <w:rsid w:val="003424CA"/>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A7AE0"/>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F168C"/>
    <w:rsid w:val="004005FD"/>
    <w:rsid w:val="004007A6"/>
    <w:rsid w:val="004016C0"/>
    <w:rsid w:val="00404500"/>
    <w:rsid w:val="0041414D"/>
    <w:rsid w:val="00433BF5"/>
    <w:rsid w:val="00435250"/>
    <w:rsid w:val="004378E0"/>
    <w:rsid w:val="00451DEA"/>
    <w:rsid w:val="00452E86"/>
    <w:rsid w:val="00453B27"/>
    <w:rsid w:val="004558A2"/>
    <w:rsid w:val="00460DC5"/>
    <w:rsid w:val="00461155"/>
    <w:rsid w:val="004614A0"/>
    <w:rsid w:val="004660B8"/>
    <w:rsid w:val="00484B10"/>
    <w:rsid w:val="00485A0F"/>
    <w:rsid w:val="00487170"/>
    <w:rsid w:val="004909A7"/>
    <w:rsid w:val="00497D8E"/>
    <w:rsid w:val="004B3031"/>
    <w:rsid w:val="004B6806"/>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368E6"/>
    <w:rsid w:val="00543DBA"/>
    <w:rsid w:val="00544156"/>
    <w:rsid w:val="00544E6C"/>
    <w:rsid w:val="00551EA1"/>
    <w:rsid w:val="00555405"/>
    <w:rsid w:val="00566D0D"/>
    <w:rsid w:val="00567114"/>
    <w:rsid w:val="0057104F"/>
    <w:rsid w:val="005815C4"/>
    <w:rsid w:val="0058206B"/>
    <w:rsid w:val="005837FD"/>
    <w:rsid w:val="005930BC"/>
    <w:rsid w:val="005952ED"/>
    <w:rsid w:val="005A1606"/>
    <w:rsid w:val="005A2D00"/>
    <w:rsid w:val="005A3D95"/>
    <w:rsid w:val="005A3ED7"/>
    <w:rsid w:val="005B154A"/>
    <w:rsid w:val="005B50BF"/>
    <w:rsid w:val="005C4449"/>
    <w:rsid w:val="005D0791"/>
    <w:rsid w:val="005D1CDB"/>
    <w:rsid w:val="005D3511"/>
    <w:rsid w:val="005D52E3"/>
    <w:rsid w:val="005E2453"/>
    <w:rsid w:val="005E46E7"/>
    <w:rsid w:val="005E7E98"/>
    <w:rsid w:val="005F3ACB"/>
    <w:rsid w:val="005F68BE"/>
    <w:rsid w:val="00603045"/>
    <w:rsid w:val="00613613"/>
    <w:rsid w:val="00616F3E"/>
    <w:rsid w:val="006179F6"/>
    <w:rsid w:val="00620141"/>
    <w:rsid w:val="00620A13"/>
    <w:rsid w:val="006265CD"/>
    <w:rsid w:val="00633198"/>
    <w:rsid w:val="00642825"/>
    <w:rsid w:val="00647576"/>
    <w:rsid w:val="00651092"/>
    <w:rsid w:val="00666117"/>
    <w:rsid w:val="00671CD2"/>
    <w:rsid w:val="006807CA"/>
    <w:rsid w:val="00681358"/>
    <w:rsid w:val="006859F7"/>
    <w:rsid w:val="0068626C"/>
    <w:rsid w:val="00686EDB"/>
    <w:rsid w:val="006976D6"/>
    <w:rsid w:val="006A0F40"/>
    <w:rsid w:val="006A1F7D"/>
    <w:rsid w:val="006A4F39"/>
    <w:rsid w:val="006A7A12"/>
    <w:rsid w:val="006B455C"/>
    <w:rsid w:val="006C0A54"/>
    <w:rsid w:val="006C7B6F"/>
    <w:rsid w:val="006D214F"/>
    <w:rsid w:val="006D4711"/>
    <w:rsid w:val="006D51B2"/>
    <w:rsid w:val="006E0D56"/>
    <w:rsid w:val="006E16CF"/>
    <w:rsid w:val="006E3302"/>
    <w:rsid w:val="006E376D"/>
    <w:rsid w:val="006E5DF3"/>
    <w:rsid w:val="006F14A3"/>
    <w:rsid w:val="007020DD"/>
    <w:rsid w:val="00710AFD"/>
    <w:rsid w:val="00712D85"/>
    <w:rsid w:val="007130AB"/>
    <w:rsid w:val="00715CF2"/>
    <w:rsid w:val="00716505"/>
    <w:rsid w:val="00716D69"/>
    <w:rsid w:val="00731E7C"/>
    <w:rsid w:val="007365B4"/>
    <w:rsid w:val="0073759E"/>
    <w:rsid w:val="00740FD8"/>
    <w:rsid w:val="007422C7"/>
    <w:rsid w:val="007426CC"/>
    <w:rsid w:val="00743D80"/>
    <w:rsid w:val="00743E0A"/>
    <w:rsid w:val="00743EB2"/>
    <w:rsid w:val="00750394"/>
    <w:rsid w:val="00760E6A"/>
    <w:rsid w:val="00762633"/>
    <w:rsid w:val="00764BB4"/>
    <w:rsid w:val="007706F5"/>
    <w:rsid w:val="00770C03"/>
    <w:rsid w:val="007748C3"/>
    <w:rsid w:val="00777848"/>
    <w:rsid w:val="00791ED6"/>
    <w:rsid w:val="007923C7"/>
    <w:rsid w:val="00793BE1"/>
    <w:rsid w:val="007947D7"/>
    <w:rsid w:val="007B2F57"/>
    <w:rsid w:val="007B735B"/>
    <w:rsid w:val="007C0F87"/>
    <w:rsid w:val="007C14C8"/>
    <w:rsid w:val="007C46AC"/>
    <w:rsid w:val="007C54DC"/>
    <w:rsid w:val="007C7A8E"/>
    <w:rsid w:val="007D6213"/>
    <w:rsid w:val="007E07C5"/>
    <w:rsid w:val="007E1763"/>
    <w:rsid w:val="007E4B07"/>
    <w:rsid w:val="007F2751"/>
    <w:rsid w:val="007F3577"/>
    <w:rsid w:val="008031B3"/>
    <w:rsid w:val="0080517B"/>
    <w:rsid w:val="00805D5C"/>
    <w:rsid w:val="008169AA"/>
    <w:rsid w:val="00833D66"/>
    <w:rsid w:val="00835BFF"/>
    <w:rsid w:val="008503BE"/>
    <w:rsid w:val="008510CD"/>
    <w:rsid w:val="00860631"/>
    <w:rsid w:val="00885966"/>
    <w:rsid w:val="008927C4"/>
    <w:rsid w:val="008955AF"/>
    <w:rsid w:val="00896505"/>
    <w:rsid w:val="008970E6"/>
    <w:rsid w:val="0089785E"/>
    <w:rsid w:val="008A05F3"/>
    <w:rsid w:val="008A575C"/>
    <w:rsid w:val="008A698D"/>
    <w:rsid w:val="008B4ABD"/>
    <w:rsid w:val="008B5D8D"/>
    <w:rsid w:val="008C1647"/>
    <w:rsid w:val="008C5A40"/>
    <w:rsid w:val="008C66EF"/>
    <w:rsid w:val="008C785B"/>
    <w:rsid w:val="008E4D9E"/>
    <w:rsid w:val="008E4FA9"/>
    <w:rsid w:val="008F38B1"/>
    <w:rsid w:val="008F39FB"/>
    <w:rsid w:val="009004D8"/>
    <w:rsid w:val="00905443"/>
    <w:rsid w:val="00915F0C"/>
    <w:rsid w:val="00916488"/>
    <w:rsid w:val="0092242E"/>
    <w:rsid w:val="00923CB9"/>
    <w:rsid w:val="009301B0"/>
    <w:rsid w:val="00937355"/>
    <w:rsid w:val="009400FC"/>
    <w:rsid w:val="00940F5B"/>
    <w:rsid w:val="0094502F"/>
    <w:rsid w:val="00945358"/>
    <w:rsid w:val="00953846"/>
    <w:rsid w:val="009611FD"/>
    <w:rsid w:val="00974BBA"/>
    <w:rsid w:val="00975D7F"/>
    <w:rsid w:val="00993A9B"/>
    <w:rsid w:val="00995ACC"/>
    <w:rsid w:val="00996429"/>
    <w:rsid w:val="009C46D7"/>
    <w:rsid w:val="009C56FB"/>
    <w:rsid w:val="009E2077"/>
    <w:rsid w:val="009E2C39"/>
    <w:rsid w:val="009E320C"/>
    <w:rsid w:val="009F0B50"/>
    <w:rsid w:val="009F1EA5"/>
    <w:rsid w:val="00A066FE"/>
    <w:rsid w:val="00A17E40"/>
    <w:rsid w:val="00A264A1"/>
    <w:rsid w:val="00A349B7"/>
    <w:rsid w:val="00A46CEE"/>
    <w:rsid w:val="00A50105"/>
    <w:rsid w:val="00A61E10"/>
    <w:rsid w:val="00A626B1"/>
    <w:rsid w:val="00A70136"/>
    <w:rsid w:val="00A7297A"/>
    <w:rsid w:val="00A93E92"/>
    <w:rsid w:val="00A94FCA"/>
    <w:rsid w:val="00A958E3"/>
    <w:rsid w:val="00A96710"/>
    <w:rsid w:val="00AA102F"/>
    <w:rsid w:val="00AB08D3"/>
    <w:rsid w:val="00AB363B"/>
    <w:rsid w:val="00AB6139"/>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469DE"/>
    <w:rsid w:val="00B46AAE"/>
    <w:rsid w:val="00B502A0"/>
    <w:rsid w:val="00B5516B"/>
    <w:rsid w:val="00B8059B"/>
    <w:rsid w:val="00B80631"/>
    <w:rsid w:val="00B852C2"/>
    <w:rsid w:val="00B87E71"/>
    <w:rsid w:val="00B919C4"/>
    <w:rsid w:val="00B92FFD"/>
    <w:rsid w:val="00BA035B"/>
    <w:rsid w:val="00BA3E24"/>
    <w:rsid w:val="00BC782B"/>
    <w:rsid w:val="00BD1762"/>
    <w:rsid w:val="00BD74AE"/>
    <w:rsid w:val="00BE51F5"/>
    <w:rsid w:val="00BF3C99"/>
    <w:rsid w:val="00BF52DB"/>
    <w:rsid w:val="00BF6383"/>
    <w:rsid w:val="00C055E6"/>
    <w:rsid w:val="00C105F5"/>
    <w:rsid w:val="00C10757"/>
    <w:rsid w:val="00C10DDE"/>
    <w:rsid w:val="00C12657"/>
    <w:rsid w:val="00C15DD4"/>
    <w:rsid w:val="00C17264"/>
    <w:rsid w:val="00C3109E"/>
    <w:rsid w:val="00C32DB7"/>
    <w:rsid w:val="00C34947"/>
    <w:rsid w:val="00C44A02"/>
    <w:rsid w:val="00C44DA3"/>
    <w:rsid w:val="00C47774"/>
    <w:rsid w:val="00C47D21"/>
    <w:rsid w:val="00C515E3"/>
    <w:rsid w:val="00C52468"/>
    <w:rsid w:val="00C62A38"/>
    <w:rsid w:val="00C75574"/>
    <w:rsid w:val="00C873C5"/>
    <w:rsid w:val="00C87CF0"/>
    <w:rsid w:val="00C9147F"/>
    <w:rsid w:val="00C957A9"/>
    <w:rsid w:val="00C96AA2"/>
    <w:rsid w:val="00CB2695"/>
    <w:rsid w:val="00CC1103"/>
    <w:rsid w:val="00CC1D45"/>
    <w:rsid w:val="00CC4172"/>
    <w:rsid w:val="00CC5B1F"/>
    <w:rsid w:val="00CD3158"/>
    <w:rsid w:val="00CD325A"/>
    <w:rsid w:val="00CD49D0"/>
    <w:rsid w:val="00CD5B8E"/>
    <w:rsid w:val="00CE52E1"/>
    <w:rsid w:val="00CE7FAF"/>
    <w:rsid w:val="00CF5E63"/>
    <w:rsid w:val="00D04496"/>
    <w:rsid w:val="00D13EA4"/>
    <w:rsid w:val="00D15562"/>
    <w:rsid w:val="00D32579"/>
    <w:rsid w:val="00D35581"/>
    <w:rsid w:val="00D379B6"/>
    <w:rsid w:val="00D40EEA"/>
    <w:rsid w:val="00D4229C"/>
    <w:rsid w:val="00D56144"/>
    <w:rsid w:val="00D57D1C"/>
    <w:rsid w:val="00D646D1"/>
    <w:rsid w:val="00D7200A"/>
    <w:rsid w:val="00D7223F"/>
    <w:rsid w:val="00D75FCC"/>
    <w:rsid w:val="00D766D1"/>
    <w:rsid w:val="00D8458B"/>
    <w:rsid w:val="00D84877"/>
    <w:rsid w:val="00D84C1E"/>
    <w:rsid w:val="00D84CCC"/>
    <w:rsid w:val="00D91563"/>
    <w:rsid w:val="00D9510F"/>
    <w:rsid w:val="00DA1F82"/>
    <w:rsid w:val="00DA3A89"/>
    <w:rsid w:val="00DA663E"/>
    <w:rsid w:val="00DB40A3"/>
    <w:rsid w:val="00DC1618"/>
    <w:rsid w:val="00DC2DBE"/>
    <w:rsid w:val="00DC5C9D"/>
    <w:rsid w:val="00DD3FAE"/>
    <w:rsid w:val="00DD5B1B"/>
    <w:rsid w:val="00DE4E15"/>
    <w:rsid w:val="00DF0D8C"/>
    <w:rsid w:val="00E068A4"/>
    <w:rsid w:val="00E079DB"/>
    <w:rsid w:val="00E11F00"/>
    <w:rsid w:val="00E138BD"/>
    <w:rsid w:val="00E1743B"/>
    <w:rsid w:val="00E21D56"/>
    <w:rsid w:val="00E32C53"/>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071A"/>
    <w:rsid w:val="00E86D44"/>
    <w:rsid w:val="00E92BC2"/>
    <w:rsid w:val="00E9566B"/>
    <w:rsid w:val="00E97FAF"/>
    <w:rsid w:val="00EA257F"/>
    <w:rsid w:val="00EA5CAF"/>
    <w:rsid w:val="00EA6582"/>
    <w:rsid w:val="00EB4DCC"/>
    <w:rsid w:val="00EC48CB"/>
    <w:rsid w:val="00EC5169"/>
    <w:rsid w:val="00EC5306"/>
    <w:rsid w:val="00ED2DEE"/>
    <w:rsid w:val="00EE31EB"/>
    <w:rsid w:val="00EF48A3"/>
    <w:rsid w:val="00EF63B2"/>
    <w:rsid w:val="00F01257"/>
    <w:rsid w:val="00F020D7"/>
    <w:rsid w:val="00F048D7"/>
    <w:rsid w:val="00F148B6"/>
    <w:rsid w:val="00F22339"/>
    <w:rsid w:val="00F24535"/>
    <w:rsid w:val="00F2612C"/>
    <w:rsid w:val="00F31130"/>
    <w:rsid w:val="00F35C4B"/>
    <w:rsid w:val="00F35DD3"/>
    <w:rsid w:val="00F40DF7"/>
    <w:rsid w:val="00F4715D"/>
    <w:rsid w:val="00F47D14"/>
    <w:rsid w:val="00F5194F"/>
    <w:rsid w:val="00F54801"/>
    <w:rsid w:val="00F60FA7"/>
    <w:rsid w:val="00F61F06"/>
    <w:rsid w:val="00F659AC"/>
    <w:rsid w:val="00F71C4F"/>
    <w:rsid w:val="00F765F8"/>
    <w:rsid w:val="00F771C3"/>
    <w:rsid w:val="00F837B3"/>
    <w:rsid w:val="00F878B8"/>
    <w:rsid w:val="00F9195A"/>
    <w:rsid w:val="00FA251D"/>
    <w:rsid w:val="00FA7329"/>
    <w:rsid w:val="00FB1F72"/>
    <w:rsid w:val="00FB4B5A"/>
    <w:rsid w:val="00FC2E5E"/>
    <w:rsid w:val="00FD0280"/>
    <w:rsid w:val="00FD335E"/>
    <w:rsid w:val="00FD7F73"/>
    <w:rsid w:val="00FE161E"/>
    <w:rsid w:val="00FE1671"/>
    <w:rsid w:val="00FE3DA2"/>
    <w:rsid w:val="00FE4F3B"/>
    <w:rsid w:val="00FE6BD6"/>
    <w:rsid w:val="00FE6EB8"/>
    <w:rsid w:val="00FE7C8A"/>
    <w:rsid w:val="00FF3E31"/>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68921</Words>
  <Characters>402503</Characters>
  <Application>Microsoft Office Word</Application>
  <DocSecurity>0</DocSecurity>
  <Lines>7740</Lines>
  <Paragraphs>1501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Costas Maranas</cp:lastModifiedBy>
  <cp:revision>3</cp:revision>
  <dcterms:created xsi:type="dcterms:W3CDTF">2021-03-05T19:18:00Z</dcterms:created>
  <dcterms:modified xsi:type="dcterms:W3CDTF">2021-03-05T19:20:00Z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