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2DE7" w:rsidRDefault="001E2DE7">
      <w:pPr>
        <w:widowControl w:val="0"/>
        <w:pBdr>
          <w:top w:val="nil"/>
          <w:left w:val="nil"/>
          <w:bottom w:val="nil"/>
          <w:right w:val="nil"/>
          <w:between w:val="nil"/>
        </w:pBdr>
        <w:spacing w:after="0"/>
        <w:rPr>
          <w:rFonts w:ascii="Arial" w:eastAsia="Arial" w:hAnsi="Arial" w:cs="Arial"/>
          <w:color w:val="000000"/>
        </w:rPr>
      </w:pPr>
    </w:p>
    <w:tbl>
      <w:tblPr>
        <w:tblStyle w:val="a2"/>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6808"/>
      </w:tblGrid>
      <w:tr w:rsidR="001E2DE7">
        <w:trPr>
          <w:trHeight w:val="647"/>
        </w:trPr>
        <w:tc>
          <w:tcPr>
            <w:tcW w:w="2406" w:type="dxa"/>
            <w:tcBorders>
              <w:top w:val="single" w:sz="4" w:space="0" w:color="000000"/>
              <w:left w:val="single" w:sz="4" w:space="0" w:color="000000"/>
              <w:bottom w:val="single" w:sz="4" w:space="0" w:color="000000"/>
              <w:right w:val="single" w:sz="4" w:space="0" w:color="000000"/>
            </w:tcBorders>
          </w:tcPr>
          <w:p w:rsidR="001E2DE7" w:rsidRDefault="00000000">
            <w:pPr>
              <w:spacing w:after="0" w:line="240" w:lineRule="auto"/>
            </w:pPr>
            <w:r>
              <w:rPr>
                <w:noProof/>
              </w:rPr>
              <w:drawing>
                <wp:inline distT="0" distB="0" distL="0" distR="0">
                  <wp:extent cx="1390650" cy="520700"/>
                  <wp:effectExtent l="0" t="0" r="0" b="0"/>
                  <wp:docPr id="2015845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0650" cy="520700"/>
                          </a:xfrm>
                          <a:prstGeom prst="rect">
                            <a:avLst/>
                          </a:prstGeom>
                          <a:ln/>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vAlign w:val="center"/>
          </w:tcPr>
          <w:p w:rsidR="001E2DE7" w:rsidRDefault="00000000">
            <w:pPr>
              <w:spacing w:after="0" w:line="240" w:lineRule="auto"/>
              <w:jc w:val="right"/>
              <w:rPr>
                <w:rFonts w:ascii="Quattrocento Sans" w:eastAsia="Quattrocento Sans" w:hAnsi="Quattrocento Sans" w:cs="Quattrocento Sans"/>
                <w:b/>
                <w:sz w:val="24"/>
                <w:szCs w:val="24"/>
              </w:rPr>
            </w:pPr>
            <w:r>
              <w:rPr>
                <w:rFonts w:ascii="Quattrocento Sans" w:eastAsia="Quattrocento Sans" w:hAnsi="Quattrocento Sans" w:cs="Quattrocento Sans"/>
                <w:b/>
                <w:sz w:val="28"/>
                <w:szCs w:val="28"/>
              </w:rPr>
              <w:t xml:space="preserve">DEPARTMENT OF COMPUTER ENGINEERING </w:t>
            </w:r>
          </w:p>
        </w:tc>
      </w:tr>
    </w:tbl>
    <w:p w:rsidR="001E2DE7" w:rsidRDefault="001E2DE7">
      <w:pPr>
        <w:pBdr>
          <w:bottom w:val="single" w:sz="12" w:space="1" w:color="000000"/>
        </w:pBdr>
        <w:spacing w:after="0" w:line="240" w:lineRule="auto"/>
        <w:jc w:val="center"/>
        <w:rPr>
          <w:rFonts w:ascii="Quattrocento Sans" w:eastAsia="Quattrocento Sans" w:hAnsi="Quattrocento Sans" w:cs="Quattrocento Sans"/>
          <w:b/>
          <w:sz w:val="28"/>
          <w:szCs w:val="28"/>
        </w:rPr>
      </w:pP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Semester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 Semester VII – Computer Engineering</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Data Science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 Professor In-charge</w:t>
            </w:r>
          </w:p>
        </w:tc>
        <w:tc>
          <w:tcPr>
            <w:tcW w:w="5981" w:type="dxa"/>
            <w:vAlign w:val="center"/>
          </w:tcPr>
          <w:p w:rsidR="001E2DE7" w:rsidRDefault="0016432B">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Prof. </w:t>
            </w:r>
            <w:r w:rsidRPr="0016432B">
              <w:rPr>
                <w:rFonts w:ascii="Quattrocento Sans" w:eastAsia="Quattrocento Sans" w:hAnsi="Quattrocento Sans" w:cs="Quattrocento Sans"/>
                <w:sz w:val="24"/>
                <w:szCs w:val="24"/>
              </w:rPr>
              <w:t>Neha Kudu</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Academic Year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2024-25</w:t>
            </w:r>
          </w:p>
        </w:tc>
      </w:tr>
    </w:tbl>
    <w:p w:rsidR="001E2DE7" w:rsidRDefault="001E2DE7">
      <w:pPr>
        <w:spacing w:after="0"/>
        <w:rPr>
          <w:rFonts w:ascii="Quattrocento Sans" w:eastAsia="Quattrocento Sans" w:hAnsi="Quattrocento Sans" w:cs="Quattrocento Sans"/>
          <w:sz w:val="10"/>
          <w:szCs w:val="10"/>
        </w:rPr>
      </w:pPr>
    </w:p>
    <w:tbl>
      <w:tblPr>
        <w:tblStyle w:val="a4"/>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Student Name</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Deep Salunkhe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Roll Number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21102A0014</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Topic</w:t>
            </w:r>
          </w:p>
        </w:tc>
        <w:tc>
          <w:tcPr>
            <w:tcW w:w="5981" w:type="dxa"/>
            <w:vAlign w:val="center"/>
          </w:tcPr>
          <w:p w:rsidR="001E2DE7" w:rsidRPr="00F253FD" w:rsidRDefault="00F253FD">
            <w:pPr>
              <w:rPr>
                <w:rFonts w:ascii="Quattrocento Sans" w:eastAsia="Quattrocento Sans" w:hAnsi="Quattrocento Sans" w:cs="Quattrocento Sans"/>
                <w:sz w:val="24"/>
                <w:szCs w:val="24"/>
              </w:rPr>
            </w:pPr>
            <w:r w:rsidRPr="00F253FD">
              <w:rPr>
                <w:rFonts w:ascii="Quattrocento Sans" w:eastAsia="Quattrocento Sans" w:hAnsi="Quattrocento Sans" w:cs="Quattrocento Sans"/>
                <w:sz w:val="24"/>
                <w:szCs w:val="24"/>
              </w:rPr>
              <w:t>Technical paper review </w:t>
            </w:r>
          </w:p>
        </w:tc>
      </w:tr>
    </w:tbl>
    <w:p w:rsidR="001E2DE7" w:rsidRDefault="001E2DE7" w:rsidP="00710ED3">
      <w:pPr>
        <w:spacing w:line="360" w:lineRule="auto"/>
        <w:rPr>
          <w:rFonts w:ascii="Arial Narrow" w:eastAsia="Arial Narrow" w:hAnsi="Arial Narrow" w:cs="Arial Narrow"/>
          <w:b/>
        </w:rPr>
      </w:pPr>
    </w:p>
    <w:p w:rsidR="00B4312B" w:rsidRPr="00B4312B" w:rsidRDefault="00B4312B" w:rsidP="00710ED3">
      <w:pPr>
        <w:spacing w:line="360" w:lineRule="auto"/>
        <w:rPr>
          <w:rFonts w:ascii="Quattrocento Sans" w:eastAsia="Arial Narrow" w:hAnsi="Quattrocento Sans" w:cs="Arial Narrow"/>
          <w:bCs/>
        </w:rPr>
      </w:pPr>
      <w:r w:rsidRPr="00B4312B">
        <w:rPr>
          <w:rFonts w:ascii="Quattrocento Sans" w:eastAsia="Arial Narrow" w:hAnsi="Quattrocento Sans" w:cs="Arial Narrow"/>
          <w:b/>
        </w:rPr>
        <w:t>Paper:</w:t>
      </w:r>
      <w:r w:rsidRPr="00B4312B">
        <w:rPr>
          <w:rFonts w:ascii="Quattrocento Sans" w:hAnsi="Quattrocento Sans"/>
        </w:rPr>
        <w:t xml:space="preserve"> </w:t>
      </w:r>
      <w:r w:rsidRPr="00B4312B">
        <w:rPr>
          <w:rFonts w:ascii="Quattrocento Sans" w:eastAsia="Arial Narrow" w:hAnsi="Quattrocento Sans" w:cs="Arial Narrow"/>
          <w:bCs/>
        </w:rPr>
        <w:t>"Clinical Information Extraction Applications: A Literature Review,"</w:t>
      </w:r>
      <w:r w:rsidRPr="00B4312B">
        <w:rPr>
          <w:rFonts w:ascii="Quattrocento Sans" w:eastAsia="Arial Narrow" w:hAnsi="Quattrocento Sans" w:cs="Arial Narrow"/>
          <w:bCs/>
        </w:rPr>
        <w:t xml:space="preserve"> by </w:t>
      </w:r>
      <w:r w:rsidRPr="00B4312B">
        <w:rPr>
          <w:rFonts w:ascii="Quattrocento Sans" w:eastAsia="Arial Narrow" w:hAnsi="Quattrocento Sans" w:cs="Arial Narrow"/>
          <w:bCs/>
        </w:rPr>
        <w:t>Wang, Y., Wang, L., &amp; Rastegar-Mojarad (2018)</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Overview</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presents a comprehensive review of clinical information extraction (IE) techniques and their applications in the healthcare industry. It emphasizes the growing need for automated systems that can process unstructured clinical text to extract meaningful information. The review covers various methods used for IE, including rule-based approaches, machine learning, and hybrid methods that combine both techniques. It also highlights the challenges associated with processing clinical data, such as data quality, semantic complexity, and privacy concerns.</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Objectives</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primary aim of the paper is to summarize the state-of-the-art techniques in clinical IE and discuss their practical applications in healthcare. It seeks to provide an understanding of the strengths and limitations of different IE approaches and identify the gaps in current research that need to be addressed to improve the effectiveness of these methods.</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Techniques for Clinical Information Extraction</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categorizes IE techniques into three main types:</w:t>
      </w:r>
    </w:p>
    <w:p w:rsidR="00B4312B" w:rsidRPr="00B4312B" w:rsidRDefault="00B4312B" w:rsidP="00B4312B">
      <w:pPr>
        <w:numPr>
          <w:ilvl w:val="0"/>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Rule-Based Approaches:</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lastRenderedPageBreak/>
        <w:t>Rule-based methods rely on manually crafted rules and pattern matching to identify relevant information in clinical text. These methods often use regular expressions, dictionaries, and linguistic rules to extract entities and relationships.</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review points out that rule-based approaches are highly precise in well-defined domains but tend to lack generalizability and are challenging to maintain as clinical language evolves.</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Commonly used tools include MetaMap and cTAKES, which map clinical terms to concepts in the Unified Medical Language System (UMLS).</w:t>
      </w:r>
    </w:p>
    <w:p w:rsidR="00B4312B" w:rsidRPr="00B4312B" w:rsidRDefault="00B4312B" w:rsidP="00B4312B">
      <w:pPr>
        <w:numPr>
          <w:ilvl w:val="0"/>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Machine Learning Approaches:</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Machine learning (ML) methods are increasingly popular for clinical IE due to their ability to learn from data without explicitly defined rules. These techniques can be categorized into supervised, semi-supervised, and unsupervised learning.</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review discusses the use of traditional ML algorithms such as Support Vector Machines (SVM), Conditional Random Fields (CRF), and newer approaches based on deep learning, like Recurrent Neural Networks (RNN) and Convolutional Neural Networks (CNN).</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Deep learning techniques are highlighted for their superior performance in tasks like Named Entity Recognition (NER) and Relation Extraction due to their ability to capture contextual information.</w:t>
      </w:r>
    </w:p>
    <w:p w:rsidR="00B4312B" w:rsidRPr="00B4312B" w:rsidRDefault="00B4312B" w:rsidP="00B4312B">
      <w:pPr>
        <w:numPr>
          <w:ilvl w:val="0"/>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Hybrid Approaches:</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Hybrid methods combine rule-based techniques and ML to leverage the strengths of both. For example, rules can be used to preprocess data or post-process machine learning outputs to improve accuracy.</w:t>
      </w:r>
    </w:p>
    <w:p w:rsidR="00B4312B" w:rsidRPr="00B4312B" w:rsidRDefault="00B4312B" w:rsidP="00B4312B">
      <w:pPr>
        <w:numPr>
          <w:ilvl w:val="1"/>
          <w:numId w:val="14"/>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describes hybrid systems that use rule-based preprocessing to filter noisy data before applying machine learning models, achieving better results than using either approach alone.</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Applications of Information Extraction</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provides several examples of how IE is applied in clinical settings:</w:t>
      </w:r>
    </w:p>
    <w:p w:rsidR="00B4312B" w:rsidRPr="00B4312B" w:rsidRDefault="00B4312B" w:rsidP="00B4312B">
      <w:pPr>
        <w:numPr>
          <w:ilvl w:val="0"/>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Clinical Decision Support:</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lastRenderedPageBreak/>
        <w:t>Extracting information such as symptoms, diagnoses, and treatment plans from clinical notes can aid decision support systems, helping physicians make better-informed decisions.</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Automated extraction of risk factors from patient records can improve the identification of high-risk patients for conditions like sepsis or diabetes.</w:t>
      </w:r>
    </w:p>
    <w:p w:rsidR="00B4312B" w:rsidRPr="00B4312B" w:rsidRDefault="00B4312B" w:rsidP="00B4312B">
      <w:pPr>
        <w:numPr>
          <w:ilvl w:val="0"/>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Adverse Drug Event Detection:</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IE techniques are used to detect mentions of adverse drug events (ADEs) in clinical notes. This helps pharmacovigilance efforts by identifying potential risks associated with specific medications.</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discusses how machine learning approaches, especially deep learning models, have shown promise in detecting ADEs with higher accuracy compared to traditional methods.</w:t>
      </w:r>
    </w:p>
    <w:p w:rsidR="00B4312B" w:rsidRPr="00B4312B" w:rsidRDefault="00B4312B" w:rsidP="00B4312B">
      <w:pPr>
        <w:numPr>
          <w:ilvl w:val="0"/>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Patient Cohort Identification:</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IE is employed to identify patient cohorts for clinical trials or research studies based on criteria such as disease conditions, medications, and demographic information mentioned in unstructured clinical text.</w:t>
      </w:r>
    </w:p>
    <w:p w:rsidR="00B4312B" w:rsidRPr="00B4312B" w:rsidRDefault="00B4312B" w:rsidP="00B4312B">
      <w:pPr>
        <w:numPr>
          <w:ilvl w:val="1"/>
          <w:numId w:val="15"/>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use of automated extraction reduces the manual effort required to filter patient records, accelerating the recruitment process for clinical studies.</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Challenges in Clinical Information Extraction</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discusses several key challenges that hinder the effective implementation of IE techniques in clinical settings:</w:t>
      </w:r>
    </w:p>
    <w:p w:rsidR="00B4312B" w:rsidRPr="00B4312B" w:rsidRDefault="00B4312B" w:rsidP="00B4312B">
      <w:pPr>
        <w:numPr>
          <w:ilvl w:val="0"/>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Data Quality and Standardization:</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Clinical notes often contain unstructured and inconsistent information, including misspellings, abbreviations, and variations in medical terminology. This makes standardizing data a complex task.</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use of different clinical terminologies and coding standards across institutions adds to the difficulty of developing generalized IE models.</w:t>
      </w:r>
    </w:p>
    <w:p w:rsidR="00B4312B" w:rsidRPr="00B4312B" w:rsidRDefault="00B4312B" w:rsidP="00B4312B">
      <w:pPr>
        <w:numPr>
          <w:ilvl w:val="0"/>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Semantic Complexity:</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lastRenderedPageBreak/>
        <w:t>Clinical text is semantically rich, with complex relationships between medical entities. For example, distinguishing between a patient’s current and historical conditions can be challenging.</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Contextual information is often needed to correctly interpret clinical statements, which deep learning models like BERT can address, though they require large amounts of annotated training data.</w:t>
      </w:r>
    </w:p>
    <w:p w:rsidR="00B4312B" w:rsidRPr="00B4312B" w:rsidRDefault="00B4312B" w:rsidP="00B4312B">
      <w:pPr>
        <w:numPr>
          <w:ilvl w:val="0"/>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Privacy and Ethical Considerations:</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Ensuring patient confidentiality is paramount, as clinical text contains sensitive information. Techniques for de-identifying data must be integrated into IE systems to comply with regulations such as HIPAA.</w:t>
      </w:r>
    </w:p>
    <w:p w:rsidR="00B4312B" w:rsidRPr="00B4312B" w:rsidRDefault="00B4312B" w:rsidP="00B4312B">
      <w:pPr>
        <w:numPr>
          <w:ilvl w:val="1"/>
          <w:numId w:val="16"/>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authors emphasize that balancing data availability with privacy concerns is crucial for advancing research while protecting patient rights.</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Gaps in Existing Research</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review identifies areas where current research falls short and suggests potential directions for future work:</w:t>
      </w:r>
    </w:p>
    <w:p w:rsidR="00B4312B" w:rsidRPr="00B4312B" w:rsidRDefault="00B4312B" w:rsidP="00B4312B">
      <w:pPr>
        <w:numPr>
          <w:ilvl w:val="0"/>
          <w:numId w:val="17"/>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Lack of Generalizability:</w:t>
      </w:r>
      <w:r w:rsidRPr="00B4312B">
        <w:rPr>
          <w:rFonts w:ascii="Quattrocento Sans" w:eastAsia="Arial Narrow" w:hAnsi="Quattrocento Sans" w:cs="Arial Narrow"/>
          <w:bCs/>
          <w:lang w:val="en-IN"/>
        </w:rPr>
        <w:t xml:space="preserve"> Many NLP models are trained on specific datasets, limiting their ability to generalize across different clinical domains or institutions. Future research should focus on developing more adaptable models that can handle diverse data sources.</w:t>
      </w:r>
    </w:p>
    <w:p w:rsidR="00B4312B" w:rsidRPr="00B4312B" w:rsidRDefault="00B4312B" w:rsidP="00B4312B">
      <w:pPr>
        <w:numPr>
          <w:ilvl w:val="0"/>
          <w:numId w:val="17"/>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Limited Use of Real-Time Data:</w:t>
      </w:r>
      <w:r w:rsidRPr="00B4312B">
        <w:rPr>
          <w:rFonts w:ascii="Quattrocento Sans" w:eastAsia="Arial Narrow" w:hAnsi="Quattrocento Sans" w:cs="Arial Narrow"/>
          <w:bCs/>
          <w:lang w:val="en-IN"/>
        </w:rPr>
        <w:t xml:space="preserve"> There is a need for techniques that can process clinical information in real-time, enabling more immediate decision support.</w:t>
      </w:r>
    </w:p>
    <w:p w:rsidR="00B4312B" w:rsidRPr="00B4312B" w:rsidRDefault="00B4312B" w:rsidP="00B4312B">
      <w:pPr>
        <w:numPr>
          <w:ilvl w:val="0"/>
          <w:numId w:val="17"/>
        </w:num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
          <w:bCs/>
          <w:lang w:val="en-IN"/>
        </w:rPr>
        <w:t>Integration with Other Data Types:</w:t>
      </w:r>
      <w:r w:rsidRPr="00B4312B">
        <w:rPr>
          <w:rFonts w:ascii="Quattrocento Sans" w:eastAsia="Arial Narrow" w:hAnsi="Quattrocento Sans" w:cs="Arial Narrow"/>
          <w:bCs/>
          <w:lang w:val="en-IN"/>
        </w:rPr>
        <w:t xml:space="preserve"> The review suggests that combining text data with other clinical data, such as medical images or genomic data, could enhance the accuracy and utility of IE applications.</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t>Conclusion</w:t>
      </w:r>
    </w:p>
    <w:p w:rsidR="00B4312B" w:rsidRPr="00B4312B" w:rsidRDefault="00B4312B" w:rsidP="00B4312B">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The paper concludes that while significant progress has been made in developing IE techniques for clinical applications, there are still major challenges to be addressed. Continued research is needed to improve data quality, enhance the generalizability of models, and ensure the ethical use of patient data. The potential benefits of NLP in healthcare, such as automating information extraction and supporting clinical decision-making, make it a valuable area for ongoing research and development.</w:t>
      </w:r>
    </w:p>
    <w:p w:rsidR="00B4312B" w:rsidRPr="00B4312B" w:rsidRDefault="00B4312B" w:rsidP="00B4312B">
      <w:pPr>
        <w:spacing w:line="360" w:lineRule="auto"/>
        <w:rPr>
          <w:rFonts w:ascii="Quattrocento Sans" w:eastAsia="Arial Narrow" w:hAnsi="Quattrocento Sans" w:cs="Arial Narrow"/>
          <w:b/>
          <w:bCs/>
          <w:lang w:val="en-IN"/>
        </w:rPr>
      </w:pPr>
      <w:r w:rsidRPr="00B4312B">
        <w:rPr>
          <w:rFonts w:ascii="Quattrocento Sans" w:eastAsia="Arial Narrow" w:hAnsi="Quattrocento Sans" w:cs="Arial Narrow"/>
          <w:b/>
          <w:bCs/>
          <w:lang w:val="en-IN"/>
        </w:rPr>
        <w:lastRenderedPageBreak/>
        <w:t>Summary</w:t>
      </w:r>
    </w:p>
    <w:p w:rsidR="00B4312B" w:rsidRPr="00B4312B" w:rsidRDefault="00B4312B" w:rsidP="00710ED3">
      <w:pPr>
        <w:spacing w:line="360" w:lineRule="auto"/>
        <w:rPr>
          <w:rFonts w:ascii="Quattrocento Sans" w:eastAsia="Arial Narrow" w:hAnsi="Quattrocento Sans" w:cs="Arial Narrow"/>
          <w:bCs/>
          <w:lang w:val="en-IN"/>
        </w:rPr>
      </w:pPr>
      <w:r w:rsidRPr="00B4312B">
        <w:rPr>
          <w:rFonts w:ascii="Quattrocento Sans" w:eastAsia="Arial Narrow" w:hAnsi="Quattrocento Sans" w:cs="Arial Narrow"/>
          <w:bCs/>
          <w:lang w:val="en-IN"/>
        </w:rPr>
        <w:t>Overall, the review by Wang, Y., Wang, L., &amp; Rastegar-Mojarad (2018) provides a thorough examination of the current state of clinical IE, covering various techniques, applications, challenges, and future directions. It emphasizes the need for hybrid approaches and deep learning models to address the complexities of clinical text, while also highlighting the importance of ethical considerations and data privacy in healthcare applications.</w:t>
      </w:r>
    </w:p>
    <w:p w:rsidR="00B4312B" w:rsidRDefault="00B4312B" w:rsidP="00710ED3">
      <w:pPr>
        <w:spacing w:line="360" w:lineRule="auto"/>
        <w:rPr>
          <w:rFonts w:ascii="Arial Narrow" w:eastAsia="Arial Narrow" w:hAnsi="Arial Narrow" w:cs="Arial Narrow"/>
          <w:b/>
        </w:rPr>
      </w:pPr>
    </w:p>
    <w:sectPr w:rsidR="00B4312B">
      <w:footerReference w:type="default" r:id="rId9"/>
      <w:pgSz w:w="12240" w:h="15840"/>
      <w:pgMar w:top="1152" w:right="1152" w:bottom="1152" w:left="17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87FDC" w:rsidRDefault="00487FDC">
      <w:pPr>
        <w:spacing w:after="0" w:line="240" w:lineRule="auto"/>
      </w:pPr>
      <w:r>
        <w:separator/>
      </w:r>
    </w:p>
  </w:endnote>
  <w:endnote w:type="continuationSeparator" w:id="0">
    <w:p w:rsidR="00487FDC" w:rsidRDefault="0048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70F903F-4C52-446D-AD37-CCB963602DE0}"/>
    <w:embedBold r:id="rId2" w:fontKey="{DFE95235-68B6-40FF-AA3B-86C7A97C6195}"/>
  </w:font>
  <w:font w:name="AR PL UMing H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3" w:fontKey="{534FB410-259C-4253-A54B-5AB619B4232B}"/>
  </w:font>
  <w:font w:name="Georgia">
    <w:panose1 w:val="02040502050405020303"/>
    <w:charset w:val="00"/>
    <w:family w:val="roman"/>
    <w:pitch w:val="variable"/>
    <w:sig w:usb0="00000287" w:usb1="00000000" w:usb2="00000000" w:usb3="00000000" w:csb0="0000009F" w:csb1="00000000"/>
    <w:embedRegular r:id="rId4" w:fontKey="{67AFAB36-1056-4377-AECF-49AA7019E83B}"/>
    <w:embedItalic r:id="rId5" w:fontKey="{6AC3A494-0368-42B3-AC58-9ED011AA077A}"/>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8C09101C-FB77-4141-86D7-6C4B0F2FA70F}"/>
    <w:embedBold r:id="rId7" w:fontKey="{DDEF8B2B-59D7-4CAB-8800-058B086562CB}"/>
  </w:font>
  <w:font w:name="Arial Narrow">
    <w:panose1 w:val="020B0606020202030204"/>
    <w:charset w:val="00"/>
    <w:family w:val="swiss"/>
    <w:pitch w:val="variable"/>
    <w:sig w:usb0="00000287" w:usb1="00000800" w:usb2="00000000" w:usb3="00000000" w:csb0="0000009F" w:csb1="00000000"/>
    <w:embedRegular r:id="rId8" w:fontKey="{5C9C17A6-B36A-489B-9FCA-B443ED4B824A}"/>
    <w:embedBold r:id="rId9" w:fontKey="{85467953-28D6-4817-8A8C-6936CE7E4C0F}"/>
    <w:embedItalic r:id="rId10" w:fontKey="{7AC85D59-3D2A-49B3-BE4B-9F90E2439B1F}"/>
  </w:font>
  <w:font w:name="Calibri Light">
    <w:panose1 w:val="020F0302020204030204"/>
    <w:charset w:val="00"/>
    <w:family w:val="swiss"/>
    <w:pitch w:val="variable"/>
    <w:sig w:usb0="E4002EFF" w:usb1="C200247B" w:usb2="00000009" w:usb3="00000000" w:csb0="000001FF" w:csb1="00000000"/>
    <w:embedRegular r:id="rId11" w:fontKey="{C523166F-9933-43E5-9F12-D69A42E862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2DE7" w:rsidRDefault="00710ED3">
    <w:pPr>
      <w:pBdr>
        <w:top w:val="nil"/>
        <w:left w:val="nil"/>
        <w:bottom w:val="single" w:sz="6" w:space="1" w:color="000000"/>
        <w:right w:val="nil"/>
        <w:between w:val="nil"/>
      </w:pBdr>
      <w:tabs>
        <w:tab w:val="center" w:pos="4680"/>
        <w:tab w:val="right" w:pos="9360"/>
        <w:tab w:val="left" w:pos="8175"/>
      </w:tabs>
      <w:spacing w:after="0" w:line="240" w:lineRule="auto"/>
      <w:jc w:val="right"/>
      <w:rPr>
        <w:rFonts w:ascii="Arial Narrow" w:eastAsia="Arial Narrow" w:hAnsi="Arial Narrow" w:cs="Arial Narrow"/>
        <w:i/>
        <w:color w:val="285EA0"/>
        <w:sz w:val="20"/>
        <w:szCs w:val="20"/>
      </w:rPr>
    </w:pPr>
    <w:r>
      <w:rPr>
        <w:rFonts w:ascii="Arial Narrow" w:eastAsia="Arial Narrow" w:hAnsi="Arial Narrow" w:cs="Arial Narrow"/>
        <w:i/>
        <w:color w:val="285EA0"/>
        <w:sz w:val="20"/>
        <w:szCs w:val="20"/>
      </w:rPr>
      <w:t>Data Science</w:t>
    </w:r>
    <w:r w:rsidR="00000000">
      <w:rPr>
        <w:rFonts w:ascii="Arial Narrow" w:eastAsia="Arial Narrow" w:hAnsi="Arial Narrow" w:cs="Arial Narrow"/>
        <w:i/>
        <w:color w:val="285EA0"/>
        <w:sz w:val="20"/>
        <w:szCs w:val="20"/>
      </w:rPr>
      <w:t xml:space="preserve"> - Semester VII – Computer Engineering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87FDC" w:rsidRDefault="00487FDC">
      <w:pPr>
        <w:spacing w:after="0" w:line="240" w:lineRule="auto"/>
      </w:pPr>
      <w:r>
        <w:separator/>
      </w:r>
    </w:p>
  </w:footnote>
  <w:footnote w:type="continuationSeparator" w:id="0">
    <w:p w:rsidR="00487FDC" w:rsidRDefault="00487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64461"/>
    <w:multiLevelType w:val="multilevel"/>
    <w:tmpl w:val="EF72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54E98"/>
    <w:multiLevelType w:val="multilevel"/>
    <w:tmpl w:val="D18EE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8E23D73"/>
    <w:multiLevelType w:val="multilevel"/>
    <w:tmpl w:val="5CD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C7B8C"/>
    <w:multiLevelType w:val="multilevel"/>
    <w:tmpl w:val="0896D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534AD8"/>
    <w:multiLevelType w:val="multilevel"/>
    <w:tmpl w:val="EC7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E96D66"/>
    <w:multiLevelType w:val="multilevel"/>
    <w:tmpl w:val="6174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224FC"/>
    <w:multiLevelType w:val="multilevel"/>
    <w:tmpl w:val="211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011850"/>
    <w:multiLevelType w:val="multilevel"/>
    <w:tmpl w:val="E86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375D3"/>
    <w:multiLevelType w:val="multilevel"/>
    <w:tmpl w:val="C56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72B7A"/>
    <w:multiLevelType w:val="multilevel"/>
    <w:tmpl w:val="2B6E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0610B"/>
    <w:multiLevelType w:val="multilevel"/>
    <w:tmpl w:val="3CA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40729B"/>
    <w:multiLevelType w:val="multilevel"/>
    <w:tmpl w:val="06C0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3D0E35"/>
    <w:multiLevelType w:val="multilevel"/>
    <w:tmpl w:val="756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B027B"/>
    <w:multiLevelType w:val="multilevel"/>
    <w:tmpl w:val="BC22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1F5B39"/>
    <w:multiLevelType w:val="multilevel"/>
    <w:tmpl w:val="C988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75F6C"/>
    <w:multiLevelType w:val="multilevel"/>
    <w:tmpl w:val="19F2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615122"/>
    <w:multiLevelType w:val="multilevel"/>
    <w:tmpl w:val="7422A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0713588">
    <w:abstractNumId w:val="1"/>
  </w:num>
  <w:num w:numId="2" w16cid:durableId="713115896">
    <w:abstractNumId w:val="14"/>
  </w:num>
  <w:num w:numId="3" w16cid:durableId="42952568">
    <w:abstractNumId w:val="2"/>
  </w:num>
  <w:num w:numId="4" w16cid:durableId="1690254440">
    <w:abstractNumId w:val="8"/>
  </w:num>
  <w:num w:numId="5" w16cid:durableId="1365712671">
    <w:abstractNumId w:val="10"/>
  </w:num>
  <w:num w:numId="6" w16cid:durableId="763108708">
    <w:abstractNumId w:val="9"/>
  </w:num>
  <w:num w:numId="7" w16cid:durableId="175846387">
    <w:abstractNumId w:val="12"/>
  </w:num>
  <w:num w:numId="8" w16cid:durableId="1591112852">
    <w:abstractNumId w:val="7"/>
  </w:num>
  <w:num w:numId="9" w16cid:durableId="1817064278">
    <w:abstractNumId w:val="15"/>
  </w:num>
  <w:num w:numId="10" w16cid:durableId="1026323428">
    <w:abstractNumId w:val="6"/>
  </w:num>
  <w:num w:numId="11" w16cid:durableId="1148790010">
    <w:abstractNumId w:val="13"/>
  </w:num>
  <w:num w:numId="12" w16cid:durableId="1949581586">
    <w:abstractNumId w:val="11"/>
  </w:num>
  <w:num w:numId="13" w16cid:durableId="1273368090">
    <w:abstractNumId w:val="5"/>
  </w:num>
  <w:num w:numId="14" w16cid:durableId="229586734">
    <w:abstractNumId w:val="4"/>
  </w:num>
  <w:num w:numId="15" w16cid:durableId="495606916">
    <w:abstractNumId w:val="3"/>
  </w:num>
  <w:num w:numId="16" w16cid:durableId="444816523">
    <w:abstractNumId w:val="16"/>
  </w:num>
  <w:num w:numId="17" w16cid:durableId="50220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DE7"/>
    <w:rsid w:val="001567AB"/>
    <w:rsid w:val="0016432B"/>
    <w:rsid w:val="001E2DE7"/>
    <w:rsid w:val="003C02B0"/>
    <w:rsid w:val="00440399"/>
    <w:rsid w:val="00487FDC"/>
    <w:rsid w:val="004F5F29"/>
    <w:rsid w:val="00710ED3"/>
    <w:rsid w:val="0092630D"/>
    <w:rsid w:val="009B07F9"/>
    <w:rsid w:val="00B4312B"/>
    <w:rsid w:val="00B851AC"/>
    <w:rsid w:val="00BA4B49"/>
    <w:rsid w:val="00C004AF"/>
    <w:rsid w:val="00C23C46"/>
    <w:rsid w:val="00D34E2F"/>
    <w:rsid w:val="00F253FD"/>
    <w:rsid w:val="00F43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F5D3"/>
  <w15:docId w15:val="{603244C7-B60D-4411-8636-2D3E3474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65"/>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73A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73A65"/>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973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65"/>
  </w:style>
  <w:style w:type="paragraph" w:styleId="NormalWeb">
    <w:name w:val="Normal (Web)"/>
    <w:basedOn w:val="Normal"/>
    <w:rsid w:val="00973A65"/>
    <w:pPr>
      <w:suppressAutoHyphens/>
      <w:autoSpaceDN w:val="0"/>
      <w:spacing w:after="0" w:line="240" w:lineRule="auto"/>
      <w:textAlignment w:val="baseline"/>
    </w:pPr>
    <w:rPr>
      <w:rFonts w:ascii="Times New Roman" w:eastAsia="AR PL UMing HK" w:hAnsi="Times New Roman"/>
      <w:kern w:val="3"/>
      <w:sz w:val="24"/>
      <w:szCs w:val="24"/>
    </w:rPr>
  </w:style>
  <w:style w:type="paragraph" w:styleId="Header">
    <w:name w:val="header"/>
    <w:basedOn w:val="Normal"/>
    <w:link w:val="HeaderChar"/>
    <w:uiPriority w:val="99"/>
    <w:unhideWhenUsed/>
    <w:rsid w:val="00CA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B"/>
  </w:style>
  <w:style w:type="paragraph" w:styleId="BalloonText">
    <w:name w:val="Balloon Text"/>
    <w:basedOn w:val="Normal"/>
    <w:link w:val="BalloonTextChar"/>
    <w:uiPriority w:val="99"/>
    <w:semiHidden/>
    <w:unhideWhenUsed/>
    <w:rsid w:val="006531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31C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559629">
      <w:bodyDiv w:val="1"/>
      <w:marLeft w:val="0"/>
      <w:marRight w:val="0"/>
      <w:marTop w:val="0"/>
      <w:marBottom w:val="0"/>
      <w:divBdr>
        <w:top w:val="none" w:sz="0" w:space="0" w:color="auto"/>
        <w:left w:val="none" w:sz="0" w:space="0" w:color="auto"/>
        <w:bottom w:val="none" w:sz="0" w:space="0" w:color="auto"/>
        <w:right w:val="none" w:sz="0" w:space="0" w:color="auto"/>
      </w:divBdr>
      <w:divsChild>
        <w:div w:id="925312264">
          <w:marLeft w:val="0"/>
          <w:marRight w:val="0"/>
          <w:marTop w:val="0"/>
          <w:marBottom w:val="0"/>
          <w:divBdr>
            <w:top w:val="none" w:sz="0" w:space="0" w:color="auto"/>
            <w:left w:val="none" w:sz="0" w:space="0" w:color="auto"/>
            <w:bottom w:val="none" w:sz="0" w:space="0" w:color="auto"/>
            <w:right w:val="none" w:sz="0" w:space="0" w:color="auto"/>
          </w:divBdr>
          <w:divsChild>
            <w:div w:id="1638991270">
              <w:marLeft w:val="0"/>
              <w:marRight w:val="0"/>
              <w:marTop w:val="0"/>
              <w:marBottom w:val="0"/>
              <w:divBdr>
                <w:top w:val="none" w:sz="0" w:space="0" w:color="auto"/>
                <w:left w:val="none" w:sz="0" w:space="0" w:color="auto"/>
                <w:bottom w:val="none" w:sz="0" w:space="0" w:color="auto"/>
                <w:right w:val="none" w:sz="0" w:space="0" w:color="auto"/>
              </w:divBdr>
              <w:divsChild>
                <w:div w:id="1607421293">
                  <w:marLeft w:val="0"/>
                  <w:marRight w:val="0"/>
                  <w:marTop w:val="0"/>
                  <w:marBottom w:val="0"/>
                  <w:divBdr>
                    <w:top w:val="none" w:sz="0" w:space="0" w:color="auto"/>
                    <w:left w:val="none" w:sz="0" w:space="0" w:color="auto"/>
                    <w:bottom w:val="none" w:sz="0" w:space="0" w:color="auto"/>
                    <w:right w:val="none" w:sz="0" w:space="0" w:color="auto"/>
                  </w:divBdr>
                  <w:divsChild>
                    <w:div w:id="11592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6306">
          <w:marLeft w:val="0"/>
          <w:marRight w:val="0"/>
          <w:marTop w:val="0"/>
          <w:marBottom w:val="0"/>
          <w:divBdr>
            <w:top w:val="none" w:sz="0" w:space="0" w:color="auto"/>
            <w:left w:val="none" w:sz="0" w:space="0" w:color="auto"/>
            <w:bottom w:val="none" w:sz="0" w:space="0" w:color="auto"/>
            <w:right w:val="none" w:sz="0" w:space="0" w:color="auto"/>
          </w:divBdr>
          <w:divsChild>
            <w:div w:id="1738044042">
              <w:marLeft w:val="0"/>
              <w:marRight w:val="0"/>
              <w:marTop w:val="0"/>
              <w:marBottom w:val="0"/>
              <w:divBdr>
                <w:top w:val="none" w:sz="0" w:space="0" w:color="auto"/>
                <w:left w:val="none" w:sz="0" w:space="0" w:color="auto"/>
                <w:bottom w:val="none" w:sz="0" w:space="0" w:color="auto"/>
                <w:right w:val="none" w:sz="0" w:space="0" w:color="auto"/>
              </w:divBdr>
              <w:divsChild>
                <w:div w:id="332998448">
                  <w:marLeft w:val="0"/>
                  <w:marRight w:val="0"/>
                  <w:marTop w:val="0"/>
                  <w:marBottom w:val="0"/>
                  <w:divBdr>
                    <w:top w:val="none" w:sz="0" w:space="0" w:color="auto"/>
                    <w:left w:val="none" w:sz="0" w:space="0" w:color="auto"/>
                    <w:bottom w:val="none" w:sz="0" w:space="0" w:color="auto"/>
                    <w:right w:val="none" w:sz="0" w:space="0" w:color="auto"/>
                  </w:divBdr>
                  <w:divsChild>
                    <w:div w:id="637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428245">
      <w:bodyDiv w:val="1"/>
      <w:marLeft w:val="0"/>
      <w:marRight w:val="0"/>
      <w:marTop w:val="0"/>
      <w:marBottom w:val="0"/>
      <w:divBdr>
        <w:top w:val="none" w:sz="0" w:space="0" w:color="auto"/>
        <w:left w:val="none" w:sz="0" w:space="0" w:color="auto"/>
        <w:bottom w:val="none" w:sz="0" w:space="0" w:color="auto"/>
        <w:right w:val="none" w:sz="0" w:space="0" w:color="auto"/>
      </w:divBdr>
      <w:divsChild>
        <w:div w:id="341469644">
          <w:marLeft w:val="0"/>
          <w:marRight w:val="0"/>
          <w:marTop w:val="0"/>
          <w:marBottom w:val="0"/>
          <w:divBdr>
            <w:top w:val="none" w:sz="0" w:space="0" w:color="auto"/>
            <w:left w:val="none" w:sz="0" w:space="0" w:color="auto"/>
            <w:bottom w:val="none" w:sz="0" w:space="0" w:color="auto"/>
            <w:right w:val="none" w:sz="0" w:space="0" w:color="auto"/>
          </w:divBdr>
          <w:divsChild>
            <w:div w:id="1116681180">
              <w:marLeft w:val="0"/>
              <w:marRight w:val="0"/>
              <w:marTop w:val="0"/>
              <w:marBottom w:val="0"/>
              <w:divBdr>
                <w:top w:val="none" w:sz="0" w:space="0" w:color="auto"/>
                <w:left w:val="none" w:sz="0" w:space="0" w:color="auto"/>
                <w:bottom w:val="none" w:sz="0" w:space="0" w:color="auto"/>
                <w:right w:val="none" w:sz="0" w:space="0" w:color="auto"/>
              </w:divBdr>
              <w:divsChild>
                <w:div w:id="1589461882">
                  <w:marLeft w:val="0"/>
                  <w:marRight w:val="0"/>
                  <w:marTop w:val="0"/>
                  <w:marBottom w:val="0"/>
                  <w:divBdr>
                    <w:top w:val="none" w:sz="0" w:space="0" w:color="auto"/>
                    <w:left w:val="none" w:sz="0" w:space="0" w:color="auto"/>
                    <w:bottom w:val="none" w:sz="0" w:space="0" w:color="auto"/>
                    <w:right w:val="none" w:sz="0" w:space="0" w:color="auto"/>
                  </w:divBdr>
                  <w:divsChild>
                    <w:div w:id="11163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119">
          <w:marLeft w:val="0"/>
          <w:marRight w:val="0"/>
          <w:marTop w:val="0"/>
          <w:marBottom w:val="0"/>
          <w:divBdr>
            <w:top w:val="none" w:sz="0" w:space="0" w:color="auto"/>
            <w:left w:val="none" w:sz="0" w:space="0" w:color="auto"/>
            <w:bottom w:val="none" w:sz="0" w:space="0" w:color="auto"/>
            <w:right w:val="none" w:sz="0" w:space="0" w:color="auto"/>
          </w:divBdr>
          <w:divsChild>
            <w:div w:id="76752847">
              <w:marLeft w:val="0"/>
              <w:marRight w:val="0"/>
              <w:marTop w:val="0"/>
              <w:marBottom w:val="0"/>
              <w:divBdr>
                <w:top w:val="none" w:sz="0" w:space="0" w:color="auto"/>
                <w:left w:val="none" w:sz="0" w:space="0" w:color="auto"/>
                <w:bottom w:val="none" w:sz="0" w:space="0" w:color="auto"/>
                <w:right w:val="none" w:sz="0" w:space="0" w:color="auto"/>
              </w:divBdr>
              <w:divsChild>
                <w:div w:id="1761901263">
                  <w:marLeft w:val="0"/>
                  <w:marRight w:val="0"/>
                  <w:marTop w:val="0"/>
                  <w:marBottom w:val="0"/>
                  <w:divBdr>
                    <w:top w:val="none" w:sz="0" w:space="0" w:color="auto"/>
                    <w:left w:val="none" w:sz="0" w:space="0" w:color="auto"/>
                    <w:bottom w:val="none" w:sz="0" w:space="0" w:color="auto"/>
                    <w:right w:val="none" w:sz="0" w:space="0" w:color="auto"/>
                  </w:divBdr>
                  <w:divsChild>
                    <w:div w:id="17406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284062">
      <w:bodyDiv w:val="1"/>
      <w:marLeft w:val="0"/>
      <w:marRight w:val="0"/>
      <w:marTop w:val="0"/>
      <w:marBottom w:val="0"/>
      <w:divBdr>
        <w:top w:val="none" w:sz="0" w:space="0" w:color="auto"/>
        <w:left w:val="none" w:sz="0" w:space="0" w:color="auto"/>
        <w:bottom w:val="none" w:sz="0" w:space="0" w:color="auto"/>
        <w:right w:val="none" w:sz="0" w:space="0" w:color="auto"/>
      </w:divBdr>
    </w:div>
    <w:div w:id="1038047572">
      <w:bodyDiv w:val="1"/>
      <w:marLeft w:val="0"/>
      <w:marRight w:val="0"/>
      <w:marTop w:val="0"/>
      <w:marBottom w:val="0"/>
      <w:divBdr>
        <w:top w:val="none" w:sz="0" w:space="0" w:color="auto"/>
        <w:left w:val="none" w:sz="0" w:space="0" w:color="auto"/>
        <w:bottom w:val="none" w:sz="0" w:space="0" w:color="auto"/>
        <w:right w:val="none" w:sz="0" w:space="0" w:color="auto"/>
      </w:divBdr>
    </w:div>
    <w:div w:id="1287546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E6YEQZkMWen+UTbc61O6PBMw==">CgMxLjA4AHIhMWlNR3R5a1BWM3RjNjVka0g2Y2dUVGhDc2djWFNpQjF4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Pages>
  <Words>1118</Words>
  <Characters>6378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Deep Salunkhe</cp:lastModifiedBy>
  <cp:revision>3</cp:revision>
  <cp:lastPrinted>2024-10-17T04:52:00Z</cp:lastPrinted>
  <dcterms:created xsi:type="dcterms:W3CDTF">2024-10-17T05:11:00Z</dcterms:created>
  <dcterms:modified xsi:type="dcterms:W3CDTF">2024-10-17T05:23:00Z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0x01010017176A7B48915E40964E2966CE0359E6</vt:lpwstr>
  </property>
</Properties>
</file>