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5E1D162" w:rsidP="05E1D162" w:rsidRDefault="05E1D162" w14:paraId="4F2F5C19" w14:textId="068BAF18">
      <w:pPr>
        <w:rPr>
          <w:b w:val="1"/>
          <w:bCs w:val="1"/>
        </w:rPr>
      </w:pPr>
    </w:p>
    <w:p w:rsidRPr="007E0DB8" w:rsidR="007E0DB8" w:rsidP="007E0DB8" w:rsidRDefault="007E0DB8" w14:paraId="0790FD1A" w14:textId="66C00579">
      <w:r w:rsidRPr="05E1D162" w:rsidR="66947E45">
        <w:rPr>
          <w:b w:val="1"/>
          <w:bCs w:val="1"/>
        </w:rPr>
        <w:t xml:space="preserve">  </w:t>
      </w:r>
      <w:r w:rsidRPr="05E1D162" w:rsidR="007E0DB8">
        <w:rPr>
          <w:b w:val="1"/>
          <w:bCs w:val="1"/>
        </w:rPr>
        <w:t>C</w:t>
      </w:r>
      <w:r w:rsidRPr="05E1D162" w:rsidR="007E0DB8">
        <w:rPr>
          <w:b w:val="1"/>
          <w:bCs w:val="1"/>
        </w:rPr>
        <w:t xml:space="preserve">hallenges in </w:t>
      </w:r>
      <w:r w:rsidRPr="05E1D162" w:rsidR="007E0DB8">
        <w:rPr>
          <w:b w:val="1"/>
          <w:bCs w:val="1"/>
        </w:rPr>
        <w:t>Analyzing</w:t>
      </w:r>
      <w:r w:rsidRPr="05E1D162" w:rsidR="007E0DB8">
        <w:rPr>
          <w:b w:val="1"/>
          <w:bCs w:val="1"/>
        </w:rPr>
        <w:t xml:space="preserve"> Genomic Data for Personalized Medicine (10 Marks)</w:t>
      </w:r>
    </w:p>
    <w:p w:rsidRPr="007E0DB8" w:rsidR="007E0DB8" w:rsidP="007E0DB8" w:rsidRDefault="007E0DB8" w14:paraId="604A703D" w14:textId="77777777">
      <w:pPr>
        <w:numPr>
          <w:ilvl w:val="0"/>
          <w:numId w:val="1"/>
        </w:numPr>
      </w:pPr>
      <w:r w:rsidRPr="007E0DB8">
        <w:rPr>
          <w:b/>
          <w:bCs/>
        </w:rPr>
        <w:t>Complexity of Genomic Data</w:t>
      </w:r>
      <w:r w:rsidRPr="007E0DB8">
        <w:t xml:space="preserve">: The human genome consists of over 3 billion base pairs, making it challenging to identify specific genetic variations associated with diseases. Example: </w:t>
      </w:r>
      <w:proofErr w:type="spellStart"/>
      <w:r w:rsidRPr="007E0DB8">
        <w:t>Analyzing</w:t>
      </w:r>
      <w:proofErr w:type="spellEnd"/>
      <w:r w:rsidRPr="007E0DB8">
        <w:t xml:space="preserve"> the genetic mutations involved in cancer requires sophisticated algorithms to distinguish between harmful and benign variations.</w:t>
      </w:r>
    </w:p>
    <w:p w:rsidRPr="007E0DB8" w:rsidR="007E0DB8" w:rsidP="007E0DB8" w:rsidRDefault="007E0DB8" w14:paraId="22C0AAEE" w14:textId="77777777">
      <w:pPr>
        <w:numPr>
          <w:ilvl w:val="0"/>
          <w:numId w:val="1"/>
        </w:numPr>
      </w:pPr>
      <w:r w:rsidRPr="007E0DB8">
        <w:rPr>
          <w:b/>
          <w:bCs/>
        </w:rPr>
        <w:t>Data Interpretation</w:t>
      </w:r>
      <w:r w:rsidRPr="007E0DB8">
        <w:t>: Not all genetic variations have known functions or impacts on health. Many genetic markers are still poorly understood, making it difficult to predict their effects on an individual’s health.</w:t>
      </w:r>
    </w:p>
    <w:p w:rsidRPr="007E0DB8" w:rsidR="007E0DB8" w:rsidP="007E0DB8" w:rsidRDefault="007E0DB8" w14:paraId="546A2CF9" w14:textId="77777777">
      <w:pPr>
        <w:numPr>
          <w:ilvl w:val="0"/>
          <w:numId w:val="1"/>
        </w:numPr>
      </w:pPr>
      <w:r w:rsidRPr="007E0DB8">
        <w:rPr>
          <w:b/>
          <w:bCs/>
        </w:rPr>
        <w:t>Integration with Clinical Data</w:t>
      </w:r>
      <w:r w:rsidRPr="007E0DB8">
        <w:t>: Genomic data needs to be integrated with clinical information (e.g., medical history, lifestyle) to provide a comprehensive understanding of a patient’s health. This integration is often difficult due to the differences in data formats and standards.</w:t>
      </w:r>
    </w:p>
    <w:p w:rsidRPr="007E0DB8" w:rsidR="007E0DB8" w:rsidP="007E0DB8" w:rsidRDefault="007E0DB8" w14:paraId="084C355C" w14:textId="77777777">
      <w:pPr>
        <w:numPr>
          <w:ilvl w:val="0"/>
          <w:numId w:val="1"/>
        </w:numPr>
      </w:pPr>
      <w:r w:rsidRPr="007E0DB8">
        <w:rPr>
          <w:b/>
          <w:bCs/>
        </w:rPr>
        <w:t>Data Volume and Storage</w:t>
      </w:r>
      <w:r w:rsidRPr="007E0DB8">
        <w:t>: Genomic data generates massive amounts of information that require significant storage capacity and processing power. Managing and processing this data efficiently is a technical challenge.</w:t>
      </w:r>
    </w:p>
    <w:p w:rsidRPr="007E0DB8" w:rsidR="007E0DB8" w:rsidP="007E0DB8" w:rsidRDefault="007E0DB8" w14:paraId="6EA7C949" w14:textId="77777777">
      <w:pPr>
        <w:numPr>
          <w:ilvl w:val="0"/>
          <w:numId w:val="1"/>
        </w:numPr>
      </w:pPr>
      <w:r w:rsidRPr="007E0DB8">
        <w:rPr>
          <w:b/>
          <w:bCs/>
        </w:rPr>
        <w:t>Computational Resources</w:t>
      </w:r>
      <w:r w:rsidRPr="007E0DB8">
        <w:t xml:space="preserve">: High-performance computing resources are needed to </w:t>
      </w:r>
      <w:proofErr w:type="spellStart"/>
      <w:r w:rsidRPr="007E0DB8">
        <w:t>analyze</w:t>
      </w:r>
      <w:proofErr w:type="spellEnd"/>
      <w:r w:rsidRPr="007E0DB8">
        <w:t xml:space="preserve"> large genomic datasets. Developing and maintaining such infrastructure is costly and requires specialized expertise.</w:t>
      </w:r>
    </w:p>
    <w:p w:rsidRPr="007E0DB8" w:rsidR="007E0DB8" w:rsidP="007E0DB8" w:rsidRDefault="007E0DB8" w14:paraId="35E1DE92" w14:textId="77777777">
      <w:pPr>
        <w:numPr>
          <w:ilvl w:val="0"/>
          <w:numId w:val="1"/>
        </w:numPr>
      </w:pPr>
      <w:r w:rsidRPr="007E0DB8">
        <w:rPr>
          <w:b/>
          <w:bCs/>
        </w:rPr>
        <w:t>Privacy and Security Concerns</w:t>
      </w:r>
      <w:r w:rsidRPr="007E0DB8">
        <w:t>: Genomic data is highly personal and sensitive. Protecting this data from breaches and unauthorized access is critical to maintaining patient trust. Example: The misuse of genomic data could lead to discrimination in employment or insurance.</w:t>
      </w:r>
    </w:p>
    <w:p w:rsidRPr="007E0DB8" w:rsidR="007E0DB8" w:rsidP="007E0DB8" w:rsidRDefault="007E0DB8" w14:paraId="352453FE" w14:textId="77777777">
      <w:pPr>
        <w:numPr>
          <w:ilvl w:val="0"/>
          <w:numId w:val="1"/>
        </w:numPr>
      </w:pPr>
      <w:r w:rsidRPr="007E0DB8">
        <w:rPr>
          <w:b/>
          <w:bCs/>
        </w:rPr>
        <w:t>Ethical Considerations</w:t>
      </w:r>
      <w:r w:rsidRPr="007E0DB8">
        <w:t>: Issues such as informed consent, the right to know or not know one’s genetic information, and the potential for genetic discrimination need to be carefully managed.</w:t>
      </w:r>
    </w:p>
    <w:p w:rsidRPr="007E0DB8" w:rsidR="007E0DB8" w:rsidP="007E0DB8" w:rsidRDefault="007E0DB8" w14:paraId="4DB6FFA7" w14:textId="77777777">
      <w:pPr>
        <w:numPr>
          <w:ilvl w:val="0"/>
          <w:numId w:val="1"/>
        </w:numPr>
      </w:pPr>
      <w:r w:rsidRPr="007E0DB8">
        <w:rPr>
          <w:b/>
          <w:bCs/>
        </w:rPr>
        <w:t>Equity in Access</w:t>
      </w:r>
      <w:r w:rsidRPr="007E0DB8">
        <w:t>: Not all individuals have equal access to genomic testing and personalized medicine. There is a risk of increasing health disparities if these services are only available to those who can afford them.</w:t>
      </w:r>
    </w:p>
    <w:p w:rsidRPr="007E0DB8" w:rsidR="007E0DB8" w:rsidP="007E0DB8" w:rsidRDefault="007E0DB8" w14:paraId="007A9558" w14:textId="77777777">
      <w:pPr>
        <w:numPr>
          <w:ilvl w:val="0"/>
          <w:numId w:val="1"/>
        </w:numPr>
      </w:pPr>
      <w:r w:rsidRPr="007E0DB8">
        <w:rPr>
          <w:b/>
          <w:bCs/>
        </w:rPr>
        <w:t>Regulatory and Legal Challenges</w:t>
      </w:r>
      <w:r w:rsidRPr="007E0DB8">
        <w:t>: The rapidly evolving nature of genomic technologies outpaces existing regulatory frameworks, creating uncertainty around the approval and use of personalized therapies.</w:t>
      </w:r>
    </w:p>
    <w:p w:rsidRPr="007E0DB8" w:rsidR="007E0DB8" w:rsidP="007E0DB8" w:rsidRDefault="007E0DB8" w14:paraId="79C0051E" w14:textId="77777777">
      <w:pPr>
        <w:numPr>
          <w:ilvl w:val="0"/>
          <w:numId w:val="1"/>
        </w:numPr>
      </w:pPr>
      <w:r w:rsidRPr="007E0DB8">
        <w:rPr>
          <w:b/>
          <w:bCs/>
        </w:rPr>
        <w:t>Clinical Utility and Implementation</w:t>
      </w:r>
      <w:r w:rsidRPr="007E0DB8">
        <w:t>: Determining which genetic findings are clinically actionable and translating them into effective treatments is still a work in progress. Example: While BRCA1/2 mutations are linked to breast cancer risk, not all carriers will develop cancer, making decisions about preventive measures complex.</w:t>
      </w:r>
    </w:p>
    <w:p w:rsidR="007E0DB8" w:rsidP="007E0DB8" w:rsidRDefault="007E0DB8" w14:paraId="569139EC" w14:textId="77777777">
      <w:r w:rsidRPr="007E0DB8">
        <w:rPr>
          <w:b/>
          <w:bCs/>
        </w:rPr>
        <w:t>Example to Support Points:</w:t>
      </w:r>
      <w:r w:rsidRPr="007E0DB8">
        <w:t xml:space="preserve"> Consider a patient with a family history of breast cancer. Through genomic testing, a BRCA1 mutation is identified, indicating a higher risk of developing the disease. However, </w:t>
      </w:r>
      <w:proofErr w:type="spellStart"/>
      <w:r w:rsidRPr="007E0DB8">
        <w:t>analyzing</w:t>
      </w:r>
      <w:proofErr w:type="spellEnd"/>
      <w:r w:rsidRPr="007E0DB8">
        <w:t xml:space="preserve"> this data involves challenges such as ensuring the accuracy of the mutation's impact, integrating the genetic data with the patient’s lifestyle and family history, and addressing the ethical implications of informing the patient and her relatives about the potential risk. Additionally, ensuring the patient’s data remains secure and preventing discrimination based on this genetic information are critical considerations.</w:t>
      </w:r>
    </w:p>
    <w:p w:rsidRPr="007E0DB8" w:rsidR="007E0DB8" w:rsidP="007E0DB8" w:rsidRDefault="007E0DB8" w14:paraId="5E92B8FC" w14:textId="77777777">
      <w:pPr>
        <w:rPr>
          <w:b/>
          <w:bCs/>
        </w:rPr>
      </w:pPr>
      <w:r w:rsidRPr="007E0DB8">
        <w:rPr>
          <w:b/>
          <w:bCs/>
        </w:rPr>
        <w:lastRenderedPageBreak/>
        <w:t>Effective Utilization of Genomic Data</w:t>
      </w:r>
    </w:p>
    <w:p w:rsidRPr="007E0DB8" w:rsidR="007E0DB8" w:rsidP="007E0DB8" w:rsidRDefault="007E0DB8" w14:paraId="3DCF8E6A" w14:textId="77777777">
      <w:pPr>
        <w:numPr>
          <w:ilvl w:val="0"/>
          <w:numId w:val="2"/>
        </w:numPr>
      </w:pPr>
      <w:r w:rsidRPr="007E0DB8">
        <w:rPr>
          <w:b/>
          <w:bCs/>
        </w:rPr>
        <w:t>Development of Advanced Bioinformatics Tools</w:t>
      </w:r>
      <w:r w:rsidRPr="007E0DB8">
        <w:t>: Utilizing sophisticated algorithms and machine learning to handle and interpret complex genomic data.</w:t>
      </w:r>
    </w:p>
    <w:p w:rsidRPr="007E0DB8" w:rsidR="007E0DB8" w:rsidP="007E0DB8" w:rsidRDefault="007E0DB8" w14:paraId="5E973D71" w14:textId="77777777">
      <w:pPr>
        <w:numPr>
          <w:ilvl w:val="0"/>
          <w:numId w:val="2"/>
        </w:numPr>
      </w:pPr>
      <w:r w:rsidRPr="007E0DB8">
        <w:rPr>
          <w:b/>
          <w:bCs/>
        </w:rPr>
        <w:t>Clinical Integration</w:t>
      </w:r>
      <w:r w:rsidRPr="007E0DB8">
        <w:t>: Building systems that seamlessly integrate genomic data with electronic health records (EHRs) for real-time clinical decision-making.</w:t>
      </w:r>
    </w:p>
    <w:p w:rsidRPr="007E0DB8" w:rsidR="007E0DB8" w:rsidP="007E0DB8" w:rsidRDefault="007E0DB8" w14:paraId="6B1CF615" w14:textId="77777777">
      <w:pPr>
        <w:numPr>
          <w:ilvl w:val="0"/>
          <w:numId w:val="2"/>
        </w:numPr>
      </w:pPr>
      <w:r w:rsidRPr="007E0DB8">
        <w:rPr>
          <w:b/>
          <w:bCs/>
        </w:rPr>
        <w:t>Personalized Treatment Plans</w:t>
      </w:r>
      <w:r w:rsidRPr="007E0DB8">
        <w:t>: Using genomic insights to tailor treatment plans that target individual genetic profiles, improving treatment efficacy and minimizing adverse effects.</w:t>
      </w:r>
    </w:p>
    <w:p w:rsidRPr="007E0DB8" w:rsidR="007E0DB8" w:rsidP="007E0DB8" w:rsidRDefault="007E0DB8" w14:paraId="51198242" w14:textId="77777777">
      <w:pPr>
        <w:numPr>
          <w:ilvl w:val="0"/>
          <w:numId w:val="2"/>
        </w:numPr>
      </w:pPr>
      <w:r w:rsidRPr="007E0DB8">
        <w:rPr>
          <w:b/>
          <w:bCs/>
        </w:rPr>
        <w:t>Population Health Management</w:t>
      </w:r>
      <w:r w:rsidRPr="007E0DB8">
        <w:t>: Applying genomic data to identify high-risk individuals for preventive interventions and population health strategies.</w:t>
      </w:r>
    </w:p>
    <w:p w:rsidRPr="007E0DB8" w:rsidR="007E0DB8" w:rsidP="007E0DB8" w:rsidRDefault="007E0DB8" w14:paraId="5AA6F6EA" w14:textId="77777777">
      <w:pPr>
        <w:numPr>
          <w:ilvl w:val="0"/>
          <w:numId w:val="2"/>
        </w:numPr>
      </w:pPr>
      <w:r w:rsidRPr="007E0DB8">
        <w:rPr>
          <w:b/>
          <w:bCs/>
        </w:rPr>
        <w:t>Research and Collaboration</w:t>
      </w:r>
      <w:r w:rsidRPr="007E0DB8">
        <w:t>: Fostering collaboration among researchers, clinicians, and policymakers to share data and insights, accelerating the translation of genomic research into clinical practice.</w:t>
      </w:r>
    </w:p>
    <w:p w:rsidRPr="007E0DB8" w:rsidR="007E0DB8" w:rsidP="007E0DB8" w:rsidRDefault="007E0DB8" w14:paraId="525B6026" w14:textId="77777777">
      <w:pPr>
        <w:rPr>
          <w:b/>
          <w:bCs/>
        </w:rPr>
      </w:pPr>
      <w:r w:rsidRPr="007E0DB8">
        <w:rPr>
          <w:b/>
          <w:bCs/>
        </w:rPr>
        <w:t>Ethical Considerations</w:t>
      </w:r>
    </w:p>
    <w:p w:rsidRPr="007E0DB8" w:rsidR="007E0DB8" w:rsidP="007E0DB8" w:rsidRDefault="007E0DB8" w14:paraId="16847649" w14:textId="77777777">
      <w:pPr>
        <w:numPr>
          <w:ilvl w:val="0"/>
          <w:numId w:val="3"/>
        </w:numPr>
      </w:pPr>
      <w:r w:rsidRPr="007E0DB8">
        <w:rPr>
          <w:b/>
          <w:bCs/>
        </w:rPr>
        <w:t>Informed Consent</w:t>
      </w:r>
      <w:r w:rsidRPr="007E0DB8">
        <w:t>: Ensuring that patients fully understand the implications of genomic testing, including potential risks, benefits, and limitations.</w:t>
      </w:r>
    </w:p>
    <w:p w:rsidRPr="007E0DB8" w:rsidR="007E0DB8" w:rsidP="007E0DB8" w:rsidRDefault="007E0DB8" w14:paraId="72BA983F" w14:textId="77777777">
      <w:pPr>
        <w:numPr>
          <w:ilvl w:val="0"/>
          <w:numId w:val="3"/>
        </w:numPr>
      </w:pPr>
      <w:r w:rsidRPr="007E0DB8">
        <w:rPr>
          <w:b/>
          <w:bCs/>
        </w:rPr>
        <w:t>Data Ownership and Sharing</w:t>
      </w:r>
      <w:r w:rsidRPr="007E0DB8">
        <w:t>: Addressing who owns the genomic data and how it can be shared while respecting patient autonomy and privacy.</w:t>
      </w:r>
    </w:p>
    <w:p w:rsidRPr="007E0DB8" w:rsidR="007E0DB8" w:rsidP="007E0DB8" w:rsidRDefault="007E0DB8" w14:paraId="7B6F9EE5" w14:textId="77777777">
      <w:pPr>
        <w:numPr>
          <w:ilvl w:val="0"/>
          <w:numId w:val="3"/>
        </w:numPr>
      </w:pPr>
      <w:r w:rsidRPr="007E0DB8">
        <w:rPr>
          <w:b/>
          <w:bCs/>
        </w:rPr>
        <w:t>Equitable Access</w:t>
      </w:r>
      <w:r w:rsidRPr="007E0DB8">
        <w:t>: Striving to make genomic testing and personalized medicine accessible to all, regardless of socioeconomic status.</w:t>
      </w:r>
    </w:p>
    <w:p w:rsidRPr="007E0DB8" w:rsidR="007E0DB8" w:rsidP="007E0DB8" w:rsidRDefault="007E0DB8" w14:paraId="042FBAB2" w14:textId="77777777">
      <w:pPr>
        <w:numPr>
          <w:ilvl w:val="0"/>
          <w:numId w:val="3"/>
        </w:numPr>
      </w:pPr>
      <w:r w:rsidRPr="007E0DB8">
        <w:rPr>
          <w:b/>
          <w:bCs/>
        </w:rPr>
        <w:t>Prevention of Genetic Discrimination</w:t>
      </w:r>
      <w:r w:rsidRPr="007E0DB8">
        <w:t>: Protecting individuals from discrimination based on their genetic information in areas like insurance and employment.</w:t>
      </w:r>
    </w:p>
    <w:p w:rsidRPr="007E0DB8" w:rsidR="007E0DB8" w:rsidP="007E0DB8" w:rsidRDefault="007E0DB8" w14:paraId="3619E9C0" w14:textId="77777777">
      <w:pPr>
        <w:numPr>
          <w:ilvl w:val="0"/>
          <w:numId w:val="3"/>
        </w:numPr>
      </w:pPr>
      <w:r w:rsidRPr="007E0DB8">
        <w:rPr>
          <w:b/>
          <w:bCs/>
        </w:rPr>
        <w:t>Long-term Data Stewardship</w:t>
      </w:r>
      <w:r w:rsidRPr="007E0DB8">
        <w:t>: Developing policies for the long-term storage, use, and potential re-analysis of genomic data, with ongoing patient consent.</w:t>
      </w:r>
    </w:p>
    <w:p w:rsidRPr="007E0DB8" w:rsidR="007E0DB8" w:rsidP="007E0DB8" w:rsidRDefault="007E0DB8" w14:paraId="7E364D4C" w14:textId="77777777"/>
    <w:p w:rsidR="005941AA" w:rsidRDefault="005941AA" w14:paraId="1133B44C" w14:textId="77777777"/>
    <w:sectPr w:rsidR="005941AA">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CE427E"/>
    <w:multiLevelType w:val="multilevel"/>
    <w:tmpl w:val="4C9A2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A70160D"/>
    <w:multiLevelType w:val="multilevel"/>
    <w:tmpl w:val="49AEF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8CB4E2F"/>
    <w:multiLevelType w:val="multilevel"/>
    <w:tmpl w:val="5930F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32379450">
    <w:abstractNumId w:val="1"/>
  </w:num>
  <w:num w:numId="2" w16cid:durableId="701636399">
    <w:abstractNumId w:val="0"/>
  </w:num>
  <w:num w:numId="3" w16cid:durableId="3210875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DB8"/>
    <w:rsid w:val="00296E67"/>
    <w:rsid w:val="00421169"/>
    <w:rsid w:val="004B3145"/>
    <w:rsid w:val="004D2668"/>
    <w:rsid w:val="004E02E2"/>
    <w:rsid w:val="0059148F"/>
    <w:rsid w:val="005941AA"/>
    <w:rsid w:val="005F4653"/>
    <w:rsid w:val="00720DE6"/>
    <w:rsid w:val="007701AA"/>
    <w:rsid w:val="007E0DB8"/>
    <w:rsid w:val="0085264E"/>
    <w:rsid w:val="008F4FFC"/>
    <w:rsid w:val="00965C2C"/>
    <w:rsid w:val="00AD180C"/>
    <w:rsid w:val="00C04C4A"/>
    <w:rsid w:val="00CC35B2"/>
    <w:rsid w:val="00CE7FC9"/>
    <w:rsid w:val="00F96A85"/>
    <w:rsid w:val="05E1D162"/>
    <w:rsid w:val="66947E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AF86E"/>
  <w15:chartTrackingRefBased/>
  <w15:docId w15:val="{396B917E-5952-497B-97A8-3DC6037F8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7E0DB8"/>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E0DB8"/>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0D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0D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0D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0D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0D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0D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0DB8"/>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7E0DB8"/>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7E0DB8"/>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7E0DB8"/>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7E0DB8"/>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7E0DB8"/>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7E0DB8"/>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7E0DB8"/>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7E0DB8"/>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7E0DB8"/>
    <w:rPr>
      <w:rFonts w:eastAsiaTheme="majorEastAsia" w:cstheme="majorBidi"/>
      <w:color w:val="272727" w:themeColor="text1" w:themeTint="D8"/>
    </w:rPr>
  </w:style>
  <w:style w:type="paragraph" w:styleId="Title">
    <w:name w:val="Title"/>
    <w:basedOn w:val="Normal"/>
    <w:next w:val="Normal"/>
    <w:link w:val="TitleChar"/>
    <w:uiPriority w:val="10"/>
    <w:qFormat/>
    <w:rsid w:val="007E0DB8"/>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7E0DB8"/>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7E0DB8"/>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7E0D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0DB8"/>
    <w:pPr>
      <w:spacing w:before="160"/>
      <w:jc w:val="center"/>
    </w:pPr>
    <w:rPr>
      <w:i/>
      <w:iCs/>
      <w:color w:val="404040" w:themeColor="text1" w:themeTint="BF"/>
    </w:rPr>
  </w:style>
  <w:style w:type="character" w:styleId="QuoteChar" w:customStyle="1">
    <w:name w:val="Quote Char"/>
    <w:basedOn w:val="DefaultParagraphFont"/>
    <w:link w:val="Quote"/>
    <w:uiPriority w:val="29"/>
    <w:rsid w:val="007E0DB8"/>
    <w:rPr>
      <w:i/>
      <w:iCs/>
      <w:color w:val="404040" w:themeColor="text1" w:themeTint="BF"/>
    </w:rPr>
  </w:style>
  <w:style w:type="paragraph" w:styleId="ListParagraph">
    <w:name w:val="List Paragraph"/>
    <w:basedOn w:val="Normal"/>
    <w:uiPriority w:val="34"/>
    <w:qFormat/>
    <w:rsid w:val="007E0DB8"/>
    <w:pPr>
      <w:ind w:left="720"/>
      <w:contextualSpacing/>
    </w:pPr>
  </w:style>
  <w:style w:type="character" w:styleId="IntenseEmphasis">
    <w:name w:val="Intense Emphasis"/>
    <w:basedOn w:val="DefaultParagraphFont"/>
    <w:uiPriority w:val="21"/>
    <w:qFormat/>
    <w:rsid w:val="007E0DB8"/>
    <w:rPr>
      <w:i/>
      <w:iCs/>
      <w:color w:val="0F4761" w:themeColor="accent1" w:themeShade="BF"/>
    </w:rPr>
  </w:style>
  <w:style w:type="paragraph" w:styleId="IntenseQuote">
    <w:name w:val="Intense Quote"/>
    <w:basedOn w:val="Normal"/>
    <w:next w:val="Normal"/>
    <w:link w:val="IntenseQuoteChar"/>
    <w:uiPriority w:val="30"/>
    <w:qFormat/>
    <w:rsid w:val="007E0DB8"/>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7E0DB8"/>
    <w:rPr>
      <w:i/>
      <w:iCs/>
      <w:color w:val="0F4761" w:themeColor="accent1" w:themeShade="BF"/>
    </w:rPr>
  </w:style>
  <w:style w:type="character" w:styleId="IntenseReference">
    <w:name w:val="Intense Reference"/>
    <w:basedOn w:val="DefaultParagraphFont"/>
    <w:uiPriority w:val="32"/>
    <w:qFormat/>
    <w:rsid w:val="007E0DB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525770">
      <w:bodyDiv w:val="1"/>
      <w:marLeft w:val="0"/>
      <w:marRight w:val="0"/>
      <w:marTop w:val="0"/>
      <w:marBottom w:val="0"/>
      <w:divBdr>
        <w:top w:val="none" w:sz="0" w:space="0" w:color="auto"/>
        <w:left w:val="none" w:sz="0" w:space="0" w:color="auto"/>
        <w:bottom w:val="none" w:sz="0" w:space="0" w:color="auto"/>
        <w:right w:val="none" w:sz="0" w:space="0" w:color="auto"/>
      </w:divBdr>
    </w:div>
    <w:div w:id="326786377">
      <w:bodyDiv w:val="1"/>
      <w:marLeft w:val="0"/>
      <w:marRight w:val="0"/>
      <w:marTop w:val="0"/>
      <w:marBottom w:val="0"/>
      <w:divBdr>
        <w:top w:val="none" w:sz="0" w:space="0" w:color="auto"/>
        <w:left w:val="none" w:sz="0" w:space="0" w:color="auto"/>
        <w:bottom w:val="none" w:sz="0" w:space="0" w:color="auto"/>
        <w:right w:val="none" w:sz="0" w:space="0" w:color="auto"/>
      </w:divBdr>
    </w:div>
    <w:div w:id="611401408">
      <w:bodyDiv w:val="1"/>
      <w:marLeft w:val="0"/>
      <w:marRight w:val="0"/>
      <w:marTop w:val="0"/>
      <w:marBottom w:val="0"/>
      <w:divBdr>
        <w:top w:val="none" w:sz="0" w:space="0" w:color="auto"/>
        <w:left w:val="none" w:sz="0" w:space="0" w:color="auto"/>
        <w:bottom w:val="none" w:sz="0" w:space="0" w:color="auto"/>
        <w:right w:val="none" w:sz="0" w:space="0" w:color="auto"/>
      </w:divBdr>
    </w:div>
    <w:div w:id="1164590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FFF5544B327E4696DBC432501EF536" ma:contentTypeVersion="10" ma:contentTypeDescription="Create a new document." ma:contentTypeScope="" ma:versionID="a815565a6fcdaffbbd305140c77e13e4">
  <xsd:schema xmlns:xsd="http://www.w3.org/2001/XMLSchema" xmlns:xs="http://www.w3.org/2001/XMLSchema" xmlns:p="http://schemas.microsoft.com/office/2006/metadata/properties" xmlns:ns2="ec333221-26f2-4903-9eb8-d22159498df7" xmlns:ns3="f701872c-6214-4de9-9fee-0bb9fa8012c3" targetNamespace="http://schemas.microsoft.com/office/2006/metadata/properties" ma:root="true" ma:fieldsID="1e6207fd5f22685a341a4e21c5b9e6c0" ns2:_="" ns3:_="">
    <xsd:import namespace="ec333221-26f2-4903-9eb8-d22159498df7"/>
    <xsd:import namespace="f701872c-6214-4de9-9fee-0bb9fa8012c3"/>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LengthInSeconds" minOccurs="0"/>
                <xsd:element ref="ns3:SharedWithUsers" minOccurs="0"/>
                <xsd:element ref="ns3:SharedWithDetails" minOccurs="0"/>
                <xsd:element ref="ns2:MediaServiceGenerationTime" minOccurs="0"/>
                <xsd:element ref="ns2:MediaServiceEventHashCod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333221-26f2-4903-9eb8-d22159498d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01872c-6214-4de9-9fee-0bb9fa8012c3"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FE38990-188E-470D-AB55-4586F88E8B8B}"/>
</file>

<file path=customXml/itemProps2.xml><?xml version="1.0" encoding="utf-8"?>
<ds:datastoreItem xmlns:ds="http://schemas.openxmlformats.org/officeDocument/2006/customXml" ds:itemID="{1D93C402-5EF7-428A-8427-739482967E60}"/>
</file>

<file path=customXml/itemProps3.xml><?xml version="1.0" encoding="utf-8"?>
<ds:datastoreItem xmlns:ds="http://schemas.openxmlformats.org/officeDocument/2006/customXml" ds:itemID="{3EF7DBD3-3427-45A9-A349-F7CC8B8BFC09}"/>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Ninad Bagayatkar</dc:creator>
  <keywords/>
  <dc:description/>
  <lastModifiedBy>Dipak Shingade</lastModifiedBy>
  <revision>2</revision>
  <dcterms:created xsi:type="dcterms:W3CDTF">2024-09-02T00:14:00.0000000Z</dcterms:created>
  <dcterms:modified xsi:type="dcterms:W3CDTF">2024-09-02T01:54:42.7500151Z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0x010100F0FFF5544B327E4696DBC432501EF536</vt:lpwstr>
  </property>
</Properties>
</file>