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7077495C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161B2A">
        <w:rPr>
          <w:spacing w:val="-5"/>
        </w:rPr>
        <w:t>3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7B02B27E" w:rsidR="00C876E2" w:rsidRP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161B2A" w:rsidRPr="00161B2A">
        <w:rPr>
          <w:rFonts w:ascii="Segoe UI" w:hAnsi="Segoe UI" w:cs="Segoe UI"/>
          <w:sz w:val="24"/>
          <w:szCs w:val="24"/>
        </w:rPr>
        <w:t>Designing a distributed system for a collaborative real-time multiplayer gaming platform</w:t>
      </w:r>
      <w:r w:rsidR="00A12118" w:rsidRPr="00A12118">
        <w:rPr>
          <w:rFonts w:ascii="Segoe UI" w:hAnsi="Segoe UI" w:cs="Segoe UI"/>
          <w:sz w:val="24"/>
          <w:szCs w:val="24"/>
          <w:lang w:val="en-IN"/>
        </w:rPr>
        <w:t>.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671A7515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Designing a Distributed System for a Collaborative Real-Time Multiplayer Gaming Platform</w:t>
      </w:r>
    </w:p>
    <w:p w14:paraId="7D0AA448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1C4D4F73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 xml:space="preserve">A real-time multiplayer gaming platform requires an efficient distributed system to handle concurrent player interactions, maintain consistency, and ensure minimal latency. The choice of </w:t>
      </w:r>
      <w:proofErr w:type="spellStart"/>
      <w:r w:rsidRPr="00161B2A">
        <w:rPr>
          <w:rFonts w:ascii="Segoe UI" w:hAnsi="Segoe UI" w:cs="Segoe UI"/>
          <w:sz w:val="24"/>
          <w:szCs w:val="24"/>
          <w:lang w:val="en-IN"/>
        </w:rPr>
        <w:t>interprocess</w:t>
      </w:r>
      <w:proofErr w:type="spellEnd"/>
      <w:r w:rsidRPr="00161B2A">
        <w:rPr>
          <w:rFonts w:ascii="Segoe UI" w:hAnsi="Segoe UI" w:cs="Segoe UI"/>
          <w:sz w:val="24"/>
          <w:szCs w:val="24"/>
          <w:lang w:val="en-IN"/>
        </w:rPr>
        <w:t xml:space="preserve"> communication (IPC) mechanisms significantly impacts system performance and scalability. This document discusses the scenarios where Remote Procedure Call (RPC), Remote Method Invocation (RMI), and Message-Oriented Communication (MOC) are most effective. Additionally, we explore strategies for ensuring low latency through stream-oriented communication and synchronization using group communication mechanisms.</w:t>
      </w:r>
    </w:p>
    <w:p w14:paraId="5CEDBAD4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 xml:space="preserve">2. </w:t>
      </w:r>
      <w:proofErr w:type="spellStart"/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Interprocess</w:t>
      </w:r>
      <w:proofErr w:type="spellEnd"/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 xml:space="preserve"> Communication Mechanisms in Multiplayer Gaming</w:t>
      </w:r>
    </w:p>
    <w:p w14:paraId="27253EDE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2.1 Remote Procedure Call (RPC)</w:t>
      </w:r>
    </w:p>
    <w:p w14:paraId="5AE99B0C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Use Case: Client-Server Communication for Game Logic Execution</w:t>
      </w:r>
    </w:p>
    <w:p w14:paraId="4EEDF160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RPC allows clients (players) to invoke functions on remote game servers seamlessly, treating remote calls as local ones.</w:t>
      </w:r>
    </w:p>
    <w:p w14:paraId="1951DDCC" w14:textId="77777777" w:rsidR="00161B2A" w:rsidRPr="00161B2A" w:rsidRDefault="00161B2A" w:rsidP="00161B2A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When a player interacts with an in-game object (e.g., opening a chest), the client sends an RPC request to the game server to execute game logic and return the result.</w:t>
      </w:r>
    </w:p>
    <w:p w14:paraId="74B6A07D" w14:textId="77777777" w:rsidR="00161B2A" w:rsidRPr="00161B2A" w:rsidRDefault="00161B2A" w:rsidP="00161B2A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1D37E342" w14:textId="77777777" w:rsidR="00161B2A" w:rsidRPr="00161B2A" w:rsidRDefault="00161B2A" w:rsidP="00161B2A">
      <w:pPr>
        <w:pStyle w:val="BodyText"/>
        <w:numPr>
          <w:ilvl w:val="1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Simplifies client-server interaction.</w:t>
      </w:r>
    </w:p>
    <w:p w14:paraId="04161A98" w14:textId="77777777" w:rsidR="00161B2A" w:rsidRPr="00161B2A" w:rsidRDefault="00161B2A" w:rsidP="00161B2A">
      <w:pPr>
        <w:pStyle w:val="BodyText"/>
        <w:numPr>
          <w:ilvl w:val="1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Enables efficient execution of synchronous game logic.</w:t>
      </w:r>
    </w:p>
    <w:p w14:paraId="5F06F4DC" w14:textId="77777777" w:rsidR="00161B2A" w:rsidRPr="00161B2A" w:rsidRDefault="00161B2A" w:rsidP="00161B2A">
      <w:pPr>
        <w:pStyle w:val="BodyText"/>
        <w:numPr>
          <w:ilvl w:val="1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 xml:space="preserve">Supports cross-platform interoperability (e.g., </w:t>
      </w:r>
      <w:proofErr w:type="spellStart"/>
      <w:r w:rsidRPr="00161B2A">
        <w:rPr>
          <w:rFonts w:ascii="Segoe UI" w:hAnsi="Segoe UI" w:cs="Segoe UI"/>
          <w:sz w:val="24"/>
          <w:szCs w:val="24"/>
          <w:lang w:val="en-IN"/>
        </w:rPr>
        <w:t>gRPC</w:t>
      </w:r>
      <w:proofErr w:type="spellEnd"/>
      <w:r w:rsidRPr="00161B2A">
        <w:rPr>
          <w:rFonts w:ascii="Segoe UI" w:hAnsi="Segoe UI" w:cs="Segoe UI"/>
          <w:sz w:val="24"/>
          <w:szCs w:val="24"/>
          <w:lang w:val="en-IN"/>
        </w:rPr>
        <w:t xml:space="preserve"> for multi-language support).</w:t>
      </w:r>
    </w:p>
    <w:p w14:paraId="28EC8C3E" w14:textId="77777777" w:rsidR="00161B2A" w:rsidRPr="00161B2A" w:rsidRDefault="00161B2A" w:rsidP="00161B2A">
      <w:pPr>
        <w:pStyle w:val="BodyText"/>
        <w:numPr>
          <w:ilvl w:val="0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15CCE4B8" w14:textId="77777777" w:rsidR="00161B2A" w:rsidRPr="00161B2A" w:rsidRDefault="00161B2A" w:rsidP="00161B2A">
      <w:pPr>
        <w:pStyle w:val="BodyText"/>
        <w:numPr>
          <w:ilvl w:val="1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High network latency if overused for frequent updates.</w:t>
      </w:r>
    </w:p>
    <w:p w14:paraId="706F112D" w14:textId="77777777" w:rsidR="00161B2A" w:rsidRPr="00161B2A" w:rsidRDefault="00161B2A" w:rsidP="00161B2A">
      <w:pPr>
        <w:pStyle w:val="BodyText"/>
        <w:numPr>
          <w:ilvl w:val="1"/>
          <w:numId w:val="2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May require additional mechanisms for fault tolerance and retries.</w:t>
      </w:r>
    </w:p>
    <w:p w14:paraId="6FF2DD3C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2.2 Remote Method Invocation (RMI)</w:t>
      </w:r>
    </w:p>
    <w:p w14:paraId="531E4A98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Use Case: Distributed Object Management in Multiplayer Worlds</w:t>
      </w:r>
    </w:p>
    <w:p w14:paraId="4C20968A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RMI extends RPC by allowing objects to invoke methods on remote objects, making it useful for object-oriented game components.</w:t>
      </w:r>
    </w:p>
    <w:p w14:paraId="193C0680" w14:textId="77777777" w:rsidR="00161B2A" w:rsidRPr="00161B2A" w:rsidRDefault="00161B2A" w:rsidP="00161B2A">
      <w:pPr>
        <w:pStyle w:val="BodyText"/>
        <w:numPr>
          <w:ilvl w:val="0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A real-time strategy (RTS) game where different servers manage distinct game regions, and units moving between regions invoke remote methods on different servers.</w:t>
      </w:r>
    </w:p>
    <w:p w14:paraId="2ED2123A" w14:textId="77777777" w:rsidR="00161B2A" w:rsidRPr="00161B2A" w:rsidRDefault="00161B2A" w:rsidP="00161B2A">
      <w:pPr>
        <w:pStyle w:val="BodyText"/>
        <w:numPr>
          <w:ilvl w:val="0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4C11F79D" w14:textId="77777777" w:rsidR="00161B2A" w:rsidRPr="00161B2A" w:rsidRDefault="00161B2A" w:rsidP="00161B2A">
      <w:pPr>
        <w:pStyle w:val="BodyText"/>
        <w:numPr>
          <w:ilvl w:val="1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Object-oriented approach aligns well with game entity management.</w:t>
      </w:r>
    </w:p>
    <w:p w14:paraId="685512E1" w14:textId="77777777" w:rsidR="00161B2A" w:rsidRPr="00161B2A" w:rsidRDefault="00161B2A" w:rsidP="00161B2A">
      <w:pPr>
        <w:pStyle w:val="BodyText"/>
        <w:numPr>
          <w:ilvl w:val="1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Supports dynamic remote object invocation.</w:t>
      </w:r>
    </w:p>
    <w:p w14:paraId="22C24191" w14:textId="77777777" w:rsidR="00161B2A" w:rsidRPr="00161B2A" w:rsidRDefault="00161B2A" w:rsidP="00161B2A">
      <w:pPr>
        <w:pStyle w:val="BodyText"/>
        <w:numPr>
          <w:ilvl w:val="0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115A2CDF" w14:textId="77777777" w:rsidR="00161B2A" w:rsidRPr="00161B2A" w:rsidRDefault="00161B2A" w:rsidP="00161B2A">
      <w:pPr>
        <w:pStyle w:val="BodyText"/>
        <w:numPr>
          <w:ilvl w:val="1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Language-dependent (Java-based systems typically use RMI).</w:t>
      </w:r>
    </w:p>
    <w:p w14:paraId="4B782EA5" w14:textId="77777777" w:rsidR="00161B2A" w:rsidRPr="00161B2A" w:rsidRDefault="00161B2A" w:rsidP="00161B2A">
      <w:pPr>
        <w:pStyle w:val="BodyText"/>
        <w:numPr>
          <w:ilvl w:val="1"/>
          <w:numId w:val="2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Higher overhead than RPC, making it less suitable for frequent real-time updates.</w:t>
      </w:r>
    </w:p>
    <w:p w14:paraId="5CA23C4B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2.3 Message-Oriented Communication (MOC)</w:t>
      </w:r>
    </w:p>
    <w:p w14:paraId="56EFE69B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Use Case: Event-Driven Asynchronous Player Actions</w:t>
      </w:r>
    </w:p>
    <w:p w14:paraId="4C6EAE96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lastRenderedPageBreak/>
        <w:t>Message-Oriented Middleware (MOM) enables loosely coupled communication using message queues or topics, ensuring scalability.</w:t>
      </w:r>
    </w:p>
    <w:p w14:paraId="4D2C8802" w14:textId="77777777" w:rsidR="00161B2A" w:rsidRPr="00161B2A" w:rsidRDefault="00161B2A" w:rsidP="00161B2A">
      <w:pPr>
        <w:pStyle w:val="BodyText"/>
        <w:numPr>
          <w:ilvl w:val="0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In a battle royale game, player status updates (health, location, actions) are broadcasted asynchronously using a message broker (e.g., Kafka, RabbitMQ, or MQTT).</w:t>
      </w:r>
    </w:p>
    <w:p w14:paraId="406A948F" w14:textId="77777777" w:rsidR="00161B2A" w:rsidRPr="00161B2A" w:rsidRDefault="00161B2A" w:rsidP="00161B2A">
      <w:pPr>
        <w:pStyle w:val="BodyText"/>
        <w:numPr>
          <w:ilvl w:val="0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53D21800" w14:textId="77777777" w:rsidR="00161B2A" w:rsidRPr="00161B2A" w:rsidRDefault="00161B2A" w:rsidP="00161B2A">
      <w:pPr>
        <w:pStyle w:val="BodyText"/>
        <w:numPr>
          <w:ilvl w:val="1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Asynchronous and event-driven nature ensures non-blocking communication.</w:t>
      </w:r>
    </w:p>
    <w:p w14:paraId="3DEFA0FA" w14:textId="77777777" w:rsidR="00161B2A" w:rsidRPr="00161B2A" w:rsidRDefault="00161B2A" w:rsidP="00161B2A">
      <w:pPr>
        <w:pStyle w:val="BodyText"/>
        <w:numPr>
          <w:ilvl w:val="1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Supports scalability by decoupling components.</w:t>
      </w:r>
    </w:p>
    <w:p w14:paraId="2CFF5CA8" w14:textId="77777777" w:rsidR="00161B2A" w:rsidRPr="00161B2A" w:rsidRDefault="00161B2A" w:rsidP="00161B2A">
      <w:pPr>
        <w:pStyle w:val="BodyText"/>
        <w:numPr>
          <w:ilvl w:val="1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Ensures resilience with message persistence and replay mechanisms.</w:t>
      </w:r>
    </w:p>
    <w:p w14:paraId="5B925798" w14:textId="77777777" w:rsidR="00161B2A" w:rsidRPr="00161B2A" w:rsidRDefault="00161B2A" w:rsidP="00161B2A">
      <w:pPr>
        <w:pStyle w:val="BodyText"/>
        <w:numPr>
          <w:ilvl w:val="0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183755C3" w14:textId="77777777" w:rsidR="00161B2A" w:rsidRPr="00161B2A" w:rsidRDefault="00161B2A" w:rsidP="00161B2A">
      <w:pPr>
        <w:pStyle w:val="BodyText"/>
        <w:numPr>
          <w:ilvl w:val="1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Potential message delivery delays (must be minimized for real-time interactions).</w:t>
      </w:r>
    </w:p>
    <w:p w14:paraId="1DE1D0C4" w14:textId="77777777" w:rsidR="00161B2A" w:rsidRPr="00161B2A" w:rsidRDefault="00161B2A" w:rsidP="00161B2A">
      <w:pPr>
        <w:pStyle w:val="BodyText"/>
        <w:numPr>
          <w:ilvl w:val="1"/>
          <w:numId w:val="3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Requires robust message ordering and consistency mechanisms.</w:t>
      </w:r>
    </w:p>
    <w:p w14:paraId="7B12A825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3. Ensuring Low Latency with Stream-Oriented Communication</w:t>
      </w:r>
    </w:p>
    <w:p w14:paraId="15C99572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Real-time gaming demands ultra-low latency communication, making stream-oriented communication essential.</w:t>
      </w:r>
    </w:p>
    <w:p w14:paraId="7176EF95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 xml:space="preserve">3.1 </w:t>
      </w:r>
      <w:proofErr w:type="spellStart"/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WebSockets</w:t>
      </w:r>
      <w:proofErr w:type="spellEnd"/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 xml:space="preserve"> for Persistent Bidirectional Communication</w:t>
      </w:r>
    </w:p>
    <w:p w14:paraId="7AD217AB" w14:textId="77777777" w:rsidR="00161B2A" w:rsidRPr="00161B2A" w:rsidRDefault="00161B2A" w:rsidP="00161B2A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Used for player movement updates, attack commands, and chat functionalities.</w:t>
      </w:r>
    </w:p>
    <w:p w14:paraId="68E2F4BA" w14:textId="77777777" w:rsidR="00161B2A" w:rsidRPr="00161B2A" w:rsidRDefault="00161B2A" w:rsidP="00161B2A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65D37C47" w14:textId="77777777" w:rsidR="00161B2A" w:rsidRPr="00161B2A" w:rsidRDefault="00161B2A" w:rsidP="00161B2A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Persistent TCP connections reduce handshake overhead.</w:t>
      </w:r>
    </w:p>
    <w:p w14:paraId="7D53A188" w14:textId="77777777" w:rsidR="00161B2A" w:rsidRPr="00161B2A" w:rsidRDefault="00161B2A" w:rsidP="00161B2A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Enables real-time push notifications to all players.</w:t>
      </w:r>
    </w:p>
    <w:p w14:paraId="0C68D446" w14:textId="77777777" w:rsidR="00161B2A" w:rsidRPr="00161B2A" w:rsidRDefault="00161B2A" w:rsidP="00161B2A">
      <w:pPr>
        <w:pStyle w:val="BodyText"/>
        <w:numPr>
          <w:ilvl w:val="0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2CA42A44" w14:textId="77777777" w:rsidR="00161B2A" w:rsidRPr="00161B2A" w:rsidRDefault="00161B2A" w:rsidP="00161B2A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Requires handling dropped connections efficiently.</w:t>
      </w:r>
    </w:p>
    <w:p w14:paraId="30F64C52" w14:textId="77777777" w:rsidR="00161B2A" w:rsidRPr="00161B2A" w:rsidRDefault="00161B2A" w:rsidP="00161B2A">
      <w:pPr>
        <w:pStyle w:val="BodyText"/>
        <w:numPr>
          <w:ilvl w:val="1"/>
          <w:numId w:val="3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May need load balancing for large-scale deployments.</w:t>
      </w:r>
    </w:p>
    <w:p w14:paraId="73DAA28E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3.2 UDP for High-Speed, Low-Latency Data Transmission</w:t>
      </w:r>
    </w:p>
    <w:p w14:paraId="259B0757" w14:textId="77777777" w:rsidR="00161B2A" w:rsidRPr="00161B2A" w:rsidRDefault="00161B2A" w:rsidP="00161B2A">
      <w:pPr>
        <w:pStyle w:val="BodyText"/>
        <w:numPr>
          <w:ilvl w:val="0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FPS and racing games use UDP for transmitting position and velocity updates.</w:t>
      </w:r>
    </w:p>
    <w:p w14:paraId="477561DB" w14:textId="77777777" w:rsidR="00161B2A" w:rsidRPr="00161B2A" w:rsidRDefault="00161B2A" w:rsidP="00161B2A">
      <w:pPr>
        <w:pStyle w:val="BodyText"/>
        <w:numPr>
          <w:ilvl w:val="0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7D37F2CF" w14:textId="77777777" w:rsidR="00161B2A" w:rsidRPr="00161B2A" w:rsidRDefault="00161B2A" w:rsidP="00161B2A">
      <w:pPr>
        <w:pStyle w:val="BodyText"/>
        <w:numPr>
          <w:ilvl w:val="1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Faster than TCP as it avoids handshaking and retransmissions.</w:t>
      </w:r>
    </w:p>
    <w:p w14:paraId="666AF0C0" w14:textId="77777777" w:rsidR="00161B2A" w:rsidRPr="00161B2A" w:rsidRDefault="00161B2A" w:rsidP="00161B2A">
      <w:pPr>
        <w:pStyle w:val="BodyText"/>
        <w:numPr>
          <w:ilvl w:val="1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Suitable for real-time physics and movement synchronization.</w:t>
      </w:r>
    </w:p>
    <w:p w14:paraId="2FA2D1D7" w14:textId="77777777" w:rsidR="00161B2A" w:rsidRPr="00161B2A" w:rsidRDefault="00161B2A" w:rsidP="00161B2A">
      <w:pPr>
        <w:pStyle w:val="BodyText"/>
        <w:numPr>
          <w:ilvl w:val="0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1458E1A7" w14:textId="77777777" w:rsidR="00161B2A" w:rsidRPr="00161B2A" w:rsidRDefault="00161B2A" w:rsidP="00161B2A">
      <w:pPr>
        <w:pStyle w:val="BodyText"/>
        <w:numPr>
          <w:ilvl w:val="1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No built-in reliability mechanisms; requires additional error correction.</w:t>
      </w:r>
    </w:p>
    <w:p w14:paraId="30D56E27" w14:textId="77777777" w:rsidR="00161B2A" w:rsidRPr="00161B2A" w:rsidRDefault="00161B2A" w:rsidP="00161B2A">
      <w:pPr>
        <w:pStyle w:val="BodyText"/>
        <w:numPr>
          <w:ilvl w:val="1"/>
          <w:numId w:val="3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Packet loss may lead to inconsistencies in player positions.</w:t>
      </w:r>
    </w:p>
    <w:p w14:paraId="06EFA7A3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4. Maintaining Consistency and Synchronization Using Group Communication Mechanisms</w:t>
      </w:r>
    </w:p>
    <w:p w14:paraId="32FEC70C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In multiplayer environments, all players must perceive consistent game states despite network delays.</w:t>
      </w:r>
    </w:p>
    <w:p w14:paraId="7326DEFD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4.1 Leader Election for State Synchronization</w:t>
      </w:r>
    </w:p>
    <w:p w14:paraId="354582A0" w14:textId="77777777" w:rsidR="00161B2A" w:rsidRPr="00161B2A" w:rsidRDefault="00161B2A" w:rsidP="00161B2A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A primary game server acts as the authoritative source for game state synchronization.</w:t>
      </w:r>
    </w:p>
    <w:p w14:paraId="46B1118F" w14:textId="77777777" w:rsidR="00161B2A" w:rsidRPr="00161B2A" w:rsidRDefault="00161B2A" w:rsidP="00161B2A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11FB8833" w14:textId="77777777" w:rsidR="00161B2A" w:rsidRPr="00161B2A" w:rsidRDefault="00161B2A" w:rsidP="00161B2A">
      <w:pPr>
        <w:pStyle w:val="BodyText"/>
        <w:numPr>
          <w:ilvl w:val="1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Ensures a single source of truth for game logic.</w:t>
      </w:r>
    </w:p>
    <w:p w14:paraId="79A4B98E" w14:textId="77777777" w:rsidR="00161B2A" w:rsidRPr="00161B2A" w:rsidRDefault="00161B2A" w:rsidP="00161B2A">
      <w:pPr>
        <w:pStyle w:val="BodyText"/>
        <w:numPr>
          <w:ilvl w:val="1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Reduces conflicts from concurrent updates.</w:t>
      </w:r>
    </w:p>
    <w:p w14:paraId="3F6F8328" w14:textId="77777777" w:rsidR="00161B2A" w:rsidRPr="00161B2A" w:rsidRDefault="00161B2A" w:rsidP="00161B2A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34077810" w14:textId="77777777" w:rsidR="00161B2A" w:rsidRPr="00161B2A" w:rsidRDefault="00161B2A" w:rsidP="00161B2A">
      <w:pPr>
        <w:pStyle w:val="BodyText"/>
        <w:numPr>
          <w:ilvl w:val="1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Failover mechanisms must be in place in case of leader failure.</w:t>
      </w:r>
    </w:p>
    <w:p w14:paraId="1D95D22F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4.2 Distributed Locking for Shared Resource Access</w:t>
      </w:r>
    </w:p>
    <w:p w14:paraId="17AD1CC9" w14:textId="77777777" w:rsidR="00161B2A" w:rsidRPr="00161B2A" w:rsidRDefault="00161B2A" w:rsidP="00161B2A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Locking mechanisms prevent simultaneous updates to in-game resources (e.g., two players claiming the same loot).</w:t>
      </w:r>
    </w:p>
    <w:p w14:paraId="6735F7F9" w14:textId="77777777" w:rsidR="00161B2A" w:rsidRPr="00161B2A" w:rsidRDefault="00161B2A" w:rsidP="00161B2A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1C770B10" w14:textId="77777777" w:rsidR="00161B2A" w:rsidRPr="00161B2A" w:rsidRDefault="00161B2A" w:rsidP="00161B2A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Ensures data consistency across distributed nodes.</w:t>
      </w:r>
    </w:p>
    <w:p w14:paraId="1DF0251A" w14:textId="77777777" w:rsidR="00161B2A" w:rsidRPr="00161B2A" w:rsidRDefault="00161B2A" w:rsidP="00161B2A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Prevents race conditions in critical operations.</w:t>
      </w:r>
    </w:p>
    <w:p w14:paraId="20CC2A71" w14:textId="77777777" w:rsidR="00161B2A" w:rsidRPr="00161B2A" w:rsidRDefault="00161B2A" w:rsidP="00161B2A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Challenges:</w:t>
      </w:r>
    </w:p>
    <w:p w14:paraId="5384FC47" w14:textId="77777777" w:rsidR="00161B2A" w:rsidRPr="00161B2A" w:rsidRDefault="00161B2A" w:rsidP="00161B2A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Lock contention can cause delays.</w:t>
      </w:r>
    </w:p>
    <w:p w14:paraId="2FCF17B8" w14:textId="77777777" w:rsidR="00161B2A" w:rsidRPr="00161B2A" w:rsidRDefault="00161B2A" w:rsidP="00161B2A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Requires efficient distributed coordination (e.g., using Zookeeper or Raft consensus algorithm).</w:t>
      </w:r>
    </w:p>
    <w:p w14:paraId="36CDC536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4.3 Vector Clocks for Causal Order Synchronization</w:t>
      </w:r>
    </w:p>
    <w:p w14:paraId="0F137A84" w14:textId="77777777" w:rsidR="00161B2A" w:rsidRPr="00161B2A" w:rsidRDefault="00161B2A" w:rsidP="00161B2A">
      <w:pPr>
        <w:pStyle w:val="BodyText"/>
        <w:numPr>
          <w:ilvl w:val="0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Used in collaborative gameplay scenarios where player actions must be causally ordered (e.g., turn-based games).</w:t>
      </w:r>
    </w:p>
    <w:p w14:paraId="794FE1E2" w14:textId="77777777" w:rsidR="00161B2A" w:rsidRPr="00161B2A" w:rsidRDefault="00161B2A" w:rsidP="00161B2A">
      <w:pPr>
        <w:pStyle w:val="BodyText"/>
        <w:numPr>
          <w:ilvl w:val="0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Advantages:</w:t>
      </w:r>
    </w:p>
    <w:p w14:paraId="08998355" w14:textId="77777777" w:rsidR="00161B2A" w:rsidRPr="00161B2A" w:rsidRDefault="00161B2A" w:rsidP="00161B2A">
      <w:pPr>
        <w:pStyle w:val="BodyText"/>
        <w:numPr>
          <w:ilvl w:val="1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Ensures events are applied in the correct order.</w:t>
      </w:r>
    </w:p>
    <w:p w14:paraId="044FFA79" w14:textId="77777777" w:rsidR="00161B2A" w:rsidRPr="00161B2A" w:rsidRDefault="00161B2A" w:rsidP="00161B2A">
      <w:pPr>
        <w:pStyle w:val="BodyText"/>
        <w:numPr>
          <w:ilvl w:val="1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Helps resolve conflicts arising from concurrent actions.</w:t>
      </w:r>
    </w:p>
    <w:p w14:paraId="0B4895FA" w14:textId="77777777" w:rsidR="00161B2A" w:rsidRPr="00161B2A" w:rsidRDefault="00161B2A" w:rsidP="00161B2A">
      <w:pPr>
        <w:pStyle w:val="BodyText"/>
        <w:numPr>
          <w:ilvl w:val="0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7AAE5D20" w14:textId="77777777" w:rsidR="00161B2A" w:rsidRPr="00161B2A" w:rsidRDefault="00161B2A" w:rsidP="00161B2A">
      <w:pPr>
        <w:pStyle w:val="BodyText"/>
        <w:numPr>
          <w:ilvl w:val="1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Additional overhead in tracking timestamps.</w:t>
      </w:r>
    </w:p>
    <w:p w14:paraId="0E379581" w14:textId="77777777" w:rsidR="00161B2A" w:rsidRPr="00161B2A" w:rsidRDefault="00161B2A" w:rsidP="00161B2A">
      <w:pPr>
        <w:pStyle w:val="BodyText"/>
        <w:numPr>
          <w:ilvl w:val="1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May not be ideal for ultra-fast real-time interactions.</w:t>
      </w:r>
    </w:p>
    <w:p w14:paraId="056F3987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5. Conclusion</w:t>
      </w:r>
    </w:p>
    <w:p w14:paraId="16FEA459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A distributed real-time multiplayer gaming platform requires a combination of IPC mechanisms tailored to different components of the system:</w:t>
      </w:r>
    </w:p>
    <w:p w14:paraId="41F39591" w14:textId="77777777" w:rsidR="00161B2A" w:rsidRPr="00161B2A" w:rsidRDefault="00161B2A" w:rsidP="00161B2A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RPC: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Best for synchronous client-server interactions.</w:t>
      </w:r>
    </w:p>
    <w:p w14:paraId="38BDAE19" w14:textId="77777777" w:rsidR="00161B2A" w:rsidRPr="00161B2A" w:rsidRDefault="00161B2A" w:rsidP="00161B2A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RMI: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Ideal for distributed object management.</w:t>
      </w:r>
    </w:p>
    <w:p w14:paraId="5FCCC76D" w14:textId="77777777" w:rsidR="00161B2A" w:rsidRPr="00161B2A" w:rsidRDefault="00161B2A" w:rsidP="00161B2A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MOC: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Supports event-driven, scalable communication.</w:t>
      </w:r>
    </w:p>
    <w:p w14:paraId="4E0B9257" w14:textId="77777777" w:rsidR="00161B2A" w:rsidRPr="00161B2A" w:rsidRDefault="00161B2A" w:rsidP="00161B2A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Stream-Oriented Communication (</w:t>
      </w:r>
      <w:proofErr w:type="spellStart"/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WebSockets</w:t>
      </w:r>
      <w:proofErr w:type="spellEnd"/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 xml:space="preserve"> &amp; UDP):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Ensures low latency for real-time gameplay.</w:t>
      </w:r>
    </w:p>
    <w:p w14:paraId="2CF9E31B" w14:textId="77777777" w:rsidR="00161B2A" w:rsidRPr="00161B2A" w:rsidRDefault="00161B2A" w:rsidP="00161B2A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b/>
          <w:bCs/>
          <w:sz w:val="24"/>
          <w:szCs w:val="24"/>
          <w:lang w:val="en-IN"/>
        </w:rPr>
        <w:t>Group Communication Mechanisms:</w:t>
      </w:r>
      <w:r w:rsidRPr="00161B2A">
        <w:rPr>
          <w:rFonts w:ascii="Segoe UI" w:hAnsi="Segoe UI" w:cs="Segoe UI"/>
          <w:sz w:val="24"/>
          <w:szCs w:val="24"/>
          <w:lang w:val="en-IN"/>
        </w:rPr>
        <w:t xml:space="preserve"> Maintain consistency and synchronization across players.</w:t>
      </w:r>
    </w:p>
    <w:p w14:paraId="098A51F0" w14:textId="77777777" w:rsidR="00161B2A" w:rsidRPr="00161B2A" w:rsidRDefault="00161B2A" w:rsidP="00161B2A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161B2A">
        <w:rPr>
          <w:rFonts w:ascii="Segoe UI" w:hAnsi="Segoe UI" w:cs="Segoe UI"/>
          <w:sz w:val="24"/>
          <w:szCs w:val="24"/>
          <w:lang w:val="en-IN"/>
        </w:rPr>
        <w:t>By leveraging these mechanisms appropriately, the system can provide a seamless, responsive, and scalable multiplayer experience while maintaining data consistency and real-time synchronization across players.</w:t>
      </w:r>
    </w:p>
    <w:p w14:paraId="18F6F90E" w14:textId="1BF8419A" w:rsidR="004D46C2" w:rsidRPr="00161B2A" w:rsidRDefault="004D46C2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4D46C2" w:rsidRPr="00161B2A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D3BCB" w14:textId="77777777" w:rsidR="0084563C" w:rsidRDefault="0084563C">
      <w:r>
        <w:separator/>
      </w:r>
    </w:p>
  </w:endnote>
  <w:endnote w:type="continuationSeparator" w:id="0">
    <w:p w14:paraId="79D2581B" w14:textId="77777777" w:rsidR="0084563C" w:rsidRDefault="0084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DE0EE" w14:textId="77777777" w:rsidR="0084563C" w:rsidRDefault="0084563C">
      <w:r>
        <w:separator/>
      </w:r>
    </w:p>
  </w:footnote>
  <w:footnote w:type="continuationSeparator" w:id="0">
    <w:p w14:paraId="2234BF92" w14:textId="77777777" w:rsidR="0084563C" w:rsidRDefault="0084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5"/>
  </w:num>
  <w:num w:numId="2" w16cid:durableId="1218009555">
    <w:abstractNumId w:val="24"/>
  </w:num>
  <w:num w:numId="3" w16cid:durableId="322903263">
    <w:abstractNumId w:val="4"/>
  </w:num>
  <w:num w:numId="4" w16cid:durableId="1550458541">
    <w:abstractNumId w:val="21"/>
  </w:num>
  <w:num w:numId="5" w16cid:durableId="2076002656">
    <w:abstractNumId w:val="33"/>
  </w:num>
  <w:num w:numId="6" w16cid:durableId="47001385">
    <w:abstractNumId w:val="14"/>
  </w:num>
  <w:num w:numId="7" w16cid:durableId="702098925">
    <w:abstractNumId w:val="28"/>
  </w:num>
  <w:num w:numId="8" w16cid:durableId="131021821">
    <w:abstractNumId w:val="3"/>
  </w:num>
  <w:num w:numId="9" w16cid:durableId="1547833360">
    <w:abstractNumId w:val="9"/>
  </w:num>
  <w:num w:numId="10" w16cid:durableId="980157906">
    <w:abstractNumId w:val="23"/>
  </w:num>
  <w:num w:numId="11" w16cid:durableId="772436895">
    <w:abstractNumId w:val="31"/>
  </w:num>
  <w:num w:numId="12" w16cid:durableId="765662283">
    <w:abstractNumId w:val="27"/>
  </w:num>
  <w:num w:numId="13" w16cid:durableId="328487158">
    <w:abstractNumId w:val="32"/>
  </w:num>
  <w:num w:numId="14" w16cid:durableId="355271584">
    <w:abstractNumId w:val="12"/>
  </w:num>
  <w:num w:numId="15" w16cid:durableId="1150709665">
    <w:abstractNumId w:val="19"/>
  </w:num>
  <w:num w:numId="16" w16cid:durableId="1013265621">
    <w:abstractNumId w:val="22"/>
  </w:num>
  <w:num w:numId="17" w16cid:durableId="906957518">
    <w:abstractNumId w:val="8"/>
  </w:num>
  <w:num w:numId="18" w16cid:durableId="2035420833">
    <w:abstractNumId w:val="13"/>
  </w:num>
  <w:num w:numId="19" w16cid:durableId="83458777">
    <w:abstractNumId w:val="29"/>
  </w:num>
  <w:num w:numId="20" w16cid:durableId="1691908782">
    <w:abstractNumId w:val="17"/>
  </w:num>
  <w:num w:numId="21" w16cid:durableId="843397421">
    <w:abstractNumId w:val="16"/>
  </w:num>
  <w:num w:numId="22" w16cid:durableId="709458727">
    <w:abstractNumId w:val="35"/>
  </w:num>
  <w:num w:numId="23" w16cid:durableId="2080009366">
    <w:abstractNumId w:val="25"/>
  </w:num>
  <w:num w:numId="24" w16cid:durableId="1098064560">
    <w:abstractNumId w:val="34"/>
  </w:num>
  <w:num w:numId="25" w16cid:durableId="698045695">
    <w:abstractNumId w:val="0"/>
  </w:num>
  <w:num w:numId="26" w16cid:durableId="1428815935">
    <w:abstractNumId w:val="2"/>
  </w:num>
  <w:num w:numId="27" w16cid:durableId="981740388">
    <w:abstractNumId w:val="10"/>
  </w:num>
  <w:num w:numId="28" w16cid:durableId="1793359636">
    <w:abstractNumId w:val="15"/>
  </w:num>
  <w:num w:numId="29" w16cid:durableId="2005236856">
    <w:abstractNumId w:val="30"/>
  </w:num>
  <w:num w:numId="30" w16cid:durableId="1982030688">
    <w:abstractNumId w:val="20"/>
  </w:num>
  <w:num w:numId="31" w16cid:durableId="712270094">
    <w:abstractNumId w:val="6"/>
  </w:num>
  <w:num w:numId="32" w16cid:durableId="1248881277">
    <w:abstractNumId w:val="11"/>
  </w:num>
  <w:num w:numId="33" w16cid:durableId="1371303177">
    <w:abstractNumId w:val="1"/>
  </w:num>
  <w:num w:numId="34" w16cid:durableId="965427480">
    <w:abstractNumId w:val="18"/>
  </w:num>
  <w:num w:numId="35" w16cid:durableId="1702127446">
    <w:abstractNumId w:val="26"/>
  </w:num>
  <w:num w:numId="36" w16cid:durableId="99229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61B2A"/>
    <w:rsid w:val="001B6F4F"/>
    <w:rsid w:val="0027044E"/>
    <w:rsid w:val="00384004"/>
    <w:rsid w:val="00391103"/>
    <w:rsid w:val="003D0268"/>
    <w:rsid w:val="003E6326"/>
    <w:rsid w:val="00406D97"/>
    <w:rsid w:val="004222EE"/>
    <w:rsid w:val="00423F27"/>
    <w:rsid w:val="00437C6E"/>
    <w:rsid w:val="00472E23"/>
    <w:rsid w:val="00484DE1"/>
    <w:rsid w:val="004D46C2"/>
    <w:rsid w:val="0054118F"/>
    <w:rsid w:val="005817BF"/>
    <w:rsid w:val="005953F9"/>
    <w:rsid w:val="005D46C2"/>
    <w:rsid w:val="006A7231"/>
    <w:rsid w:val="00844D11"/>
    <w:rsid w:val="0084563C"/>
    <w:rsid w:val="00903633"/>
    <w:rsid w:val="00921C23"/>
    <w:rsid w:val="009D79E6"/>
    <w:rsid w:val="00A12118"/>
    <w:rsid w:val="00A23FC1"/>
    <w:rsid w:val="00A762C7"/>
    <w:rsid w:val="00B574A3"/>
    <w:rsid w:val="00B95232"/>
    <w:rsid w:val="00B95F87"/>
    <w:rsid w:val="00C876E2"/>
    <w:rsid w:val="00CA4BA4"/>
    <w:rsid w:val="00D01D43"/>
    <w:rsid w:val="00D16E22"/>
    <w:rsid w:val="00EB26AD"/>
    <w:rsid w:val="00F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4</cp:revision>
  <cp:lastPrinted>2025-03-05T06:00:00Z</cp:lastPrinted>
  <dcterms:created xsi:type="dcterms:W3CDTF">2025-03-05T05:59:00Z</dcterms:created>
  <dcterms:modified xsi:type="dcterms:W3CDTF">2025-03-05T06:01:00Z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