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95959"/>
          <w:sz w:val="22"/>
        </w:rPr>
        <w:t>TEAM PHOTON</w:t>
      </w:r>
    </w:p>
    <w:p>
      <w:pPr>
        <w:pStyle w:val="Title"/>
        <w:jc w:val="center"/>
      </w:pPr>
      <w:r>
        <w:t>BOM &amp; Customer-Order Mapping</w:t>
      </w:r>
    </w:p>
    <w:p>
      <w:pPr>
        <w:jc w:val="center"/>
      </w:pPr>
      <w:r>
        <w:rPr>
          <w:i/>
          <w:sz w:val="20"/>
        </w:rPr>
        <w:t>Sprint 1 • Sonal • Revised implementation and integration guide</w:t>
      </w:r>
    </w:p>
    <w:p>
      <w:pPr>
        <w:jc w:val="center"/>
      </w:pPr>
      <w:r>
        <w:rPr>
          <w:b/>
          <w:color w:val="C0504D"/>
          <w:sz w:val="18"/>
        </w:rPr>
        <w:t>Baseline: photon Sprint1 Dataset.xlsx (proposed; team confirmation required)</w:t>
      </w:r>
    </w:p>
    <w:p>
      <w:pPr>
        <w:pStyle w:val="Heading1"/>
      </w:pPr>
      <w:r>
        <w:t>1. Responsibility and outcome</w:t>
      </w:r>
    </w:p>
    <w:p>
      <w:r>
        <w:t>Sonal’s responsibility is to maintain the BOM (part-to-product) and customer-order (product-to-order) mapping, verify supplier-to-part relationships, provide expected supplier reachability, and supply runnable code and tests. The module now follows the same proposed dataset and relationship contract as the Team Photon Sprint 1 Requirements &amp; Acceptance document and Deep’s Graph Schema.</w:t>
      </w:r>
    </w:p>
    <w:p>
      <w:pPr>
        <w:pStyle w:val="Heading1"/>
      </w:pPr>
      <w:r>
        <w:t>2. Canonical graph and counts</w:t>
      </w:r>
    </w:p>
    <w:p>
      <w:r>
        <w:t>Supplier —SUPPLIES→ BOM Part —USED_IN→ Finished Product —FULFILLS→ Customer Order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Entity / relation</w:t>
            </w:r>
          </w:p>
        </w:tc>
        <w:tc>
          <w:tcPr>
            <w:tcW w:type="dxa" w:w="3389"/>
          </w:tcPr>
          <w:p>
            <w:r>
              <w:t>Expected count</w:t>
            </w:r>
          </w:p>
        </w:tc>
        <w:tc>
          <w:tcPr>
            <w:tcW w:type="dxa" w:w="3389"/>
          </w:tcPr>
          <w:p>
            <w:r>
              <w:t>Required details</w:t>
            </w:r>
          </w:p>
        </w:tc>
      </w:tr>
      <w:tr>
        <w:tc>
          <w:tcPr>
            <w:tcW w:type="dxa" w:w="3389"/>
          </w:tcPr>
          <w:p>
            <w:r>
              <w:t>Suppliers</w:t>
            </w:r>
          </w:p>
        </w:tc>
        <w:tc>
          <w:tcPr>
            <w:tcW w:type="dxa" w:w="3389"/>
          </w:tcPr>
          <w:p>
            <w:r>
              <w:t>2</w:t>
            </w:r>
          </w:p>
        </w:tc>
        <w:tc>
          <w:tcPr>
            <w:tcW w:type="dxa" w:w="3389"/>
          </w:tcPr>
          <w:p>
            <w:r>
              <w:t>name, location, note</w:t>
            </w:r>
          </w:p>
        </w:tc>
      </w:tr>
      <w:tr>
        <w:tc>
          <w:tcPr>
            <w:tcW w:type="dxa" w:w="3389"/>
          </w:tcPr>
          <w:p>
            <w:r>
              <w:t>BOM parts</w:t>
            </w:r>
          </w:p>
        </w:tc>
        <w:tc>
          <w:tcPr>
            <w:tcW w:type="dxa" w:w="3389"/>
          </w:tcPr>
          <w:p>
            <w:r>
              <w:t>5</w:t>
            </w:r>
          </w:p>
        </w:tc>
        <w:tc>
          <w:tcPr>
            <w:tcW w:type="dxa" w:w="3389"/>
          </w:tcPr>
          <w:p>
            <w:r>
              <w:t>name, stock_on_hand, daily_consumption</w:t>
            </w:r>
          </w:p>
        </w:tc>
      </w:tr>
      <w:tr>
        <w:tc>
          <w:tcPr>
            <w:tcW w:type="dxa" w:w="3389"/>
          </w:tcPr>
          <w:p>
            <w:r>
              <w:t>Finished products</w:t>
            </w:r>
          </w:p>
        </w:tc>
        <w:tc>
          <w:tcPr>
            <w:tcW w:type="dxa" w:w="3389"/>
          </w:tcPr>
          <w:p>
            <w:r>
              <w:t>2</w:t>
            </w:r>
          </w:p>
        </w:tc>
        <w:tc>
          <w:tcPr>
            <w:tcW w:type="dxa" w:w="3389"/>
          </w:tcPr>
          <w:p>
            <w:r>
              <w:t>name, parts_needed</w:t>
            </w:r>
          </w:p>
        </w:tc>
      </w:tr>
      <w:tr>
        <w:tc>
          <w:tcPr>
            <w:tcW w:type="dxa" w:w="3389"/>
          </w:tcPr>
          <w:p>
            <w:r>
              <w:t>Customer orders</w:t>
            </w:r>
          </w:p>
        </w:tc>
        <w:tc>
          <w:tcPr>
            <w:tcW w:type="dxa" w:w="3389"/>
          </w:tcPr>
          <w:p>
            <w:r>
              <w:t>10</w:t>
            </w:r>
          </w:p>
        </w:tc>
        <w:tc>
          <w:tcPr>
            <w:tcW w:type="dxa" w:w="3389"/>
          </w:tcPr>
          <w:p>
            <w:r>
              <w:t>customer, product_id, quantity, deadline (date)</w:t>
            </w:r>
          </w:p>
        </w:tc>
      </w:tr>
      <w:tr>
        <w:tc>
          <w:tcPr>
            <w:tcW w:type="dxa" w:w="3389"/>
          </w:tcPr>
          <w:p>
            <w:r>
              <w:t>SUPPLIES</w:t>
            </w:r>
          </w:p>
        </w:tc>
        <w:tc>
          <w:tcPr>
            <w:tcW w:type="dxa" w:w="3389"/>
          </w:tcPr>
          <w:p>
            <w:r>
              <w:t>6</w:t>
            </w:r>
          </w:p>
        </w:tc>
        <w:tc>
          <w:tcPr>
            <w:tcW w:type="dxa" w:w="3389"/>
          </w:tcPr>
          <w:p>
            <w:r>
              <w:t>lead_time_hours, max_capacity_units_per_day</w:t>
            </w:r>
          </w:p>
        </w:tc>
      </w:tr>
      <w:tr>
        <w:tc>
          <w:tcPr>
            <w:tcW w:type="dxa" w:w="3389"/>
          </w:tcPr>
          <w:p>
            <w:r>
              <w:t>USED_IN</w:t>
            </w:r>
          </w:p>
        </w:tc>
        <w:tc>
          <w:tcPr>
            <w:tcW w:type="dxa" w:w="3389"/>
          </w:tcPr>
          <w:p>
            <w:r>
              <w:t>5</w:t>
            </w:r>
          </w:p>
        </w:tc>
        <w:tc>
          <w:tcPr>
            <w:tcW w:type="dxa" w:w="3389"/>
          </w:tcPr>
          <w:p>
            <w:r>
              <w:t>quantity_per_product</w:t>
            </w:r>
          </w:p>
        </w:tc>
      </w:tr>
      <w:tr>
        <w:tc>
          <w:tcPr>
            <w:tcW w:type="dxa" w:w="3389"/>
          </w:tcPr>
          <w:p>
            <w:r>
              <w:t>FULFILLS</w:t>
            </w:r>
          </w:p>
        </w:tc>
        <w:tc>
          <w:tcPr>
            <w:tcW w:type="dxa" w:w="3389"/>
          </w:tcPr>
          <w:p>
            <w:r>
              <w:t>10</w:t>
            </w:r>
          </w:p>
        </w:tc>
        <w:tc>
          <w:tcPr>
            <w:tcW w:type="dxa" w:w="3389"/>
          </w:tcPr>
          <w:p>
            <w:r>
              <w:t>source sheet relationship; order attributes remain on order node</w:t>
            </w:r>
          </w:p>
        </w:tc>
      </w:tr>
      <w:tr>
        <w:tc>
          <w:tcPr>
            <w:tcW w:type="dxa" w:w="3389"/>
          </w:tcPr>
          <w:p>
            <w:r>
              <w:t>TOTAL</w:t>
            </w:r>
          </w:p>
        </w:tc>
        <w:tc>
          <w:tcPr>
            <w:tcW w:type="dxa" w:w="3389"/>
          </w:tcPr>
          <w:p>
            <w:r>
              <w:t>19 nodes / 21 edges</w:t>
            </w:r>
          </w:p>
        </w:tc>
        <w:tc>
          <w:tcPr>
            <w:tcW w:type="dxa" w:w="3389"/>
          </w:tcPr>
          <w:p>
            <w:r>
              <w:t>Directed acyclic graph (DAG)</w:t>
            </w:r>
          </w:p>
        </w:tc>
      </w:tr>
    </w:tbl>
    <w:p>
      <w:pPr>
        <w:pStyle w:val="Heading1"/>
      </w:pPr>
      <w:r>
        <w:t>3. Exact mapping rules</w:t>
      </w:r>
    </w:p>
    <w:p>
      <w:r>
        <w:t>SUPPLIES: SUP-01 → PART-01, PART-02, PART-05; SUP-02 → PART-03, PART-04, PART-05.</w:t>
      </w:r>
    </w:p>
    <w:p>
      <w:r>
        <w:t>USED_IN: PART-01 → PROD-01 (1); PART-02 → PROD-01 (1); PART-05 → PROD-01 (2); PART-03 → PROD-02 (1); PART-04 → PROD-02 (1). Do not add PART-05 → PROD-02.</w:t>
      </w:r>
    </w:p>
    <w:p>
      <w:r>
        <w:t>FULFILLS: PROD-01 → ORD-01 through ORD-06; PROD-02 → ORD-07 through ORD-10. Order quantity and deadline are attributes on each order node.</w:t>
      </w:r>
    </w:p>
    <w:p>
      <w:r>
        <w:t>The source workbook calls the BOM quantity `quantity_per_unit`; the graph normalizes this to `quantity_per_product`. The loader stores the normalized value on each USED_IN edge. Deadline values remain ISO dates (YYYY-MM-DD).</w:t>
      </w:r>
    </w:p>
    <w:p>
      <w:pPr>
        <w:pStyle w:val="Heading1"/>
      </w:pPr>
      <w:r>
        <w:t>4. Expected supplier reachability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Supplier</w:t>
            </w:r>
          </w:p>
        </w:tc>
        <w:tc>
          <w:tcPr>
            <w:tcW w:type="dxa" w:w="2541"/>
          </w:tcPr>
          <w:p>
            <w:r>
              <w:t>Reachable parts</w:t>
            </w:r>
          </w:p>
        </w:tc>
        <w:tc>
          <w:tcPr>
            <w:tcW w:type="dxa" w:w="2541"/>
          </w:tcPr>
          <w:p>
            <w:r>
              <w:t>Reachable products</w:t>
            </w:r>
          </w:p>
        </w:tc>
        <w:tc>
          <w:tcPr>
            <w:tcW w:type="dxa" w:w="2541"/>
          </w:tcPr>
          <w:p>
            <w:r>
              <w:t>Reachable orders</w:t>
            </w:r>
          </w:p>
        </w:tc>
      </w:tr>
      <w:tr>
        <w:tc>
          <w:tcPr>
            <w:tcW w:type="dxa" w:w="2541"/>
          </w:tcPr>
          <w:p>
            <w:r>
              <w:t>SUP-01</w:t>
            </w:r>
          </w:p>
        </w:tc>
        <w:tc>
          <w:tcPr>
            <w:tcW w:type="dxa" w:w="2541"/>
          </w:tcPr>
          <w:p>
            <w:r>
              <w:t>PART-01, PART-02, PART-05</w:t>
            </w:r>
          </w:p>
        </w:tc>
        <w:tc>
          <w:tcPr>
            <w:tcW w:type="dxa" w:w="2541"/>
          </w:tcPr>
          <w:p>
            <w:r>
              <w:t>PROD-01</w:t>
            </w:r>
          </w:p>
        </w:tc>
        <w:tc>
          <w:tcPr>
            <w:tcW w:type="dxa" w:w="2541"/>
          </w:tcPr>
          <w:p>
            <w:r>
              <w:t>ORD-01 to ORD-06 (6)</w:t>
            </w:r>
          </w:p>
        </w:tc>
      </w:tr>
      <w:tr>
        <w:tc>
          <w:tcPr>
            <w:tcW w:type="dxa" w:w="2541"/>
          </w:tcPr>
          <w:p>
            <w:r>
              <w:t>SUP-02</w:t>
            </w:r>
          </w:p>
        </w:tc>
        <w:tc>
          <w:tcPr>
            <w:tcW w:type="dxa" w:w="2541"/>
          </w:tcPr>
          <w:p>
            <w:r>
              <w:t>PART-03, PART-04, PART-05</w:t>
            </w:r>
          </w:p>
        </w:tc>
        <w:tc>
          <w:tcPr>
            <w:tcW w:type="dxa" w:w="2541"/>
          </w:tcPr>
          <w:p>
            <w:r>
              <w:t>PROD-01, PROD-02</w:t>
            </w:r>
          </w:p>
        </w:tc>
        <w:tc>
          <w:tcPr>
            <w:tcW w:type="dxa" w:w="2541"/>
          </w:tcPr>
          <w:p>
            <w:r>
              <w:t>ORD-01 to ORD-10 (10)</w:t>
            </w:r>
          </w:p>
        </w:tc>
      </w:tr>
    </w:tbl>
    <w:p>
      <w:r>
        <w:t>Important: SUP-02 reaches PROD-01 and ORD-01–ORD-06 through the shared path SUP-02 → PART-05 → PROD-01. Reachability identifies dependency paths only; it does not prove that an order will be disrupted.</w:t>
      </w:r>
    </w:p>
    <w:p>
      <w:pPr>
        <w:pStyle w:val="Heading1"/>
      </w:pPr>
      <w:r>
        <w:t>5. Implementation and validation</w:t>
      </w:r>
    </w:p>
    <w:p>
      <w:r>
        <w:t>The final ZIP contains scenario.json, CSV exports from the workbook, expected_results.json, main.py, tests/test_mapping.py, requirements.txt, and this README. The program validates globally unique IDs, node types and counts, required attributes, valid edge endpoints/directions/labels, numeric supply/BOM attributes, order product references, ISO deadlines, duplicate relationships, acyclicity, and exact supplier reachability.</w:t>
      </w:r>
    </w:p>
    <w:p>
      <w:r>
        <w:t>Run from the extracted project root:</w:t>
      </w:r>
    </w:p>
    <w:p>
      <w:pPr/>
      <w:r>
        <w:rPr>
          <w:rFonts w:ascii="Consolas" w:hAnsi="Consolas"/>
          <w:sz w:val="18"/>
        </w:rPr>
        <w:t>python -m pip install -r requirements.txt</w:t>
      </w:r>
    </w:p>
    <w:p>
      <w:pPr/>
      <w:r>
        <w:rPr>
          <w:rFonts w:ascii="Consolas" w:hAnsi="Consolas"/>
          <w:sz w:val="18"/>
        </w:rPr>
        <w:t>python main.py</w:t>
      </w:r>
    </w:p>
    <w:p>
      <w:pPr/>
      <w:r>
        <w:rPr>
          <w:rFonts w:ascii="Consolas" w:hAnsi="Consolas"/>
          <w:sz w:val="18"/>
        </w:rPr>
        <w:t>python -m unittest discover -s tests -v</w:t>
      </w:r>
    </w:p>
    <w:p>
      <w:r>
        <w:t>The program’s actual output and test run should be retained as Sprint 1 evidence. Performance should be reported only from a measured run; do not present a target as achieved without evidence.</w:t>
      </w:r>
    </w:p>
    <w:p>
      <w:pPr>
        <w:pStyle w:val="Heading1"/>
      </w:pPr>
      <w:r>
        <w:t>6. Scope boundary and handoff</w:t>
      </w:r>
    </w:p>
    <w:p>
      <w:r>
        <w:t>In scope: BOM/order mapping, graph building, validation, downstream dependency traversal, expected-result checks, automated tests, and documentation. Out of scope: confirmed disruption prediction, shortage/stock coverage calculations, recovery optimization, OR-Tools, live ERP integrations, and dashboard UI.</w:t>
      </w:r>
    </w:p>
    <w:p>
      <w:r>
        <w:t>Before formal sign-off, the team must confirm the Excel workbook as the canonical dataset. If approved, keep scenario.json, CSV exports, expected_results.json, code, tests, requirements, schema, and acceptance documentation synchronized with it.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TEAM PHOTON • SPRINT 1 • BOM &amp; CUSTOMER-ORDER MAPPING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