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OCDAO Proposal – Auto-Drafted</w:t>
      </w:r>
    </w:p>
    <w:p>
      <w:pPr>
        <w:jc w:val="center"/>
      </w:pPr>
      <w:r>
        <w:t>Generated by proposal-bot</w:t>
      </w:r>
    </w:p>
    <w:p>
      <w:pPr>
        <w:jc w:val="center"/>
      </w:pPr>
      <w:r>
        <w:t xml:space="preserve">Date: </w:t>
      </w:r>
    </w:p>
    <w:p>
      <w:r>
        <w:br w:type="page"/>
      </w:r>
    </w:p>
    <w:p>
      <w:r>
        <w:t>Table of Contents (update in Word: References → Table of Contents)</w:t>
      </w:r>
    </w:p>
    <w:p>
      <w:pPr>
        <w:pStyle w:val="Heading1"/>
      </w:pPr>
      <w:r>
        <w:t>LIST OF FIGURES</w:t>
      </w:r>
    </w:p>
    <w:p>
      <w:r>
        <w:t>[Insert automatic list of figures in Word]</w:t>
      </w:r>
    </w:p>
    <w:p>
      <w:pPr>
        <w:pStyle w:val="Heading1"/>
      </w:pPr>
      <w:r>
        <w:t>LIST OF TABLES</w:t>
      </w:r>
    </w:p>
    <w:p>
      <w:r>
        <w:t>[Insert automatic list of tables in Word]</w:t>
      </w:r>
    </w:p>
    <w:p>
      <w:pPr>
        <w:pStyle w:val="Heading1"/>
      </w:pPr>
      <w:r>
        <w:t>ACRONYMS AND ABBREVIATIONS</w:t>
      </w:r>
    </w:p>
    <w:p/>
    <w:p>
      <w:pPr>
        <w:pStyle w:val="Heading1"/>
      </w:pPr>
      <w:r>
        <w:t>Executive Summary</w:t>
      </w:r>
    </w:p>
    <w:p>
      <w:r>
        <w:t>This document was assembled automatically based on extracted requirements and generated outlines.</w:t>
      </w:r>
    </w:p>
    <w:p>
      <w:pPr>
        <w:pStyle w:val="Heading1"/>
      </w:pPr>
      <w:r>
        <w:t>WRITING ASSIGNMENTS MATRIX</w:t>
      </w:r>
    </w:p>
    <w:p>
      <w:r>
        <w:t>Live tracker: assign Author/SME and Due. Word Target uses words/page from ORAN_WORDS_PER_PAGE (default 425).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1F2"/>
          </w:tcPr>
          <w:p>
            <w:r>
              <w:t>Section</w:t>
            </w:r>
          </w:p>
        </w:tc>
        <w:tc>
          <w:tcPr>
            <w:tcW w:type="dxa" w:w="1080"/>
            <w:shd w:fill="D9E1F2"/>
          </w:tcPr>
          <w:p>
            <w:r>
              <w:t>Page Budget</w:t>
            </w:r>
          </w:p>
        </w:tc>
        <w:tc>
          <w:tcPr>
            <w:tcW w:type="dxa" w:w="1080"/>
            <w:shd w:fill="D9E1F2"/>
          </w:tcPr>
          <w:p>
            <w:r>
              <w:t>Word Target</w:t>
            </w:r>
          </w:p>
        </w:tc>
        <w:tc>
          <w:tcPr>
            <w:tcW w:type="dxa" w:w="1080"/>
            <w:shd w:fill="D9E1F2"/>
          </w:tcPr>
          <w:p>
            <w:r>
              <w:t>Shalls</w:t>
            </w:r>
          </w:p>
        </w:tc>
        <w:tc>
          <w:tcPr>
            <w:tcW w:type="dxa" w:w="1080"/>
            <w:shd w:fill="D9E1F2"/>
          </w:tcPr>
          <w:p>
            <w:r>
              <w:t>Author</w:t>
            </w:r>
          </w:p>
        </w:tc>
        <w:tc>
          <w:tcPr>
            <w:tcW w:type="dxa" w:w="1080"/>
            <w:shd w:fill="D9E1F2"/>
          </w:tcPr>
          <w:p>
            <w:r>
              <w:t>SME</w:t>
            </w:r>
          </w:p>
        </w:tc>
        <w:tc>
          <w:tcPr>
            <w:tcW w:type="dxa" w:w="1080"/>
            <w:shd w:fill="D9E1F2"/>
          </w:tcPr>
          <w:p>
            <w:r>
              <w:t>Due</w:t>
            </w:r>
          </w:p>
        </w:tc>
        <w:tc>
          <w:tcPr>
            <w:tcW w:type="dxa" w:w="1080"/>
            <w:shd w:fill="D9E1F2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Response to Section General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Response to Section 1.1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Response to Section 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Response to Section 1.5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Response to Section 1.6.1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Response to Section 1.6.5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Response to Section 1.6.7.1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Response to Section 1.6.7.2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Response to Section 1.6.7.2.1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Response to Section 1.6.7.2.2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Response to Section 1.6.7.3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Response to Section 1.6.9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Proposal Development Plan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1"/>
      </w:pPr>
      <w:r>
        <w:t>Control Tables (Additional)</w:t>
      </w:r>
    </w:p>
    <w:p>
      <w:pPr>
        <w:pStyle w:val="Heading2"/>
      </w:pPr>
      <w:r>
        <w:t>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Deliverable_Name (exact)</w:t>
            </w:r>
          </w:p>
        </w:tc>
        <w:tc>
          <w:tcPr>
            <w:tcW w:type="dxa" w:w="1440"/>
          </w:tcPr>
          <w:p>
            <w:r>
              <w:t>PWS_Ref</w:t>
            </w:r>
          </w:p>
        </w:tc>
        <w:tc>
          <w:tcPr>
            <w:tcW w:type="dxa" w:w="1440"/>
          </w:tcPr>
          <w:p>
            <w:r>
              <w:t>Cadence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over the contract service providers performing the services herein. Such contract service providers shall be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Response Overview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Incorporate all feedback and finalize the proposal.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Proposal Development Plan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Likelihood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Mitigation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Trigger</w:t>
            </w:r>
          </w:p>
        </w:tc>
      </w:tr>
      <w:tr>
        <w:tc>
          <w:tcPr>
            <w:tcW w:type="dxa" w:w="1440"/>
          </w:tcPr>
          <w:p>
            <w:r>
              <w:t>accelerate adoption of data, analytics, and AI to generate decision advantage. The contractor shall provide a range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Contractor shall provide the QCP to the Government NLT 30 days after contract award date. The Contractor shall</w:t>
            </w:r>
          </w:p>
        </w:tc>
        <w:tc>
          <w:tcPr>
            <w:tcW w:type="dxa" w:w="1440"/>
          </w:tcPr>
          <w:p>
            <w:r>
              <w:t>Response Overview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Crosswalk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Addressed_In (page/para)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Gap/Notes</w:t>
            </w:r>
          </w:p>
        </w:tc>
      </w:tr>
      <w:tr>
        <w:tc>
          <w:tcPr>
            <w:tcW w:type="dxa" w:w="2160"/>
          </w:tcPr>
          <w:p>
            <w:r>
              <w:t>and Machine Learning Program Support Services. The Government shall not exercise any supervision or control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over the contract service providers performing the services herein. Such contract service providers shall be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1.1 Description of Services/Introduction. The contractor shall provide all personnel, equipment, supplies, facilities,</w:t>
            </w:r>
          </w:p>
        </w:tc>
        <w:tc>
          <w:tcPr>
            <w:tcW w:type="dxa" w:w="2160"/>
          </w:tcPr>
          <w:p>
            <w:r>
              <w:t>Response to Section 1.1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shall perform to the standards in this contract.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1.4 Scope. The contractor shall provide services support to OCDAO as it provides capabilities and concepts to</w:t>
            </w:r>
          </w:p>
        </w:tc>
        <w:tc>
          <w:tcPr>
            <w:tcW w:type="dxa" w:w="2160"/>
          </w:tcPr>
          <w:p>
            <w:r>
              <w:t>Response to Section 1.4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accelerate adoption of data, analytics, and AI to generate decision advantage. The contractor shall provide a range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1.5 Period of Performance. The period of performance for this contract shall be for 1 year base + 4 options, as follows:</w:t>
            </w:r>
          </w:p>
        </w:tc>
        <w:tc>
          <w:tcPr>
            <w:tcW w:type="dxa" w:w="2160"/>
          </w:tcPr>
          <w:p>
            <w:r>
              <w:t>Response to Section 1.5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1.6.1 Quality Control Plan (QCP). The Contractor shall develop a QCP that demonstrates how the Contractor shall</w:t>
            </w:r>
          </w:p>
        </w:tc>
        <w:tc>
          <w:tcPr>
            <w:tcW w:type="dxa" w:w="2160"/>
          </w:tcPr>
          <w:p>
            <w:r>
              <w:t>Response to Section 1.6.1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Contractor shall provide the QCP to the Government NLT 30 days after contract award date. The Contractor shall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shall demonstrate the Contractor’s documented processes and procedures to monitor and control: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1.6.5 Place of Performance. Work performance shall be performed onsite at Government facilities in the National</w:t>
            </w:r>
          </w:p>
        </w:tc>
        <w:tc>
          <w:tcPr>
            <w:tcW w:type="dxa" w:w="2160"/>
          </w:tcPr>
          <w:p>
            <w:r>
              <w:t>Response to Section 1.6.5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contractor shall be required to account for the whereabouts of its personnel should such accountability information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government facility, contractor personnel shall prepare all deliverables utilizing contractor resources.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When hiring personnel, the Contractor shall keep in mind that the stability and continuity of the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1.6.7.1 Physical Security. The Contractor shall be responsible for safeguarding all government equipment,</w:t>
            </w:r>
          </w:p>
        </w:tc>
        <w:tc>
          <w:tcPr>
            <w:tcW w:type="dxa" w:w="2160"/>
          </w:tcPr>
          <w:p>
            <w:r>
              <w:t>Response to Section 1.6.7.1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equipment, and materials shall be secured.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1.6.7.2 Key Control. The Contractor shall establish and implement methods of making sure all keys/key cards</w:t>
            </w:r>
          </w:p>
        </w:tc>
        <w:tc>
          <w:tcPr>
            <w:tcW w:type="dxa" w:w="2160"/>
          </w:tcPr>
          <w:p>
            <w:r>
              <w:t>Response to Section 1.6.7.2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NOTE: All references to keys include key cards. No keys issued to the Contractor by the Government shall be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duplicated. The Contractor shall develop procedures covering key control that shall be included in the Quality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Control Plan. Such procedures shall include turn-in of any issued keys by personnel who no longer require access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to locked areas. The Contractor shall immediately report any occurrences of lost or duplicate keys/key cards to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1.6.7.2.1 In the event keys, other than master keys, are lost or duplicated, the Contractor shall, upon direction of the</w:t>
            </w:r>
          </w:p>
        </w:tc>
        <w:tc>
          <w:tcPr>
            <w:tcW w:type="dxa" w:w="2160"/>
          </w:tcPr>
          <w:p>
            <w:r>
              <w:t>Response to Section 1.6.7.2.1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by the Government, the total cost of re-keying or the replacement of the lock or locks shall be deducted from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system shall be replaced by the Government and the total cost deducted from the monthly payment due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1.6.7.2.2 The Contractor shall prohibit the use of Government issued keys/key cards by any persons other than the</w:t>
            </w:r>
          </w:p>
        </w:tc>
        <w:tc>
          <w:tcPr>
            <w:tcW w:type="dxa" w:w="2160"/>
          </w:tcPr>
          <w:p>
            <w:r>
              <w:t>Response to Section 1.6.7.2.2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Contractor’s employees. The Contractor shall prohibit the opening of locked areas by Contractor employees 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1.6.7.3 Lock Combinations. The Contractor shall establish and implement methods of ensuring that all lock</w:t>
            </w:r>
          </w:p>
        </w:tc>
        <w:tc>
          <w:tcPr>
            <w:tcW w:type="dxa" w:w="2160"/>
          </w:tcPr>
          <w:p>
            <w:r>
              <w:t>Response to Section 1.6.7.3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combinations are not revealed to unauthorized persons. The Contractor, in coordination with the Government, shall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rooms, or certified vaults, shall be marked and safeguarded at the highest classification level as the classified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material maintained inside the approved containers. These procedures shall be included in the Contractor’s Quality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experienced. Appropriate action shall be taken to resolve outstanding issues. These meetings shall be at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1.6.9 Special Qualifications: The contractor shall assign personnel to this contract by education, experience,</w:t>
            </w:r>
          </w:p>
        </w:tc>
        <w:tc>
          <w:tcPr>
            <w:tcW w:type="dxa" w:w="2160"/>
          </w:tcPr>
          <w:p>
            <w:r>
              <w:t>Response to Section 1.6.9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be averse to the interests of the Government or others. In that event, the contractor shall agree that it will not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use or disclose any such information unless authorized by the COR. The contractor shall further agree that 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contractor shall protect information in accordance with the Privacy Act of 1974 (5 U.S.C. § 552a) and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Contractor shall (1) notify the Contracting Officer reasonably in advance and (2) submit justification (including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proposed substitutions) in sufficient detail to permit evaluation of the impact on this contract. The Contractor shall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ratify in writing the proposed change, and that ratification shall constitute the Contracting Officer's consent required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with this task. The Contractor shall provide a written request for travel to the Government Project Lead, then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purchase of tickets and commencement of travel. The Contractor shall be reimbursed for actual allowable,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award, all ODCs shall receive government COR approval prior to funds being expended.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create a current or subsequent Organizational Conflict of Interests (OCI) as defined in FAR Subpart 9.5. The Contractor shall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or potential OCI and shall promptly submit a plan to the Contracting Officer to avoid or mitigate any such OCI. The Contractor’s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1.12 Transition Phase-In Plan. The Contractor shall provide a Transition-In Plan at the Kickoff Meeting. The plan shall facilitate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shall identify how it will coordinate with the incumbent Contractor and Government personnel to transfer knowledge regarding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Communication. The Contractor shall also establish and maintain effective communication with the Government personnel for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(a) The Contractor shall report all Contractor labor hours (including Subcontractor labor hours) required for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through September 30. While inputs may be reported any time during the FY, all data shall be reported no later than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October 31 of each calendar year. The Contractor shall completely fill in all required data fields. The Contractor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shall enter initial data into https://www.sam.gov to establish the basic contract record no later than 15 business days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after receipt of contract award or contract modification incorporating this clause. The Contractor shall notify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appointed by the contracting officer to administer the contract. Such appointment shall be in writing and shall state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product or service shall meet contract requirements.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email accounts. As users of a DOD system, Contractors shall be required to complete all yearly Army 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outlined in this PWS.  The Contractor shall instruct employees in utilities conservation practices.  The Contractor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shall be responsible for operating under conditions that preclude the waste of utilities, which included turning off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4.1 General. The Contractor shall furnish all supplies, equipment, facilities and services required to perform work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4.2 Facility Clearance: The Contractor shall possess and maintain a TOP SECRET facility clearance from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Defense Security Service. The Contractor’s employees, performing work in support of this contract shall have been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5.1. Task 1 - Data and AI Program Management. The Contractor shall provide services for Data and 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Program Management. Data and AI Program Management tasks shall include: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of project plans, schedules, budgets, briefings, and risks. The contractor shall assist in developing metrics and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and execution. The contractor shall have a firm understanding of agile code development, integration, test, quality,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5.2. Task 2 - Infrastructure Architecture Support Services: The Contractor shall provide Infrastructure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strategy. The contractor shall provide OCDAO with information regarding other potential stakeholders including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5.3 Task 3 - Data Engineering, Integration and Development. The Contractor shall: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5.4 Task 4 – Strategy &amp; Policy Support. The contractor shall: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understanding of the effort and to facilitate better communications. Further the contractor shall provide guidance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management. The contractor shall: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contractor shall provide administrative support to executive-level, and organizational level throughout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CDAO. The contractor shall provide the following administrative management support as assigned: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devices.  Contractor shall assist in the troubleshooting of GFE devices to the extent possible as requested.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5.7.4 Conduct In-Process Reviews (IPRs) as needed and provide information regarding contract status. IPRs shall provide for 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To assist the Government with the appropriate surveillance during the performance of this PWS, the contractor shall deliver 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is using efficient methods and effective cost controls in executing each task. The Contractor shall propose a format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to be approved by the Government that meets the intent of the report, which shall include the following: 1) identification of fixed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shall deliver a Monthly Financial Report (MFR). The purpose of the MFR is to provide the Government with financial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and execution status of the contract. The MFR shall be in two parts as follows. MFR Part 1, Invoicing, shall include 1) fixed contract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that accounts for and justifies all travel costs for that period, including explanation of the charges (Contractor shall provide detailed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Execution Report (SER), shall 1) give the number of hours and dollars expended by CLIN by labor category by contractor employee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memorandums, and instructions. The Contractor shall comply with the appropriate DoD-approved programs,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In addition, the Contractor shall comply with the following as required;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(The Service required—usually a shall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shall deliver a Monthly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shall deliver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shall deliver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shall deliver Cost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The contractor shall deliver White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for offerors. The contractor shall have in place the capability to fulfill the requirements of the contract. ***Note: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Gap</w:t>
            </w:r>
          </w:p>
        </w:tc>
      </w:tr>
    </w:tbl>
    <w:p>
      <w:pPr>
        <w:pStyle w:val="Heading1"/>
      </w:pPr>
      <w:r>
        <w:t>Technical Approach &amp; Methodology</w:t>
      </w:r>
    </w:p>
    <w:p>
      <w:pPr>
        <w:pStyle w:val="Heading2"/>
      </w:pPr>
      <w:r>
        <w:t>Response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over the contract service providers performing the services herein. Such contract service providers shall be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The contractor shall perform to the standards in this contract.</w:t>
            </w:r>
          </w:p>
        </w:tc>
      </w:tr>
      <w:tr>
        <w:tc>
          <w:tcPr>
            <w:tcW w:type="dxa" w:w="4320"/>
          </w:tcPr>
          <w:p>
            <w:r>
              <w:t>Risks</w:t>
            </w:r>
          </w:p>
        </w:tc>
        <w:tc>
          <w:tcPr>
            <w:tcW w:type="dxa" w:w="4320"/>
          </w:tcPr>
          <w:p>
            <w:r>
              <w:t>accelerate adoption of data, analytics, and AI to generate decision advantage. The contractor shall provide a range</w:t>
            </w:r>
          </w:p>
        </w:tc>
      </w:tr>
      <w:tr>
        <w:tc>
          <w:tcPr>
            <w:tcW w:type="dxa" w:w="4320"/>
          </w:tcPr>
          <w:p>
            <w:r>
              <w:t>Mitigations</w:t>
            </w:r>
          </w:p>
        </w:tc>
        <w:tc>
          <w:tcPr>
            <w:tcW w:type="dxa" w:w="4320"/>
          </w:tcPr>
          <w:p>
            <w:r>
              <w:t>Contractor shall provide the QCP to the Government NLT 30 days after contract award date. The Contractor shall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shall demonstrate the Contractor’s documented processes and procedures to monitor and control: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contractor shall be required to account for the whereabouts of its personnel should such accountability information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cdb90ad434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b3089720fe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01893b07f6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3ad5797edb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9589139607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97c7b4a417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dc876c487f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028df5fb43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90b2551b8c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  <w:tr>
        <w:tc>
          <w:tcPr>
            <w:tcW w:type="dxa" w:w="2880"/>
          </w:tcPr>
          <w:p>
            <w:r>
              <w:t>c5a9ebef9c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 Machine Learning Program Support Services. The Government shall not exercise any supervision or control</w:t>
            </w:r>
          </w:p>
        </w:tc>
      </w:tr>
    </w:tbl>
    <w:p>
      <w:pPr>
        <w:jc w:val="right"/>
      </w:pPr>
      <w:r>
        <w:t>Requirements Coverage</w:t>
      </w:r>
    </w:p>
    <w:p>
      <w:r>
        <w:t>[Approach] and Machine Learning Program Support Services. The Government shall not exercise any supervision or control; [Deliverables] over the contract service providers performing the services herein. Such contract service providers shall be; [Schedule] The contractor shall perform to the standards in this contract; [Risks] accelerate adoption of data, analytics, and AI to generate decision advantage. The contractor shall provide a range; [Mitigations] Contractor shall provide the QCP to the Government NLT 30 days after contract award date. The Contractor shall; [QA] shall demonstrate the Contractor’s documented processes and procedures to monitor and control:; [Compliance] contractor shall be required to account for the whereabouts of its personnel should such accountability information.</w:t>
      </w:r>
    </w:p>
    <w:p>
      <w:pPr>
        <w:pStyle w:val="Heading2"/>
      </w:pPr>
      <w:r>
        <w:t>Response to Section 1.1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1.1 Description of Services/Introduction. The contractor shall provide all personnel, equipment, supplies, facilities,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4508bab425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1.1 Description of Services/Introduction. The contractor shall provide all personnel, equipment, supplies, facilities,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1.1 Description of Services/Introduction. The contractor shall provide all personnel, equipment, supplies, facilities,.</w:t>
      </w:r>
    </w:p>
    <w:p>
      <w:pPr>
        <w:pStyle w:val="Heading2"/>
      </w:pPr>
      <w:r>
        <w:t>Response to Section 1.4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1.4 Scope. The contractor shall provide services support to OCDAO as it provides capabilities and concepts to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27686475fe</w:t>
            </w:r>
          </w:p>
        </w:tc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1.4 Scope. The contractor shall provide services support to OCDAO as it provides capabilities and concepts to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1.4 Scope. The contractor shall provide services support to OCDAO as it provides capabilities and concepts to.</w:t>
      </w:r>
    </w:p>
    <w:p>
      <w:pPr>
        <w:pStyle w:val="Heading2"/>
      </w:pPr>
      <w:r>
        <w:t>Response to Section 1.5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1.5 Period of Performance. The period of performance for this contract shall be for 1 year base + 4 options, as follows: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a723ec34d3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1.5 Period of Performance. The period of performance for this contract shall be for 1 year base + 4 options, as follows: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1.5 Period of Performance. The period of performance for this contract shall be for 1 year base + 4 options, as follows:.</w:t>
      </w:r>
    </w:p>
    <w:p>
      <w:pPr>
        <w:pStyle w:val="Heading2"/>
      </w:pPr>
      <w:r>
        <w:t>Response to Section 1.6.1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1.6.1 Quality Control Plan (QCP). The Contractor shall develop a QCP that demonstrates how the Contractor shall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6457303948</w:t>
            </w:r>
          </w:p>
        </w:tc>
        <w:tc>
          <w:tcPr>
            <w:tcW w:type="dxa" w:w="2880"/>
          </w:tcPr>
          <w:p>
            <w:r>
              <w:t>1.6.1</w:t>
            </w:r>
          </w:p>
        </w:tc>
        <w:tc>
          <w:tcPr>
            <w:tcW w:type="dxa" w:w="2880"/>
          </w:tcPr>
          <w:p>
            <w:r>
              <w:t>1.6.1 Quality Control Plan (QCP). The Contractor shall develop a QCP that demonstrates how the Contractor shall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1.6.1 Quality Control Plan (QCP). The Contractor shall develop a QCP that demonstrates how the Contractor shall.</w:t>
      </w:r>
    </w:p>
    <w:p>
      <w:pPr>
        <w:pStyle w:val="Heading2"/>
      </w:pPr>
      <w:r>
        <w:t>Response to Section 1.6.5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1.6.5 Place of Performance. Work performance shall be performed onsite at Government facilities in the National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d87a51cd0e</w:t>
            </w:r>
          </w:p>
        </w:tc>
        <w:tc>
          <w:tcPr>
            <w:tcW w:type="dxa" w:w="2880"/>
          </w:tcPr>
          <w:p>
            <w:r>
              <w:t>1.6.5</w:t>
            </w:r>
          </w:p>
        </w:tc>
        <w:tc>
          <w:tcPr>
            <w:tcW w:type="dxa" w:w="2880"/>
          </w:tcPr>
          <w:p>
            <w:r>
              <w:t>1.6.5 Place of Performance. Work performance shall be performed onsite at Government facilities in the National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1.6.5 Place of Performance. Work performance shall be performed onsite at Government facilities in the National.</w:t>
      </w:r>
    </w:p>
    <w:p>
      <w:pPr>
        <w:pStyle w:val="Heading2"/>
      </w:pPr>
      <w:r>
        <w:t>Response to Section 1.6.7.1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1.6.7.1 Physical Security. The Contractor shall be responsible for safeguarding all government equipment,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a74547b5ef</w:t>
            </w:r>
          </w:p>
        </w:tc>
        <w:tc>
          <w:tcPr>
            <w:tcW w:type="dxa" w:w="2880"/>
          </w:tcPr>
          <w:p>
            <w:r>
              <w:t>1.6.7.1</w:t>
            </w:r>
          </w:p>
        </w:tc>
        <w:tc>
          <w:tcPr>
            <w:tcW w:type="dxa" w:w="2880"/>
          </w:tcPr>
          <w:p>
            <w:r>
              <w:t>1.6.7.1 Physical Security. The Contractor shall be responsible for safeguarding all government equipment,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1.6.7.1 Physical Security. The Contractor shall be responsible for safeguarding all government equipment,.</w:t>
      </w:r>
    </w:p>
    <w:p>
      <w:pPr>
        <w:pStyle w:val="Heading2"/>
      </w:pPr>
      <w:r>
        <w:t>Response to Section 1.6.7.2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1.6.7.2 Key Control. The Contractor shall establish and implement methods of making sure all keys/key cards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5e3c61faf4</w:t>
            </w:r>
          </w:p>
        </w:tc>
        <w:tc>
          <w:tcPr>
            <w:tcW w:type="dxa" w:w="2880"/>
          </w:tcPr>
          <w:p>
            <w:r>
              <w:t>1.6.7.2</w:t>
            </w:r>
          </w:p>
        </w:tc>
        <w:tc>
          <w:tcPr>
            <w:tcW w:type="dxa" w:w="2880"/>
          </w:tcPr>
          <w:p>
            <w:r>
              <w:t>1.6.7.2 Key Control. The Contractor shall establish and implement methods of making sure all keys/key cards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1.6.7.2 Key Control. The Contractor shall establish and implement methods of making sure all keys/key cards.</w:t>
      </w:r>
    </w:p>
    <w:p>
      <w:pPr>
        <w:pStyle w:val="Heading2"/>
      </w:pPr>
      <w:r>
        <w:t>Response to Section 1.6.7.2.1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1.6.7.2.1 In the event keys, other than master keys, are lost or duplicated, the Contractor shall, upon direction of the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10abeedbae</w:t>
            </w:r>
          </w:p>
        </w:tc>
        <w:tc>
          <w:tcPr>
            <w:tcW w:type="dxa" w:w="2880"/>
          </w:tcPr>
          <w:p>
            <w:r>
              <w:t>1.6.7.2.1</w:t>
            </w:r>
          </w:p>
        </w:tc>
        <w:tc>
          <w:tcPr>
            <w:tcW w:type="dxa" w:w="2880"/>
          </w:tcPr>
          <w:p>
            <w:r>
              <w:t>1.6.7.2.1 In the event keys, other than master keys, are lost or duplicated, the Contractor shall, upon direction of the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1.6.7.2.1 In the event keys, other than master keys, are lost or duplicated, the Contractor shall, upon direction of the.</w:t>
      </w:r>
    </w:p>
    <w:p>
      <w:pPr>
        <w:pStyle w:val="Heading2"/>
      </w:pPr>
      <w:r>
        <w:t>Response to Section 1.6.7.2.2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1.6.7.2.2 The Contractor shall prohibit the use of Government issued keys/key cards by any persons other than the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b50173ceee</w:t>
            </w:r>
          </w:p>
        </w:tc>
        <w:tc>
          <w:tcPr>
            <w:tcW w:type="dxa" w:w="2880"/>
          </w:tcPr>
          <w:p>
            <w:r>
              <w:t>1.6.7.2.2</w:t>
            </w:r>
          </w:p>
        </w:tc>
        <w:tc>
          <w:tcPr>
            <w:tcW w:type="dxa" w:w="2880"/>
          </w:tcPr>
          <w:p>
            <w:r>
              <w:t>1.6.7.2.2 The Contractor shall prohibit the use of Government issued keys/key cards by any persons other than the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1.6.7.2.2 The Contractor shall prohibit the use of Government issued keys/key cards by any persons other than the.</w:t>
      </w:r>
    </w:p>
    <w:p>
      <w:pPr>
        <w:pStyle w:val="Heading2"/>
      </w:pPr>
      <w:r>
        <w:t>Response to Section 1.6.7.3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1.6.7.3 Lock Combinations. The Contractor shall establish and implement methods of ensuring that all lock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ffb2ab00c7</w:t>
            </w:r>
          </w:p>
        </w:tc>
        <w:tc>
          <w:tcPr>
            <w:tcW w:type="dxa" w:w="2880"/>
          </w:tcPr>
          <w:p>
            <w:r>
              <w:t>1.6.7.3</w:t>
            </w:r>
          </w:p>
        </w:tc>
        <w:tc>
          <w:tcPr>
            <w:tcW w:type="dxa" w:w="2880"/>
          </w:tcPr>
          <w:p>
            <w:r>
              <w:t>1.6.7.3 Lock Combinations. The Contractor shall establish and implement methods of ensuring that all lock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1.6.7.3 Lock Combinations. The Contractor shall establish and implement methods of ensuring that all lock.</w:t>
      </w:r>
    </w:p>
    <w:p>
      <w:pPr>
        <w:pStyle w:val="Heading2"/>
      </w:pPr>
      <w:r>
        <w:t>Response to Section 1.6.9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1.6.9 Special Qualifications: The contractor shall assign personnel to this contract by education, experience,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ea86c66c8a</w:t>
            </w:r>
          </w:p>
        </w:tc>
        <w:tc>
          <w:tcPr>
            <w:tcW w:type="dxa" w:w="2880"/>
          </w:tcPr>
          <w:p>
            <w:r>
              <w:t>1.6.9</w:t>
            </w:r>
          </w:p>
        </w:tc>
        <w:tc>
          <w:tcPr>
            <w:tcW w:type="dxa" w:w="2880"/>
          </w:tcPr>
          <w:p>
            <w:r>
              <w:t>1.6.9 Special Qualifications: The contractor shall assign personnel to this contract by education, experience,</w:t>
            </w:r>
          </w:p>
        </w:tc>
      </w:tr>
    </w:tbl>
    <w:p>
      <w:pPr>
        <w:jc w:val="right"/>
      </w:pPr>
      <w:r>
        <w:t>Requirements Coverage</w:t>
      </w:r>
    </w:p>
    <w:p>
      <w:r>
        <w:t>[Approach] 1.6.9 Special Qualifications: The contractor shall assign personnel to this contract by education, experience,.</w:t>
      </w:r>
    </w:p>
    <w:p>
      <w:pPr>
        <w:pStyle w:val="Heading2"/>
      </w:pPr>
      <w:r>
        <w:t>Proposal Development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Always start with a roadmap and define Labor Categories.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Assign authors to proposal sections.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Request Pink Team input and assemble inputs into a working document.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Distribute the Pink Team document to the team for review.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Incorporate all feedback and finalize the proposal.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Include a kickoff meeting and generate an initial outline.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Prepare a submission email listing all required filenames.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Conduct a Pink Team Review for first compliance and structure check; ensure requirements are addressed and direction is correct.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Conduct a Red Team Review at 85–90% solution to strengthen technical and management content.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Send documents back to authors for adjudication of comments and revisions.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Complete a full Red Review (prose draft).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Perform an internal review of the management section.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Review technical content again and send back for adjudication if needed.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Conduct a Gold Review for final refinement, polishing content, graphics, and narrative.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Perform a White Glove Review by a C-level executive and Proposal Manager (check grammar, RFP compliance, 508 compliance).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Perform a compliance check immediately after creating the outline.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Verify that SF-33s, SF-18s, and SF-1449s are signed and amendments acknowledged.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Ensure RFP compliance before submission.</w:t>
            </w:r>
          </w:p>
        </w:tc>
      </w:tr>
    </w:tbl>
    <w:p>
      <w:pPr>
        <w:jc w:val="right"/>
      </w:pPr>
      <w:r>
        <w:t>Section Summary</w:t>
      </w:r>
    </w:p>
    <w:p>
      <w:r>
        <w:t>[Approach] Always start with a roadmap and define Labor Categories; [Schedule] Include a kickoff meeting and generate an initial outline; [Compliance] Perform a compliance check immediately after creating the outline; [Approach] Assign authors to proposal sections; [QA] Conduct a Pink Team Review for first compliance and structure check; ensure requirements are addressed and direction is correct; [Approach] Request Pink Team input and assemble inputs into a working document; [Approach] Distribute the Pink Team document to the team for review; [QA] Conduct a Red Team Review at 85–90% solution to strengthen technical and management content; [QA] Send documents back to authors for adjudication of comments and revisions; [QA] Complete a full Red Review (prose draft); [QA] Perform an internal review of the management section; [Compliance] Verify that SF-33s, SF-18s, and SF-1449s are signed and amendments acknowledged; [QA] Review technical content again and send back for adjudication if needed; [Schedule] Prepare a submission email listing all required filenames; [QA] Conduct a Gold Review for final refinement, polishing content, graphics, and narrative; [Compliance] Ensure RFP compliance before submission; [QA] Perform a White Glove Review by a C-level executive and Proposal Manager (check grammar, RFP compliance, 508 compliance); [Deliverables] Incorporate all feedback and finalize the proposal.</w:t>
      </w:r>
    </w:p>
    <w:p>
      <w:pPr>
        <w:pStyle w:val="Heading1"/>
      </w:pPr>
      <w:r>
        <w:t>Compliance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Shall ID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Covered By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cdb90ad434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b3089720fe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4508bab425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Response to Section 1.1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01893b07f6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27686475fe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Response to Section 1.4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3ad5797edb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a723ec34d3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Response to Section 1.5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6457303948</w:t>
            </w:r>
          </w:p>
        </w:tc>
        <w:tc>
          <w:tcPr>
            <w:tcW w:type="dxa" w:w="2160"/>
          </w:tcPr>
          <w:p>
            <w:r>
              <w:t>1.6.1</w:t>
            </w:r>
          </w:p>
        </w:tc>
        <w:tc>
          <w:tcPr>
            <w:tcW w:type="dxa" w:w="2160"/>
          </w:tcPr>
          <w:p>
            <w:r>
              <w:t>Response to Section 1.6.1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9589139607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97c7b4a417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d87a51cd0e</w:t>
            </w:r>
          </w:p>
        </w:tc>
        <w:tc>
          <w:tcPr>
            <w:tcW w:type="dxa" w:w="2160"/>
          </w:tcPr>
          <w:p>
            <w:r>
              <w:t>1.6.5</w:t>
            </w:r>
          </w:p>
        </w:tc>
        <w:tc>
          <w:tcPr>
            <w:tcW w:type="dxa" w:w="2160"/>
          </w:tcPr>
          <w:p>
            <w:r>
              <w:t>Response to Section 1.6.5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dc876c487f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028df5fb43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90b2551b8c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a74547b5ef</w:t>
            </w:r>
          </w:p>
        </w:tc>
        <w:tc>
          <w:tcPr>
            <w:tcW w:type="dxa" w:w="2160"/>
          </w:tcPr>
          <w:p>
            <w:r>
              <w:t>1.6.7.1</w:t>
            </w:r>
          </w:p>
        </w:tc>
        <w:tc>
          <w:tcPr>
            <w:tcW w:type="dxa" w:w="2160"/>
          </w:tcPr>
          <w:p>
            <w:r>
              <w:t>Response to Section 1.6.7.1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c5a9ebef9c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5e3c61faf4</w:t>
            </w:r>
          </w:p>
        </w:tc>
        <w:tc>
          <w:tcPr>
            <w:tcW w:type="dxa" w:w="2160"/>
          </w:tcPr>
          <w:p>
            <w:r>
              <w:t>1.6.7.2</w:t>
            </w:r>
          </w:p>
        </w:tc>
        <w:tc>
          <w:tcPr>
            <w:tcW w:type="dxa" w:w="2160"/>
          </w:tcPr>
          <w:p>
            <w:r>
              <w:t>Response to Section 1.6.7.2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66d90136fb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14fe3fc56d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985f965efa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dc9b4a2163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10abeedbae</w:t>
            </w:r>
          </w:p>
        </w:tc>
        <w:tc>
          <w:tcPr>
            <w:tcW w:type="dxa" w:w="2160"/>
          </w:tcPr>
          <w:p>
            <w:r>
              <w:t>1.6.7.2.1</w:t>
            </w:r>
          </w:p>
        </w:tc>
        <w:tc>
          <w:tcPr>
            <w:tcW w:type="dxa" w:w="2160"/>
          </w:tcPr>
          <w:p>
            <w:r>
              <w:t>Response to Section 1.6.7.2.1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c1444c63c4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c1044cef6f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b50173ceee</w:t>
            </w:r>
          </w:p>
        </w:tc>
        <w:tc>
          <w:tcPr>
            <w:tcW w:type="dxa" w:w="2160"/>
          </w:tcPr>
          <w:p>
            <w:r>
              <w:t>1.6.7.2.2</w:t>
            </w:r>
          </w:p>
        </w:tc>
        <w:tc>
          <w:tcPr>
            <w:tcW w:type="dxa" w:w="2160"/>
          </w:tcPr>
          <w:p>
            <w:r>
              <w:t>Response to Section 1.6.7.2.2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6306ccb9d3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ffb2ab00c7</w:t>
            </w:r>
          </w:p>
        </w:tc>
        <w:tc>
          <w:tcPr>
            <w:tcW w:type="dxa" w:w="2160"/>
          </w:tcPr>
          <w:p>
            <w:r>
              <w:t>1.6.7.3</w:t>
            </w:r>
          </w:p>
        </w:tc>
        <w:tc>
          <w:tcPr>
            <w:tcW w:type="dxa" w:w="2160"/>
          </w:tcPr>
          <w:p>
            <w:r>
              <w:t>Response to Section 1.6.7.3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4da89f3525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9d6e0db942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6d3a287625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defba10da6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ea86c66c8a</w:t>
            </w:r>
          </w:p>
        </w:tc>
        <w:tc>
          <w:tcPr>
            <w:tcW w:type="dxa" w:w="2160"/>
          </w:tcPr>
          <w:p>
            <w:r>
              <w:t>1.6.9</w:t>
            </w:r>
          </w:p>
        </w:tc>
        <w:tc>
          <w:tcPr>
            <w:tcW w:type="dxa" w:w="2160"/>
          </w:tcPr>
          <w:p>
            <w:r>
              <w:t>Response to Section 1.6.9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56ce1cd098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5305817e11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8e404c19e8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dcb5f2ee19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11e8f5343f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f14099b6f0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83f07c93d2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4c5ce30696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9d3da5d5e3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2d87942312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d66de21a3c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596bcce64c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961c0b5fea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75147c0a14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d4a8f85c77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e3d9095aba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774fffe45a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009039d063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17c7ae125b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de43d0da5c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977ce28679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3ec82931b1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3a7be1a29a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8ba59fb178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ec093bbcd4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725d04a5b5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783bd08d14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50fc63857c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cba2a00110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ce8099811d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4c43259532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a45062d9a6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57ba923732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517ef760d5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1c5eb3b6c0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112a1d2a3e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42d454c551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01d7b785bf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320d472485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87c3a2deda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7df3c1fb77</w:t>
            </w:r>
          </w:p>
        </w:tc>
        <w:tc>
          <w:tcPr>
            <w:tcW w:type="dxa" w:w="2160"/>
          </w:tcPr>
          <w:p>
            <w:r>
              <w:t>5.7.4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4f8a9774ed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fdf96ddc29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cf5b933649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0263c8bd75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e94c6f837b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1004451225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05b9f2960c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7298e17f83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27b0df69a6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e249420b1a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a7c72563c2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77ebb98b40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77ebb98b40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1f0b688858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636bc0e7dd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  <w:tr>
        <w:tc>
          <w:tcPr>
            <w:tcW w:type="dxa" w:w="2160"/>
          </w:tcPr>
          <w:p>
            <w:r>
              <w:t>227face781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uncovered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 w:val="0"/>
      </w:rPr>
      <w:t>Use or disclosure is subject to restrictions on the title page.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ORAN</w:t>
          </w:r>
        </w:p>
      </w:tc>
      <w:tc>
        <w:tcPr>
          <w:tcW w:type="dxa" w:w="4320"/>
        </w:tcPr>
        <w:p>
          <w:pPr>
            <w:jc w:val="right"/>
          </w:pPr>
          <w:r>
            <w:rPr>
              <w:b/>
            </w:rPr>
            <w:t>Digital &amp; AI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9BD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